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+1-423-691-3758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2015-03-01 to 2018-05-01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2017-08-01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Executive Director - Worldwide Innovations</w:t>
      </w:r>
    </w:p>
    <w:p>
      <w:r>
        <w:t>2021-07-01 to 2023-12-01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Chief Innovation Officer - Cisco</w:t>
      </w:r>
    </w:p>
    <w:p>
      <w:r>
        <w:t>2023-11-01 to 2024-07-01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IBM</w:t>
      </w:r>
    </w:p>
    <w:p>
      <w:r>
        <w:t>2024-03-01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3.62</w:t>
      </w:r>
    </w:p>
    <w:p>
      <w:pPr>
        <w:pStyle w:val="Heading2"/>
      </w:pPr>
      <w:r>
        <w:t>Master of Business Administration</w:t>
      </w:r>
    </w:p>
    <w:p>
      <w:r>
        <w:t>Elite Management Institute (2015-08-01 - 2017-05-01)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JavaScript, Spring Boot, Elasticsearch, Redis, SQL, Docker,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