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Garcia</w:t>
      </w:r>
    </w:p>
    <w:p>
      <w:pPr>
        <w:jc w:val="center"/>
      </w:pPr>
      <w:r>
        <w:t>olivia.garcia@gmail.com | +1-319-969-7596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2015-04-01 to 2016-04-01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Goldman Sachs</w:t>
      </w:r>
    </w:p>
    <w:p>
      <w:r>
        <w:t>2016-11-01 to 2018-04-01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International Business Partners</w:t>
      </w:r>
    </w:p>
    <w:p>
      <w:r>
        <w:t>2018-12-01 to 2022-08-01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VP and Chief Strategist - Amazon</w:t>
      </w:r>
    </w:p>
    <w:p>
      <w:r>
        <w:t>2022-03-01 to 2025-10-01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Heading2"/>
      </w:pPr>
      <w:r>
        <w:t>Chief Architect - Apple</w:t>
      </w:r>
    </w:p>
    <w:p>
      <w:r>
        <w:t>2025-07-01 to Present</w:t>
      </w:r>
    </w:p>
    <w:p>
      <w:pPr>
        <w:pStyle w:val="ListBullet"/>
      </w:pPr>
      <w:r>
        <w:t>World-leading managed engineering organization of 100+ people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World-leading 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(2011-08-01 - 2015-05-01)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TypeScript, Java, Node.js, Vue.js, Django, MongoDB, Redis, SQL, AWS, Google Cloud,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