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Brown</w:t>
      </w:r>
    </w:p>
    <w:p>
      <w:pPr>
        <w:jc w:val="center"/>
      </w:pPr>
      <w:r>
        <w:t>linda.brown@gmail.com | +1-403-717-8705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2019-11-01 to 2022-07-01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Microsoft</w:t>
      </w:r>
    </w:p>
    <w:p>
      <w:r>
        <w:t>2022-06-01 to 2025-12-01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Goldman Sachs</w:t>
      </w:r>
    </w:p>
    <w:p>
      <w:r>
        <w:t>2025-03-01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(2015-08-01 - 2019-05-01)</w:t>
      </w:r>
    </w:p>
    <w:p>
      <w:r>
        <w:t>GPA: 3.81</w:t>
      </w:r>
    </w:p>
    <w:p>
      <w:pPr>
        <w:pStyle w:val="Heading2"/>
      </w:pPr>
      <w:r>
        <w:t>Master of Business Administration</w:t>
      </w:r>
    </w:p>
    <w:p>
      <w:r>
        <w:t>UCLA (2021-08-01 - 2023-05-01)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Python, JavaScript, TypeScript, Node.js, Vue.js, Angular, Redis, MongoDB, Azure, Git,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