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Garcia</w:t>
      </w:r>
    </w:p>
    <w:p>
      <w:pPr>
        <w:jc w:val="center"/>
      </w:pPr>
      <w:r>
        <w:t>david.garcia@email.com | +1-932-901-8437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2014-06-01 to 2017-11-01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Microsoft</w:t>
      </w:r>
    </w:p>
    <w:p>
      <w:r>
        <w:t>2017-11-01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Tesla</w:t>
      </w:r>
    </w:p>
    <w:p>
      <w:r>
        <w:t>2020-11-01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Salesforce</w:t>
      </w:r>
    </w:p>
    <w:p>
      <w:r>
        <w:t>2024-09-01 to 2025-11-01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Microsoft</w:t>
      </w:r>
    </w:p>
    <w:p>
      <w:r>
        <w:t>2025-03-01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(2010-08-01 - 2014-05-01)</w:t>
      </w:r>
    </w:p>
    <w:p>
      <w:r>
        <w:t>GPA: 3.63</w:t>
      </w:r>
    </w:p>
    <w:p>
      <w:pPr>
        <w:pStyle w:val="Heading2"/>
      </w:pPr>
      <w:r>
        <w:t>Master of Business Administration</w:t>
      </w:r>
    </w:p>
    <w:p>
      <w:r>
        <w:t>Carnegie Mellon University (2015-08-01 - 2017-05-01)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Rust, Flask, React, Elasticsearch,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