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Brown</w:t>
      </w:r>
    </w:p>
    <w:p>
      <w:pPr>
        <w:jc w:val="center"/>
      </w:pPr>
      <w:r>
        <w:t>sarah.brown@email.com | +1-634-957-7751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Meta</w:t>
      </w:r>
    </w:p>
    <w:p>
      <w:r>
        <w:t>2013-12-01 to 2016-04-01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Intel</w:t>
      </w:r>
    </w:p>
    <w:p>
      <w:r>
        <w:t>2016-08-01 to 2018-07-01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Accenture</w:t>
      </w:r>
    </w:p>
    <w:p>
      <w:r>
        <w:t>2018-06-01 to 2020-09-01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Tesla</w:t>
      </w:r>
    </w:p>
    <w:p>
      <w:r>
        <w:t>2020-07-01 to 2022-08-01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Goldman Sachs</w:t>
      </w:r>
    </w:p>
    <w:p>
      <w:r>
        <w:t>2022-10-01 to 2025-12-01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(2009-08-01 - 2013-05-01)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Java, Node.js, Redis, Google Cloud, Docker, Jenkins,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CISSP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