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Anderson</w:t>
      </w:r>
    </w:p>
    <w:p>
      <w:pPr>
        <w:jc w:val="center"/>
      </w:pPr>
      <w:r>
        <w:t>richard.anderson@gmail.com | +1-652-605-6374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2019-03-01 to 2022-11-01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PWC</w:t>
      </w:r>
    </w:p>
    <w:p>
      <w:r>
        <w:t>2022-07-01 to 2025-03-01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Goldman Sachs</w:t>
      </w:r>
    </w:p>
    <w:p>
      <w:r>
        <w:t>2025-02-01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(2015-08-01 - 2019-05-01)</w:t>
      </w:r>
    </w:p>
    <w:p>
      <w:r>
        <w:t>GPA: 3.79</w:t>
      </w:r>
    </w:p>
    <w:p>
      <w:pPr>
        <w:pStyle w:val="Heading2"/>
      </w:pPr>
      <w:r>
        <w:t>Master of Engineering</w:t>
      </w:r>
    </w:p>
    <w:p>
      <w:r>
        <w:t>Princeton University (2021-08-01 - 2023-05-01)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TypeScript, Rust, JavaScript, Flask, MongoDB, Redis, PostgreSQL, Kubernetes, AWS,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