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Garcia</w:t>
      </w:r>
    </w:p>
    <w:p>
      <w:pPr>
        <w:jc w:val="center"/>
      </w:pPr>
      <w:r>
        <w:t>david.garcia@gmail.com | +1-984-857-7565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2020-07-01 to 2023-06-01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Cisco</w:t>
      </w:r>
    </w:p>
    <w:p>
      <w:r>
        <w:t>2023-03-01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Goldman Sachs</w:t>
      </w:r>
    </w:p>
    <w:p>
      <w:r>
        <w:t>2024-01-01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(2016-08-01 - 2020-05-01)</w:t>
      </w:r>
    </w:p>
    <w:p>
      <w:r>
        <w:t>GPA: 3.46</w:t>
      </w:r>
    </w:p>
    <w:p>
      <w:pPr>
        <w:pStyle w:val="Heading2"/>
      </w:pPr>
      <w:r>
        <w:t>Master of Technology</w:t>
      </w:r>
    </w:p>
    <w:p>
      <w:r>
        <w:t>Columbia University (2020-08-01 - 2022-05-01)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Java, C++, Go, Django, MongoDB, Redis, SQL, AWS, Kubernetes, Docker,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