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Davis</w:t>
      </w:r>
    </w:p>
    <w:p>
      <w:pPr>
        <w:jc w:val="center"/>
      </w:pPr>
      <w:r>
        <w:t>emily.davis@gmail.com | +1-626-811-9237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2017-08-01 to 2019-12-01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Goldman Sachs</w:t>
      </w:r>
    </w:p>
    <w:p>
      <w:r>
        <w:t>2019-10-01 to 2022-05-01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Adobe</w:t>
      </w:r>
    </w:p>
    <w:p>
      <w:r>
        <w:t>2022-07-01 to 2025-05-01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Goldman Sachs</w:t>
      </w:r>
    </w:p>
    <w:p>
      <w:r>
        <w:t>2025-12-01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(2013-08-01 - 2017-05-01)</w:t>
      </w:r>
    </w:p>
    <w:p>
      <w:r>
        <w:t>GPA: 3.29</w:t>
      </w:r>
    </w:p>
    <w:p>
      <w:pPr>
        <w:pStyle w:val="Heading2"/>
      </w:pPr>
      <w:r>
        <w:t>Master of Engineering</w:t>
      </w:r>
    </w:p>
    <w:p>
      <w:r>
        <w:t>Princeton University (2019-08-01 - 2021-05-01)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C++, React, Django, Flask, Redis, SQL, Kubernetes, AWS, Azure,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