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Garcia</w:t>
      </w:r>
    </w:p>
    <w:p>
      <w:pPr>
        <w:jc w:val="center"/>
      </w:pPr>
      <w:r>
        <w:t>emma.garcia@gmail.com | +1-934-926-5363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2018-03-01 to 2020-07-01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Cisco</w:t>
      </w:r>
    </w:p>
    <w:p>
      <w:r>
        <w:t>2020-08-01 to 2023-07-01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Meta</w:t>
      </w:r>
    </w:p>
    <w:p>
      <w:r>
        <w:t>2023-12-01 to 2025-03-01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Intel</w:t>
      </w:r>
    </w:p>
    <w:p>
      <w:r>
        <w:t>2025-02-01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(2014-08-01 - 2018-05-01)</w:t>
      </w:r>
    </w:p>
    <w:p>
      <w:r>
        <w:t>GPA: 3.54</w:t>
      </w:r>
    </w:p>
    <w:p>
      <w:pPr>
        <w:pStyle w:val="Heading2"/>
      </w:pPr>
      <w:r>
        <w:t>Master of Business Administration</w:t>
      </w:r>
    </w:p>
    <w:p>
      <w:r>
        <w:t>Yale University (2020-08-01 - 2022-05-01)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C++, Spring Boot, MongoDB, Docker, Kubernetes, Azure,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