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Moore</w:t>
      </w:r>
    </w:p>
    <w:p>
      <w:pPr>
        <w:jc w:val="center"/>
      </w:pPr>
      <w:r>
        <w:t>patricia.moore@gmail.com | +1-350-842-3147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Amazon</w:t>
      </w:r>
    </w:p>
    <w:p>
      <w:r>
        <w:t>2016-06-01 to 2019-08-01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Deloitte</w:t>
      </w:r>
    </w:p>
    <w:p>
      <w:r>
        <w:t>2019-10-01 to 2022-06-01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2022-01-01 to 2025-05-01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IBM</w:t>
      </w:r>
    </w:p>
    <w:p>
      <w:r>
        <w:t>2025-02-01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MIT (2012-08-01 - 2016-05-01)</w:t>
      </w:r>
    </w:p>
    <w:p>
      <w:r>
        <w:t>GPA: 3.7</w:t>
      </w:r>
    </w:p>
    <w:p>
      <w:pPr>
        <w:pStyle w:val="Heading2"/>
      </w:pPr>
      <w:r>
        <w:t>Master of Engineering</w:t>
      </w:r>
    </w:p>
    <w:p>
      <w:r>
        <w:t>UC Berkeley (2017-08-01 - 2019-05-01)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TypeScript, Python, Vue.js, Django, Spring Boot, Redis, PostgreSQL, SQL, AWS, Docker, Agile,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