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Garcia</w:t>
      </w:r>
    </w:p>
    <w:p>
      <w:pPr>
        <w:jc w:val="center"/>
      </w:pPr>
      <w:r>
        <w:t>joseph.garcia@gmail.com | +1-211-622-7740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Amazon</w:t>
      </w:r>
    </w:p>
    <w:p>
      <w:r>
        <w:t>2012-02-01 to 2013-04-01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Adobe</w:t>
      </w:r>
    </w:p>
    <w:p>
      <w:r>
        <w:t>2013-10-01 to 2017-03-01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Goldman Sachs</w:t>
      </w:r>
    </w:p>
    <w:p>
      <w:r>
        <w:t>2017-10-01 to 2021-08-01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Oracle</w:t>
      </w:r>
    </w:p>
    <w:p>
      <w:r>
        <w:t>2021-04-01 to 2023-05-01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Oracle</w:t>
      </w:r>
    </w:p>
    <w:p>
      <w:r>
        <w:t>2023-06-01 to 2025-05-01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(2008-08-01 - 2012-05-01)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Python, JavaScript, Django, Redis, AWS, Scrum, Agile,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