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Brown</w:t>
      </w:r>
    </w:p>
    <w:p>
      <w:pPr>
        <w:jc w:val="center"/>
      </w:pPr>
      <w:r>
        <w:t>richard.brown@email.com | +1-549-299-9014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2014-11-01 to 2016-04-01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Amazon</w:t>
      </w:r>
    </w:p>
    <w:p>
      <w:r>
        <w:t>2016-12-01 to 2018-11-01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JPMorgan Chase</w:t>
      </w:r>
    </w:p>
    <w:p>
      <w:r>
        <w:t>2018-07-01 to 2022-11-01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Oracle</w:t>
      </w:r>
    </w:p>
    <w:p>
      <w:r>
        <w:t>2022-12-01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(2010-08-01 - 2014-05-01)</w:t>
      </w:r>
    </w:p>
    <w:p>
      <w:r>
        <w:t>GPA: 3.6</w:t>
      </w:r>
    </w:p>
    <w:p>
      <w:pPr>
        <w:pStyle w:val="Heading2"/>
      </w:pPr>
      <w:r>
        <w:t>Master of Business Administration</w:t>
      </w:r>
    </w:p>
    <w:p>
      <w:r>
        <w:t>Cornell University (2016-08-01 - 2018-05-01)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JavaScript, Java, Vue.js, SQL, AWS, Google Cloud, Azure, Scrum,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