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Martin</w:t>
      </w:r>
    </w:p>
    <w:p>
      <w:pPr>
        <w:jc w:val="center"/>
      </w:pPr>
      <w:r>
        <w:t>richard.martin@gmail.com | +1-490-831-8390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Goldman Sachs</w:t>
      </w:r>
    </w:p>
    <w:p>
      <w:r>
        <w:t>2022-03-01 to 2023-02-01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Tesla</w:t>
      </w:r>
    </w:p>
    <w:p>
      <w:r>
        <w:t>2023-12-01 to 2024-06-01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(2018-08-01 - 2022-05-01)</w:t>
      </w:r>
    </w:p>
    <w:p>
      <w:r>
        <w:t>GPA: 3.75</w:t>
      </w:r>
    </w:p>
    <w:p>
      <w:pPr>
        <w:pStyle w:val="Heading2"/>
      </w:pPr>
      <w:r>
        <w:t>Master of Science in Computer Science</w:t>
      </w:r>
    </w:p>
    <w:p>
      <w:r>
        <w:t>Georgia Tech (2024-08-01 - 2026-05-01)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Java, C++, Go, Vue.js, Elasticsearch, PostgreSQL, Docker, Google Cloud,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