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pPr>
      <w:r>
        <w:drawing>
          <wp:inline distT="0" distB="0" distL="0" distR="0">
            <wp:extent cx="2857500" cy="647700"/>
            <wp:effectExtent t="0" r="0" b="0" l="0"/>
            <wp:docPr id="1" name="logo" descr="Mayura Consultancy Services logo" title="M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647700"/>
                    </a:xfrm>
                    <a:prstGeom prst="rect">
                      <a:avLst/>
                    </a:prstGeom>
                  </pic:spPr>
                </pic:pic>
              </a:graphicData>
            </a:graphic>
          </wp:inline>
        </w:drawing>
      </w:r>
    </w:p>
    <w:p>
      <w:pPr>
        <w:spacing w:after="120" w:before="1000"/>
      </w:pPr>
      <w:r>
        <w:rPr>
          <w:rFonts w:ascii="Calibri" w:cs="Calibri" w:eastAsia="Calibri" w:hAnsi="Calibri"/>
          <w:b/>
          <w:bCs/>
          <w:color w:val="0E7C86"/>
          <w:spacing w:val="40"/>
          <w:sz w:val="22"/>
          <w:szCs w:val="22"/>
        </w:rPr>
        <w:t xml:space="preserve">SPRINT 1 — DISCOVERY &amp; REQUIREMENTS</w:t>
      </w:r>
    </w:p>
    <w:p>
      <w:pPr>
        <w:spacing w:after="200"/>
      </w:pPr>
      <w:r>
        <w:rPr>
          <w:rFonts w:ascii="Calibri" w:cs="Calibri" w:eastAsia="Calibri" w:hAnsi="Calibri"/>
          <w:b/>
          <w:bCs/>
          <w:color w:val="1F3A5F"/>
          <w:sz w:val="60"/>
          <w:szCs w:val="60"/>
        </w:rPr>
        <w:t xml:space="preserve">Sprint 1 Kick-off Pack</w:t>
      </w:r>
    </w:p>
    <w:p>
      <w:pPr>
        <w:spacing w:after="1200"/>
      </w:pPr>
      <w:r>
        <w:rPr>
          <w:rFonts w:ascii="Calibri" w:cs="Calibri" w:eastAsia="Calibri" w:hAnsi="Calibri"/>
          <w:color w:val="5A6478"/>
          <w:sz w:val="30"/>
          <w:szCs w:val="30"/>
        </w:rPr>
        <w:t xml:space="preserve">DX Student Help — Web &amp; Mobile Learning Support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Document control</w:t>
            </w:r>
          </w:p>
        </w:tc>
        <w:tc>
          <w:tcPr>
            <w:tcW w:type="dxa" w:w="64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Details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Client</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The X Student Help (PTY) LTD, Durban, South Africa</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Client representative</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Thabo Mkhize</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Prepared by</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Mayura Consultancy Services (MCSpoorthi IT Solutions Private Limited)</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Version / status</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1.0 — Weeks 1–2</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Date</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6 October 2026</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Related documents</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DX Student Help BRD and SRS; Quotation MCS-DX-2026-001</w:t>
            </w:r>
          </w:p>
        </w:tc>
      </w:tr>
    </w:tbl>
    <w:p>
      <w:r>
        <w:br w:type="page"/>
      </w:r>
    </w:p>
    <w:p>
      <w:pPr>
        <w:pStyle w:val="Heading1"/>
      </w:pPr>
      <w:r>
        <w:t xml:space="preserve">1. What Sprint 1 Delivers</w:t>
      </w:r>
    </w:p>
    <w:p>
      <w:pPr>
        <w:spacing w:after="120" w:line="276"/>
      </w:pPr>
      <w:r>
        <w:rPr>
          <w:rFonts w:ascii="Calibri" w:cs="Calibri" w:eastAsia="Calibri" w:hAnsi="Calibri"/>
          <w:sz w:val="21"/>
          <w:szCs w:val="21"/>
        </w:rPr>
        <w:t xml:space="preserve">Sprint 1 turns the DX Student Help concept into a specification the team can build and test against. Nothing is coded in this sprint. At the end of it DX receives a final Software Requirements Specification, an updated Business Requirements Document, the curriculum data model, and a prioritised backlog with acceptance criteria for every requirement.</w:t>
      </w:r>
    </w:p>
    <w:p>
      <w:pPr>
        <w:spacing w:after="120" w:line="276"/>
      </w:pPr>
      <w:r>
        <w:rPr>
          <w:rFonts w:ascii="Calibri" w:cs="Calibri" w:eastAsia="Calibri" w:hAnsi="Calibri"/>
          <w:sz w:val="21"/>
          <w:szCs w:val="21"/>
        </w:rPr>
        <w:t xml:space="preserve">The sprint depends on two things from DX: decisions (Section 3) and data (Section 4). Everything else is our work.</w:t>
      </w:r>
    </w:p>
    <w:p>
      <w:pPr>
        <w:pStyle w:val="Heading1"/>
      </w:pPr>
      <w:r>
        <w:t xml:space="preserve">2.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cantSplit/>
          <w:tblHeader/>
        </w:trPr>
        <w:tc>
          <w:tcPr>
            <w:tcW w:type="dxa" w:w="15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When</w:t>
            </w:r>
          </w:p>
        </w:tc>
        <w:tc>
          <w:tcPr>
            <w:tcW w:type="dxa" w:w="24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Session</w:t>
            </w:r>
          </w:p>
        </w:tc>
        <w:tc>
          <w:tcPr>
            <w:tcW w:type="dxa" w:w="51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Purpose</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1, Day 1</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Kick-off workshop (2 hours)</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Vision, launch audience, priorities, user journeys, subject launch strategy</w:t>
            </w:r>
          </w:p>
        </w:tc>
      </w:tr>
      <w:tr>
        <w:trPr>
          <w:cantSplit/>
          <w:tblHeader w:val="false"/>
        </w:trPr>
        <w:tc>
          <w:tcPr>
            <w:tcW w:type="dxa" w:w="15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1, Day 3</w:t>
            </w:r>
          </w:p>
        </w:tc>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Safety &amp; compliance workshop (90 min)</w:t>
            </w:r>
          </w:p>
        </w:tc>
        <w:tc>
          <w:tcPr>
            <w:tcW w:type="dxa" w:w="51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Guardian consent, safeguarding, academic honesty, copyright, POPIA</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1, Day 5</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Written decisions returned</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Decision register (Section 3) completed by DX</w:t>
            </w:r>
          </w:p>
        </w:tc>
      </w:tr>
      <w:tr>
        <w:trPr>
          <w:cantSplit/>
          <w:tblHeader w:val="false"/>
        </w:trPr>
        <w:tc>
          <w:tcPr>
            <w:tcW w:type="dxa" w:w="15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2, Day 2</w:t>
            </w:r>
          </w:p>
        </w:tc>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Curriculum data review (60 min)</w:t>
            </w:r>
          </w:p>
        </w:tc>
        <w:tc>
          <w:tcPr>
            <w:tcW w:type="dxa" w:w="51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Walk through the data DX has supplied and fill gaps</w:t>
            </w:r>
          </w:p>
        </w:tc>
      </w:tr>
      <w:tr>
        <w:trPr>
          <w:cantSplit/>
          <w:tblHeader w:val="false"/>
        </w:trPr>
        <w:tc>
          <w:tcPr>
            <w:tcW w:type="dxa" w:w="1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2, Day 4</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Draft SRS circulated</w:t>
            </w:r>
          </w:p>
        </w:tc>
        <w:tc>
          <w:tcPr>
            <w:tcW w:type="dxa" w:w="51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DX reviews ahead of the sprint review</w:t>
            </w:r>
          </w:p>
        </w:tc>
      </w:tr>
      <w:tr>
        <w:trPr>
          <w:cantSplit/>
          <w:tblHeader w:val="false"/>
        </w:trPr>
        <w:tc>
          <w:tcPr>
            <w:tcW w:type="dxa" w:w="15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Week 2, Day 5</w:t>
            </w:r>
          </w:p>
        </w:tc>
        <w:tc>
          <w:tcPr>
            <w:tcW w:type="dxa" w:w="24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Sprint review (60 min)</w:t>
            </w:r>
          </w:p>
        </w:tc>
        <w:tc>
          <w:tcPr>
            <w:tcW w:type="dxa" w:w="51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Walkthrough of the specification and backlog; sprint acceptance</w:t>
            </w:r>
          </w:p>
        </w:tc>
      </w:tr>
    </w:tbl>
    <w:p>
      <w:pPr>
        <w:spacing w:after="100"/>
      </w:pPr>
    </w:p>
    <w:p>
      <w:pPr>
        <w:pStyle w:val="Heading2"/>
      </w:pPr>
      <w:r>
        <w:t xml:space="preserve">Agenda — kick-off workshop</w:t>
      </w:r>
    </w:p>
    <w:p>
      <w:pPr>
        <w:pStyle w:val="ListParagraph"/>
        <w:numPr>
          <w:ilvl w:val="0"/>
          <w:numId w:val="2"/>
        </w:numPr>
        <w:spacing w:after="60" w:line="264"/>
      </w:pPr>
      <w:r>
        <w:rPr>
          <w:rFonts w:ascii="Calibri" w:cs="Calibri" w:eastAsia="Calibri" w:hAnsi="Calibri"/>
          <w:sz w:val="21"/>
          <w:szCs w:val="21"/>
        </w:rPr>
        <w:t xml:space="preserve">Introductions, how sprints will run, and how DX reviews and accepts each one (10 min).</w:t>
      </w:r>
    </w:p>
    <w:p>
      <w:pPr>
        <w:pStyle w:val="ListParagraph"/>
        <w:numPr>
          <w:ilvl w:val="0"/>
          <w:numId w:val="2"/>
        </w:numPr>
        <w:spacing w:after="60" w:line="264"/>
      </w:pPr>
      <w:r>
        <w:rPr>
          <w:rFonts w:ascii="Calibri" w:cs="Calibri" w:eastAsia="Calibri" w:hAnsi="Calibri"/>
          <w:sz w:val="21"/>
          <w:szCs w:val="21"/>
        </w:rPr>
        <w:t xml:space="preserve">Vision and the first 1,000 users: who exactly are we launching to, and in which province or city? (20 min)</w:t>
      </w:r>
    </w:p>
    <w:p>
      <w:pPr>
        <w:pStyle w:val="ListParagraph"/>
        <w:numPr>
          <w:ilvl w:val="0"/>
          <w:numId w:val="2"/>
        </w:numPr>
        <w:spacing w:after="60" w:line="264"/>
      </w:pPr>
      <w:r>
        <w:rPr>
          <w:rFonts w:ascii="Calibri" w:cs="Calibri" w:eastAsia="Calibri" w:hAnsi="Calibri"/>
          <w:sz w:val="21"/>
          <w:szCs w:val="21"/>
        </w:rPr>
        <w:t xml:space="preserve">Walkthrough of the three pathways and what each student sees after onboarding (20 min).</w:t>
      </w:r>
    </w:p>
    <w:p>
      <w:pPr>
        <w:pStyle w:val="ListParagraph"/>
        <w:numPr>
          <w:ilvl w:val="0"/>
          <w:numId w:val="2"/>
        </w:numPr>
        <w:spacing w:after="60" w:line="264"/>
      </w:pPr>
      <w:r>
        <w:rPr>
          <w:rFonts w:ascii="Calibri" w:cs="Calibri" w:eastAsia="Calibri" w:hAnsi="Calibri"/>
          <w:sz w:val="21"/>
          <w:szCs w:val="21"/>
        </w:rPr>
        <w:t xml:space="preserve">Subject launch strategy: which subjects go live first and the minimum tutor coverage per subject (20 min).</w:t>
      </w:r>
    </w:p>
    <w:p>
      <w:pPr>
        <w:pStyle w:val="ListParagraph"/>
        <w:numPr>
          <w:ilvl w:val="0"/>
          <w:numId w:val="2"/>
        </w:numPr>
        <w:spacing w:after="60" w:line="264"/>
      </w:pPr>
      <w:r>
        <w:rPr>
          <w:rFonts w:ascii="Calibri" w:cs="Calibri" w:eastAsia="Calibri" w:hAnsi="Calibri"/>
          <w:sz w:val="21"/>
          <w:szCs w:val="21"/>
        </w:rPr>
        <w:t xml:space="preserve">Tutor model: who they are, how DX recruits them, what keeps them active (20 min).</w:t>
      </w:r>
    </w:p>
    <w:p>
      <w:pPr>
        <w:pStyle w:val="ListParagraph"/>
        <w:numPr>
          <w:ilvl w:val="0"/>
          <w:numId w:val="2"/>
        </w:numPr>
        <w:spacing w:after="60" w:line="264"/>
      </w:pPr>
      <w:r>
        <w:rPr>
          <w:rFonts w:ascii="Calibri" w:cs="Calibri" w:eastAsia="Calibri" w:hAnsi="Calibri"/>
          <w:sz w:val="21"/>
          <w:szCs w:val="21"/>
        </w:rPr>
        <w:t xml:space="preserve">Monetisation: free at launch, and what the paid model looks like when it switches on (20 min).</w:t>
      </w:r>
    </w:p>
    <w:p>
      <w:pPr>
        <w:pStyle w:val="ListParagraph"/>
        <w:numPr>
          <w:ilvl w:val="0"/>
          <w:numId w:val="2"/>
        </w:numPr>
        <w:spacing w:after="60" w:line="264"/>
      </w:pPr>
      <w:r>
        <w:rPr>
          <w:rFonts w:ascii="Calibri" w:cs="Calibri" w:eastAsia="Calibri" w:hAnsi="Calibri"/>
          <w:sz w:val="21"/>
          <w:szCs w:val="21"/>
        </w:rPr>
        <w:t xml:space="preserve">Open questions and next steps (10 min).</w:t>
      </w:r>
    </w:p>
    <w:p>
      <w:pPr>
        <w:pStyle w:val="Heading2"/>
      </w:pPr>
      <w:r>
        <w:t xml:space="preserve">Agenda — safety &amp; compliance workshop</w:t>
      </w:r>
    </w:p>
    <w:p>
      <w:pPr>
        <w:pStyle w:val="ListParagraph"/>
        <w:numPr>
          <w:ilvl w:val="0"/>
          <w:numId w:val="2"/>
        </w:numPr>
        <w:spacing w:after="60" w:line="264"/>
      </w:pPr>
      <w:r>
        <w:rPr>
          <w:rFonts w:ascii="Calibri" w:cs="Calibri" w:eastAsia="Calibri" w:hAnsi="Calibri"/>
          <w:sz w:val="21"/>
          <w:szCs w:val="21"/>
        </w:rPr>
        <w:t xml:space="preserve">Guardian consent: minimum age, consent method, what a minor can do before consent (25 min).</w:t>
      </w:r>
    </w:p>
    <w:p>
      <w:pPr>
        <w:pStyle w:val="ListParagraph"/>
        <w:numPr>
          <w:ilvl w:val="0"/>
          <w:numId w:val="2"/>
        </w:numPr>
        <w:spacing w:after="60" w:line="264"/>
      </w:pPr>
      <w:r>
        <w:rPr>
          <w:rFonts w:ascii="Calibri" w:cs="Calibri" w:eastAsia="Calibri" w:hAnsi="Calibri"/>
          <w:sz w:val="21"/>
          <w:szCs w:val="21"/>
        </w:rPr>
        <w:t xml:space="preserve">Tutor vetting: documents required and who reviews them (20 min).</w:t>
      </w:r>
    </w:p>
    <w:p>
      <w:pPr>
        <w:pStyle w:val="ListParagraph"/>
        <w:numPr>
          <w:ilvl w:val="0"/>
          <w:numId w:val="2"/>
        </w:numPr>
        <w:spacing w:after="60" w:line="264"/>
      </w:pPr>
      <w:r>
        <w:rPr>
          <w:rFonts w:ascii="Calibri" w:cs="Calibri" w:eastAsia="Calibri" w:hAnsi="Calibri"/>
          <w:sz w:val="21"/>
          <w:szCs w:val="21"/>
        </w:rPr>
        <w:t xml:space="preserve">Messaging safeguards, moderation roles and escalation (25 min).</w:t>
      </w:r>
    </w:p>
    <w:p>
      <w:pPr>
        <w:pStyle w:val="ListParagraph"/>
        <w:numPr>
          <w:ilvl w:val="0"/>
          <w:numId w:val="2"/>
        </w:numPr>
        <w:spacing w:after="60" w:line="264"/>
      </w:pPr>
      <w:r>
        <w:rPr>
          <w:rFonts w:ascii="Calibri" w:cs="Calibri" w:eastAsia="Calibri" w:hAnsi="Calibri"/>
          <w:sz w:val="21"/>
          <w:szCs w:val="21"/>
        </w:rPr>
        <w:t xml:space="preserve">Academic honesty and copyright positions (20 min).</w:t>
      </w:r>
    </w:p>
    <w:p>
      <w:pPr>
        <w:pStyle w:val="Heading1"/>
      </w:pPr>
      <w:r>
        <w:t xml:space="preserve">3. Decision Register</w:t>
      </w:r>
    </w:p>
    <w:p>
      <w:pPr>
        <w:spacing w:after="120" w:line="276"/>
      </w:pPr>
      <w:r>
        <w:rPr>
          <w:rFonts w:ascii="Calibri" w:cs="Calibri" w:eastAsia="Calibri" w:hAnsi="Calibri"/>
          <w:sz w:val="21"/>
          <w:szCs w:val="21"/>
        </w:rPr>
        <w:t xml:space="preserve">These decisions shape the build. Our recommendation is given for each so DX can simply confirm or override. Decisions are needed by the end of Week 1.</w:t>
      </w:r>
    </w:p>
    <w:p>
      <w:pPr>
        <w:pStyle w:val="Heading2"/>
      </w:pPr>
      <w:r>
        <w:t xml:space="preserve">3.1 Users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cantSplit/>
          <w:tblHeader/>
        </w:trPr>
        <w:tc>
          <w:tcPr>
            <w:tcW w:type="dxa" w:w="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ID</w:t>
            </w:r>
          </w:p>
        </w:tc>
        <w:tc>
          <w:tcPr>
            <w:tcW w:type="dxa" w:w="4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Decision needed</w:t>
            </w:r>
          </w:p>
        </w:tc>
        <w:tc>
          <w:tcPr>
            <w:tcW w:type="dxa" w:w="4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Our recommendation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D-01</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Minimum registration age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13 years. Below that, the consent and safeguarding burden outweighs the small audience.</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D-02</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Guardian consent method for under-18s</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Email approval link, with the guardian mobile number captured for a future SMS or WhatsApp option.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D-03</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What a minor can do before consent is approved</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Browse resources and announcements only. No help requests, messaging or community posting.</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D-04</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Can a user hold both Student and Tutor roles?</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Yes. A university student tutoring Grade 10 is a likely and valuable case.</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D-05</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Account self-deletion</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Allow it, with a 30-day grace period and anonymisation rather than hard deletion of conversation history.</w:t>
            </w:r>
          </w:p>
        </w:tc>
      </w:tr>
    </w:tbl>
    <w:p>
      <w:pPr>
        <w:spacing w:after="100"/>
      </w:pPr>
    </w:p>
    <w:p>
      <w:pPr>
        <w:pStyle w:val="Heading2"/>
      </w:pPr>
      <w:r>
        <w:t xml:space="preserve">3.2 Tutors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cantSplit/>
          <w:tblHeader/>
        </w:trPr>
        <w:tc>
          <w:tcPr>
            <w:tcW w:type="dxa" w:w="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ID</w:t>
            </w:r>
          </w:p>
        </w:tc>
        <w:tc>
          <w:tcPr>
            <w:tcW w:type="dxa" w:w="4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Decision needed</w:t>
            </w:r>
          </w:p>
        </w:tc>
        <w:tc>
          <w:tcPr>
            <w:tcW w:type="dxa" w:w="4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Our recommendation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D-06</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Verification documents required</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ID document, highest qualification certificate, and police clearance. The clearance matters because tutors interact with minors.</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D-07</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Who reviews and approves tutors</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 named DX administrator, with a second named person as backup. Target: reviewed within 48 hours.</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D-08</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Minimum tutor coverage before a subject goes live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3 verified tutors per subject and level.</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D-09</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Launch subjects</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Start with Mathematics, Physical Sciences, Accounting and English, then widen as coverage allows.</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D-10</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Tutor response expectation</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Accept within 24 hours, first reply within 12 hours of accepting. Unaccepted requests escalate to an administrator.</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D-11</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Tutor recognition at launch</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Verified badge, monthly leaderboard, contribution certificate and monthly impact email. No payment at launch.</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D-12</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Can a student request a specific tutor?</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Not at launch. Automatic matching builds the tutor pool fairly; favourites can follow once supply is healthy.</w:t>
            </w:r>
          </w:p>
        </w:tc>
      </w:tr>
    </w:tbl>
    <w:p>
      <w:pPr>
        <w:spacing w:after="100"/>
      </w:pPr>
    </w:p>
    <w:p>
      <w:pPr>
        <w:pStyle w:val="Heading2"/>
      </w:pPr>
      <w:r>
        <w:t xml:space="preserve">3.3 Platform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cantSplit/>
          <w:tblHeader/>
        </w:trPr>
        <w:tc>
          <w:tcPr>
            <w:tcW w:type="dxa" w:w="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ID</w:t>
            </w:r>
          </w:p>
        </w:tc>
        <w:tc>
          <w:tcPr>
            <w:tcW w:type="dxa" w:w="4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Decision needed</w:t>
            </w:r>
          </w:p>
        </w:tc>
        <w:tc>
          <w:tcPr>
            <w:tcW w:type="dxa" w:w="4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Our recommendation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D-13</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Maximum open help requests per student</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3 at a time. Protects tutor capacity without frustrating genuine users.</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D-14</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Auto-close period after a tutor marks a request resolved</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72 hours.</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D-15</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Who may upload learning resources</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Verified tutors and administrators. Tutor uploads require approval before publication.</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D-16</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Community scope</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Boards per subject, scoped to pathway and level, so a Grade 9 learner is not in a university thread.</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D-17</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Academic honesty position</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Tutors explain method and guide; they do not complete assessments. Confirmed by tick-box on every request.</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D-18</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Copyright position</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Upload declaration required, uploader named on every resource, 48-hour takedown on report. Department of Basic Education past papers and tutor-written notes only.</w:t>
            </w:r>
          </w:p>
        </w:tc>
      </w:tr>
    </w:tbl>
    <w:p>
      <w:pPr>
        <w:spacing w:after="100"/>
      </w:pPr>
    </w:p>
    <w:p>
      <w:pPr>
        <w:pStyle w:val="Heading2"/>
      </w:pPr>
      <w:r>
        <w:t xml:space="preserve">3.4 Commercial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cantSplit/>
          <w:tblHeader/>
        </w:trPr>
        <w:tc>
          <w:tcPr>
            <w:tcW w:type="dxa" w:w="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ID</w:t>
            </w:r>
          </w:p>
        </w:tc>
        <w:tc>
          <w:tcPr>
            <w:tcW w:type="dxa" w:w="4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Decision needed</w:t>
            </w:r>
          </w:p>
        </w:tc>
        <w:tc>
          <w:tcPr>
            <w:tcW w:type="dxa" w:w="4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Our recommendation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D-19</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Launch monetisation mode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Free for everyone at launch. Switch to freemium only once tutor supply is proven.</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D-20</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Planned free allowance when freemium is switched on</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5 help requests per month; resources, announcements and community remain free.</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D-21</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Grandfathering</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Everyone registered before the switch keeps free access permanently. Strong goodwill, low cost.</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D-22</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Payment gateway</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PayFast for the widest South African coverage including instant EFT. Yoco if DX already banks with them.</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D-23</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POPIA Information Officer</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Thabo registers with the Information Regulator in Week 1. Free, and required by law.</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D-24</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Legal documents</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DX engages a South African attorney by Sprint 8 for terms, privacy policy, consent wording and the tutor agreement. We supply the data-processing description.</w:t>
            </w:r>
          </w:p>
        </w:tc>
      </w:tr>
    </w:tbl>
    <w:p>
      <w:pPr>
        <w:spacing w:after="100"/>
      </w:pPr>
    </w:p>
    <w:p>
      <w:pPr>
        <w:pStyle w:val="Heading2"/>
      </w:pPr>
      <w:r>
        <w:t xml:space="preserve">3.5 Technical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cantSplit/>
          <w:tblHeader/>
        </w:trPr>
        <w:tc>
          <w:tcPr>
            <w:tcW w:type="dxa" w:w="9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ID</w:t>
            </w:r>
          </w:p>
        </w:tc>
        <w:tc>
          <w:tcPr>
            <w:tcW w:type="dxa" w:w="41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Decision needed</w:t>
            </w:r>
          </w:p>
        </w:tc>
        <w:tc>
          <w:tcPr>
            <w:tcW w:type="dxa" w:w="40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Our recommendation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D-25</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Database engine</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MySQL 8 installed alongside cPanel, rather than the bundled MariaDB, to match the SRS and keep parity with our other platforms.</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D-26</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Hosting region and data residency</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South Africa, on the existing VPS, which is the simplest POPIA position.</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D-27</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Transactional email provider</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Amazon SES for cost at volume, or Postmark for the best deliverability on a new domain.</w:t>
            </w:r>
          </w:p>
        </w:tc>
      </w:tr>
      <w:tr>
        <w:trPr>
          <w:cantSplit/>
          <w:tblHeader w:val="false"/>
        </w:trPr>
        <w:tc>
          <w:tcPr>
            <w:tcW w:type="dxa" w:w="9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D-28</w:t>
            </w:r>
          </w:p>
        </w:tc>
        <w:tc>
          <w:tcPr>
            <w:tcW w:type="dxa" w:w="41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Launch capacity target</w:t>
            </w:r>
          </w:p>
        </w:tc>
        <w:tc>
          <w:tcPr>
            <w:tcW w:type="dxa" w:w="40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5,000 concurrent users and 100,000 registered users, verified by load testing in Sprint 14.</w:t>
            </w:r>
          </w:p>
        </w:tc>
      </w:tr>
      <w:tr>
        <w:trPr>
          <w:cantSplit/>
          <w:tblHeader w:val="false"/>
        </w:trPr>
        <w:tc>
          <w:tcPr>
            <w:tcW w:type="dxa" w:w="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D-29</w:t>
            </w:r>
          </w:p>
        </w:tc>
        <w:tc>
          <w:tcPr>
            <w:tcW w:type="dxa" w:w="4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Production domain and staging subdomain</w:t>
            </w:r>
          </w:p>
        </w:tc>
        <w:tc>
          <w:tcPr>
            <w:tcW w:type="dxa" w:w="40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e.g. app.dxstudenthelp.co.za and staging.dxstudenthelp.co.za. DX to confirm the exact domain.</w:t>
            </w:r>
          </w:p>
        </w:tc>
      </w:tr>
    </w:tbl>
    <w:p>
      <w:pPr>
        <w:spacing w:after="100"/>
      </w:pPr>
    </w:p>
    <w:p>
      <w:pPr>
        <w:pStyle w:val="Heading1"/>
      </w:pPr>
      <w:r>
        <w:t xml:space="preserve">4. Data DX Must Supply</w:t>
      </w:r>
    </w:p>
    <w:p>
      <w:pPr>
        <w:spacing w:after="120" w:line="276"/>
      </w:pPr>
      <w:r>
        <w:rPr>
          <w:rFonts w:ascii="Calibri" w:cs="Calibri" w:eastAsia="Calibri" w:hAnsi="Calibri"/>
          <w:sz w:val="21"/>
          <w:szCs w:val="21"/>
        </w:rPr>
        <w:t xml:space="preserve">Templates are in the project repository under docs/templates. Needed by Week 2, Day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Template</w:t>
            </w:r>
          </w:p>
        </w:tc>
        <w:tc>
          <w:tcPr>
            <w:tcW w:type="dxa" w:w="6426"/>
            <w:tcBorders>
              <w:top w:val="single" w:color="C9D3DF" w:sz="4"/>
              <w:left w:val="single" w:color="C9D3DF" w:sz="4"/>
              <w:bottom w:val="single" w:color="C9D3DF" w:sz="4"/>
              <w:right w:val="single" w:color="C9D3DF" w:sz="4"/>
            </w:tcBorders>
            <w:shd w:fill="1F3A5F" w:val="clear"/>
            <w:tcMar>
              <w:top w:type="dxa" w:w="60"/>
              <w:left w:type="dxa" w:w="100"/>
              <w:bottom w:type="dxa" w:w="60"/>
              <w:right w:type="dxa" w:w="100"/>
            </w:tcMar>
          </w:tcPr>
          <w:p>
            <w:pPr>
              <w:keepNext/>
              <w:jc w:val="left"/>
            </w:pPr>
            <w:r>
              <w:rPr>
                <w:rFonts w:ascii="Calibri" w:cs="Calibri" w:eastAsia="Calibri" w:hAnsi="Calibri"/>
                <w:b/>
                <w:bCs/>
                <w:color w:val="FFFFFF"/>
                <w:sz w:val="18"/>
                <w:szCs w:val="18"/>
              </w:rPr>
              <w:t xml:space="preserve">What it contains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subjects_school.csv</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Subjects offered per grade, Grade 8 to Grade 12, split by public and private where they differ</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programmes_college.csv</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NCV and NATED programmes with levels, plus private college faculties and years</w:t>
            </w:r>
          </w:p>
        </w:tc>
      </w:tr>
      <w:tr>
        <w:trPr>
          <w:cantSplit/>
          <w:tblHeader w:val="false"/>
        </w:trP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qualifications_university.csv</w:t>
            </w:r>
          </w:p>
        </w:tc>
        <w:tc>
          <w:tcPr>
            <w:tcW w:type="dxa" w:w="6426"/>
            <w:tcBorders>
              <w:top w:val="single" w:color="C9D3DF" w:sz="4"/>
              <w:left w:val="single" w:color="C9D3DF" w:sz="4"/>
              <w:bottom w:val="single" w:color="C9D3DF" w:sz="4"/>
              <w:right w:val="single" w:color="C9D3DF" w:sz="4"/>
            </w:tcBorders>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Qualification types, years of study and faculties</w:t>
            </w:r>
          </w:p>
        </w:tc>
      </w:tr>
      <w:tr>
        <w:trPr>
          <w:cantSplit/>
          <w:tblHeader w:val="false"/>
        </w:trPr>
        <w:tc>
          <w:tcPr>
            <w:tcW w:type="dxa" w:w="2600"/>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institutions.csv</w:t>
            </w:r>
          </w:p>
        </w:tc>
        <w:tc>
          <w:tcPr>
            <w:tcW w:type="dxa" w:w="6426"/>
            <w:tcBorders>
              <w:top w:val="single" w:color="C9D3DF" w:sz="4"/>
              <w:left w:val="single" w:color="C9D3DF" w:sz="4"/>
              <w:bottom w:val="single" w:color="C9D3DF" w:sz="4"/>
              <w:right w:val="single" w:color="C9D3DF" w:sz="4"/>
            </w:tcBorders>
            <w:shd w:fill="F7F9FC" w:val="clear"/>
            <w:tcMar>
              <w:top w:type="dxa" w:w="60"/>
              <w:left w:type="dxa" w:w="100"/>
              <w:bottom w:type="dxa" w:w="60"/>
              <w:right w:type="dxa" w:w="100"/>
            </w:tcMar>
          </w:tcPr>
          <w:p>
            <w:pPr>
              <w:keepNext/>
              <w:jc w:val="left"/>
            </w:pPr>
            <w:r>
              <w:rPr>
                <w:rFonts w:ascii="Calibri" w:cs="Calibri" w:eastAsia="Calibri" w:hAnsi="Calibri"/>
                <w:b w:val="false"/>
                <w:bCs w:val="false"/>
                <w:color w:val="222222"/>
                <w:sz w:val="18"/>
                <w:szCs w:val="18"/>
              </w:rPr>
              <w:t xml:space="preserve">Optional: named schools, colleges and universities with province and type</w:t>
            </w:r>
          </w:p>
        </w:tc>
      </w:tr>
    </w:tbl>
    <w:p>
      <w:pPr>
        <w:spacing w:after="100"/>
      </w:pPr>
    </w:p>
    <w:p>
      <w:pPr>
        <w:pStyle w:val="ListParagraph"/>
        <w:numPr>
          <w:ilvl w:val="0"/>
          <w:numId w:val="2"/>
        </w:numPr>
        <w:spacing w:after="60" w:line="264"/>
      </w:pPr>
      <w:r>
        <w:rPr>
          <w:rFonts w:ascii="Calibri" w:cs="Calibri" w:eastAsia="Calibri" w:hAnsi="Calibri"/>
          <w:sz w:val="21"/>
          <w:szCs w:val="21"/>
        </w:rPr>
        <w:t xml:space="preserve">Brand assets: logo files, colour palette, any existing style guide.</w:t>
      </w:r>
    </w:p>
    <w:p>
      <w:pPr>
        <w:pStyle w:val="ListParagraph"/>
        <w:numPr>
          <w:ilvl w:val="0"/>
          <w:numId w:val="2"/>
        </w:numPr>
        <w:spacing w:after="60" w:line="264"/>
      </w:pPr>
      <w:r>
        <w:rPr>
          <w:rFonts w:ascii="Calibri" w:cs="Calibri" w:eastAsia="Calibri" w:hAnsi="Calibri"/>
          <w:sz w:val="21"/>
          <w:szCs w:val="21"/>
        </w:rPr>
        <w:t xml:space="preserve">Names and email addresses for the DX administrators and moderators.</w:t>
      </w:r>
    </w:p>
    <w:p>
      <w:pPr>
        <w:pStyle w:val="ListParagraph"/>
        <w:numPr>
          <w:ilvl w:val="0"/>
          <w:numId w:val="2"/>
        </w:numPr>
        <w:spacing w:after="60" w:line="264"/>
      </w:pPr>
      <w:r>
        <w:rPr>
          <w:rFonts w:ascii="Calibri" w:cs="Calibri" w:eastAsia="Calibri" w:hAnsi="Calibri"/>
          <w:sz w:val="21"/>
          <w:szCs w:val="21"/>
        </w:rPr>
        <w:t xml:space="preserve">The exact legal entity name and registration number for the terms of use.</w:t>
      </w:r>
    </w:p>
    <w:p>
      <w:pPr>
        <w:pStyle w:val="Heading1"/>
      </w:pPr>
      <w:r>
        <w:t xml:space="preserve">5. What We Produce</w:t>
      </w:r>
    </w:p>
    <w:p>
      <w:pPr>
        <w:pStyle w:val="ListParagraph"/>
        <w:numPr>
          <w:ilvl w:val="0"/>
          <w:numId w:val="2"/>
        </w:numPr>
        <w:spacing w:after="60" w:line="264"/>
      </w:pPr>
      <w:r>
        <w:rPr>
          <w:rFonts w:ascii="Calibri" w:cs="Calibri" w:eastAsia="Calibri" w:hAnsi="Calibri"/>
          <w:sz w:val="21"/>
          <w:szCs w:val="21"/>
        </w:rPr>
        <w:t xml:space="preserve">Final Software Requirements Specification, replacing the v0.9 draft.</w:t>
      </w:r>
    </w:p>
    <w:p>
      <w:pPr>
        <w:pStyle w:val="ListParagraph"/>
        <w:numPr>
          <w:ilvl w:val="0"/>
          <w:numId w:val="2"/>
        </w:numPr>
        <w:spacing w:after="60" w:line="264"/>
      </w:pPr>
      <w:r>
        <w:rPr>
          <w:rFonts w:ascii="Calibri" w:cs="Calibri" w:eastAsia="Calibri" w:hAnsi="Calibri"/>
          <w:sz w:val="21"/>
          <w:szCs w:val="21"/>
        </w:rPr>
        <w:t xml:space="preserve">Updated Business Requirements Document with the decisions above recorded.</w:t>
      </w:r>
    </w:p>
    <w:p>
      <w:pPr>
        <w:pStyle w:val="ListParagraph"/>
        <w:numPr>
          <w:ilvl w:val="0"/>
          <w:numId w:val="2"/>
        </w:numPr>
        <w:spacing w:after="60" w:line="264"/>
      </w:pPr>
      <w:r>
        <w:rPr>
          <w:rFonts w:ascii="Calibri" w:cs="Calibri" w:eastAsia="Calibri" w:hAnsi="Calibri"/>
          <w:sz w:val="21"/>
          <w:szCs w:val="21"/>
        </w:rPr>
        <w:t xml:space="preserve">User journey maps for every role, including the consent and verification paths.</w:t>
      </w:r>
    </w:p>
    <w:p>
      <w:pPr>
        <w:pStyle w:val="ListParagraph"/>
        <w:numPr>
          <w:ilvl w:val="0"/>
          <w:numId w:val="2"/>
        </w:numPr>
        <w:spacing w:after="60" w:line="264"/>
      </w:pPr>
      <w:r>
        <w:rPr>
          <w:rFonts w:ascii="Calibri" w:cs="Calibri" w:eastAsia="Calibri" w:hAnsi="Calibri"/>
          <w:sz w:val="21"/>
          <w:szCs w:val="21"/>
        </w:rPr>
        <w:t xml:space="preserve">Curriculum and institution data model, loaded with the data DX supplies.</w:t>
      </w:r>
    </w:p>
    <w:p>
      <w:pPr>
        <w:pStyle w:val="ListParagraph"/>
        <w:numPr>
          <w:ilvl w:val="0"/>
          <w:numId w:val="2"/>
        </w:numPr>
        <w:spacing w:after="60" w:line="264"/>
      </w:pPr>
      <w:r>
        <w:rPr>
          <w:rFonts w:ascii="Calibri" w:cs="Calibri" w:eastAsia="Calibri" w:hAnsi="Calibri"/>
          <w:sz w:val="21"/>
          <w:szCs w:val="21"/>
        </w:rPr>
        <w:t xml:space="preserve">Prioritised backlog with acceptance criteria for all 14 sprints.</w:t>
      </w:r>
    </w:p>
    <w:p>
      <w:pPr>
        <w:pStyle w:val="ListParagraph"/>
        <w:numPr>
          <w:ilvl w:val="0"/>
          <w:numId w:val="2"/>
        </w:numPr>
        <w:spacing w:after="60" w:line="264"/>
      </w:pPr>
      <w:r>
        <w:rPr>
          <w:rFonts w:ascii="Calibri" w:cs="Calibri" w:eastAsia="Calibri" w:hAnsi="Calibri"/>
          <w:sz w:val="21"/>
          <w:szCs w:val="21"/>
        </w:rPr>
        <w:t xml:space="preserve">Decision log, maintained in the repository for the life of the project.</w:t>
      </w:r>
    </w:p>
    <w:p>
      <w:pPr>
        <w:pStyle w:val="ListParagraph"/>
        <w:numPr>
          <w:ilvl w:val="0"/>
          <w:numId w:val="2"/>
        </w:numPr>
        <w:spacing w:after="60" w:line="264"/>
      </w:pPr>
      <w:r>
        <w:rPr>
          <w:rFonts w:ascii="Calibri" w:cs="Calibri" w:eastAsia="Calibri" w:hAnsi="Calibri"/>
          <w:sz w:val="21"/>
          <w:szCs w:val="21"/>
        </w:rPr>
        <w:t xml:space="preserve">Confirmed account and dependency checklist with owners and dates.</w:t>
      </w:r>
    </w:p>
    <w:p>
      <w:pPr>
        <w:pStyle w:val="Heading1"/>
      </w:pPr>
      <w:r>
        <w:t xml:space="preserve">6. How Sprint 1 Is Accepted</w:t>
      </w:r>
    </w:p>
    <w:p>
      <w:pPr>
        <w:spacing w:after="120" w:line="276"/>
      </w:pPr>
      <w:r>
        <w:rPr>
          <w:rFonts w:ascii="Calibri" w:cs="Calibri" w:eastAsia="Calibri" w:hAnsi="Calibri"/>
          <w:sz w:val="21"/>
          <w:szCs w:val="21"/>
        </w:rPr>
        <w:t xml:space="preserve">At the sprint review we walk DX through the specification and backlog. DX accepts the sprint when the specification reflects the agreed decisions and the backlog covers the full scope. Changes after acceptance follow change control: estimated in hours and cost, approved in writing before work starts.</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A6478"/>
        <w:sz w:val="17"/>
        <w:szCs w:val="17"/>
      </w:rPr>
      <w:t xml:space="preserve">Mayura Consultancy Services · Confidential</w:t>
    </w:r>
    <w:r>
      <w:rPr>
        <w:rFonts w:ascii="Calibri" w:cs="Calibri" w:eastAsia="Calibri" w:hAnsi="Calibri"/>
        <w:color w:val="5A6478"/>
        <w:sz w:val="17"/>
        <w:szCs w:val="17"/>
      </w:rPr>
      <w:t xml:space="preserve">	Page </w:t>
    </w:r>
    <w:r>
      <w:rPr>
        <w:rFonts w:ascii="Calibri" w:cs="Calibri" w:eastAsia="Calibri" w:hAnsi="Calibri"/>
        <w:color w:val="5A647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tabs>
        <w:tab w:val="right" w:pos="9026"/>
      </w:tabs>
    </w:pPr>
    <w:r>
      <w:rPr>
        <w:rFonts w:ascii="Calibri" w:cs="Calibri" w:eastAsia="Calibri" w:hAnsi="Calibri"/>
        <w:color w:val="5A6478"/>
        <w:sz w:val="17"/>
        <w:szCs w:val="17"/>
      </w:rPr>
      <w:t xml:space="preserve">DX Student Help — Sprint 1 Kick-off Pack</w:t>
    </w:r>
    <w:r>
      <w:rPr>
        <w:sz w:val="17"/>
        <w:szCs w:val="17"/>
      </w:rPr>
      <w:t xml:space="preserve">	</w:t>
    </w:r>
    <w:r>
      <w:drawing>
        <wp:inline distT="0" distB="0" distL="0" distR="0">
          <wp:extent cx="1047750" cy="238125"/>
          <wp:effectExtent t="0" r="0" b="0" l="0"/>
          <wp:docPr id="1" name="h" descr="Mayura Consultancy Services logo" title="M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2381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300"/>
      <w:outlineLvl w:val="1"/>
    </w:pPr>
    <w:rPr>
      <w:rFonts w:ascii="Calibri" w:cs="Calibri" w:eastAsia="Calibri" w:hAnsi="Calibri"/>
      <w:b/>
      <w:bCs/>
      <w:color w:val="0E7C86"/>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60cf53724c4775353e328f36533b033909a95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0cf53724c4775353e328f36533b033909a954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Student Help — Sprint 1 Kick-off Pack</dc:title>
  <dc:creator>Mayura Consultancy Services</dc:creator>
  <cp:lastModifiedBy>Un-named</cp:lastModifiedBy>
  <cp:revision>1</cp:revision>
  <dcterms:created xsi:type="dcterms:W3CDTF">2026-10-06T13:29:00.783Z</dcterms:created>
  <dcterms:modified xsi:type="dcterms:W3CDTF">2026-10-06T13:29:00.795Z</dcterms:modified>
</cp:coreProperties>
</file>

<file path=docProps/custom.xml><?xml version="1.0" encoding="utf-8"?>
<Properties xmlns="http://schemas.openxmlformats.org/officeDocument/2006/custom-properties" xmlns:vt="http://schemas.openxmlformats.org/officeDocument/2006/docPropsVTypes"/>
</file>