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msrbooknest Knowledge Transfer Guide</w:t>
      </w:r>
    </w:p>
    <w:p>
      <w:pPr>
        <w:pStyle w:val="Subtitle"/>
      </w:pPr>
      <w:r>
        <w:t>Architecture design functional flows and quality attributes</w:t>
      </w:r>
    </w:p>
    <w:p>
      <w:pPr>
        <w:spacing w:after="220"/>
      </w:pPr>
      <w:r>
        <w:rPr>
          <w:rFonts w:ascii="Arial" w:hAnsi="Arial"/>
          <w:color w:val="5C6975"/>
          <w:sz w:val="19"/>
        </w:rPr>
        <w:t>Project handover  |  3 October 2026  |  Local Docker MVP</w:t>
      </w:r>
    </w:p>
    <w:p>
      <w:pPr>
        <w:keepLines w:val="0"/>
      </w:pPr>
      <w:r>
        <w:rPr>
          <w:rFonts w:ascii="Arial" w:hAnsi="Arial"/>
          <w:color w:val="171C22"/>
          <w:sz w:val="21"/>
        </w:rPr>
        <w:t>This guide explains the active msrbooknest bookstore path for developers and support staff taking over the system. It covers how the React storefront, Keycloak identity, Spring Boot services, MySQL, and Kafka fit together; how customers register, shop, and place orders; and which quality controls are in place or still need work.</w:t>
      </w:r>
    </w:p>
    <w:p>
      <w:pPr>
        <w:keepLines w:val="0"/>
      </w:pPr>
      <w:r>
        <w:rPr>
          <w:rFonts w:ascii="Arial" w:hAnsi="Arial"/>
          <w:color w:val="171C22"/>
          <w:sz w:val="21"/>
        </w:rPr>
        <w:t>The current MVP uses Keycloak for OAuth 2.0 / OpenID Connect and a Kafka checkout workflow with a local payment simulator. The main Docker Compose stack does not run the older custom-OTP Auth service, the original static storefront, or the separate enterprise-bookstore module.</w:t>
      </w:r>
    </w:p>
    <w:p>
      <w:pPr>
        <w:pStyle w:val="Heading1"/>
      </w:pPr>
      <w:r>
        <w:t>At a glance</w:t>
      </w:r>
    </w:p>
    <w:tbl>
      <w:tblPr>
        <w:tblW w:type="auto" w:w="0"/>
        <w:jc w:val="center"/>
        <w:tblLayout w:type="fixed"/>
        <w:tblLook w:firstColumn="1" w:firstRow="1" w:lastColumn="0" w:lastRow="0" w:noHBand="0" w:noVBand="1" w:val="04A0"/>
        <w:tblLayout w:type="fixed"/>
        <w:tblBorders>
          <w:top w:val="single" w:sz="5" w:space="0" w:color="C9D3DC"/>
          <w:left w:val="single" w:sz="5" w:space="0" w:color="C9D3DC"/>
          <w:bottom w:val="single" w:sz="5" w:space="0" w:color="C9D3DC"/>
          <w:right w:val="single" w:sz="5" w:space="0" w:color="C9D3DC"/>
          <w:insideH w:val="single" w:sz="5" w:space="0" w:color="C9D3DC"/>
          <w:insideV w:val="single" w:sz="5" w:space="0" w:color="C9D3DC"/>
        </w:tblBorders>
      </w:tblPr>
      <w:tblGrid>
        <w:gridCol w:w="1800"/>
        <w:gridCol w:w="7992"/>
      </w:tblGrid>
      <w:tr>
        <w:trPr>
          <w:tblHeader w:val="true"/>
          <w:cantSplit/>
        </w:trPr>
        <w:tc>
          <w:tcPr>
            <w:tcW w:type="dxa" w:w="1800"/>
            <w:vAlign w:val="center"/>
            <w:shd w:fill="1F354A"/>
            <w:tcMar>
              <w:top w:w="130" w:type="dxa"/>
              <w:start w:w="135" w:type="dxa"/>
              <w:bottom w:w="130" w:type="dxa"/>
              <w:end w:w="135" w:type="dxa"/>
            </w:tcMar>
          </w:tcPr>
          <w:p>
            <w:pPr>
              <w:spacing w:after="0" w:line="252" w:lineRule="auto"/>
            </w:pPr>
            <w:r>
              <w:rPr>
                <w:rFonts w:ascii="Arial" w:hAnsi="Arial"/>
                <w:b/>
                <w:color w:val="FFFFFF"/>
                <w:sz w:val="18"/>
              </w:rPr>
              <w:t>Area</w:t>
            </w:r>
          </w:p>
        </w:tc>
        <w:tc>
          <w:tcPr>
            <w:tcW w:type="dxa" w:w="7992"/>
            <w:vAlign w:val="center"/>
            <w:shd w:fill="1F354A"/>
            <w:tcMar>
              <w:top w:w="130" w:type="dxa"/>
              <w:start w:w="135" w:type="dxa"/>
              <w:bottom w:w="130" w:type="dxa"/>
              <w:end w:w="135" w:type="dxa"/>
            </w:tcMar>
          </w:tcPr>
          <w:p>
            <w:pPr>
              <w:spacing w:after="0" w:line="252" w:lineRule="auto"/>
            </w:pPr>
            <w:r>
              <w:rPr>
                <w:rFonts w:ascii="Arial" w:hAnsi="Arial"/>
                <w:b/>
                <w:color w:val="FFFFFF"/>
                <w:sz w:val="18"/>
              </w:rPr>
              <w:t>Current implementation</w:t>
            </w:r>
          </w:p>
        </w:tc>
      </w:tr>
      <w:tr>
        <w:trPr>
          <w:cantSplit/>
        </w:trPr>
        <w:tc>
          <w:tcPr>
            <w:tcW w:type="dxa" w:w="1800"/>
            <w:vAlign w:val="center"/>
            <w:tcMar>
              <w:top w:w="110" w:type="dxa"/>
              <w:start w:w="120" w:type="dxa"/>
              <w:bottom w:w="110" w:type="dxa"/>
              <w:end w:w="120" w:type="dxa"/>
            </w:tcMar>
          </w:tcPr>
          <w:p>
            <w:pPr>
              <w:spacing w:after="0" w:line="250" w:lineRule="auto"/>
            </w:pPr>
            <w:r>
              <w:rPr>
                <w:rFonts w:ascii="Arial" w:hAnsi="Arial"/>
                <w:color w:val="171C22"/>
                <w:sz w:val="18"/>
              </w:rPr>
              <w:t>Customer UI</w:t>
            </w:r>
          </w:p>
        </w:tc>
        <w:tc>
          <w:tcPr>
            <w:tcW w:type="dxa" w:w="7992"/>
            <w:vAlign w:val="center"/>
            <w:tcMar>
              <w:top w:w="110" w:type="dxa"/>
              <w:start w:w="120" w:type="dxa"/>
              <w:bottom w:w="110" w:type="dxa"/>
              <w:end w:w="120" w:type="dxa"/>
            </w:tcMar>
          </w:tcPr>
          <w:p>
            <w:pPr>
              <w:spacing w:after="0" w:line="250" w:lineRule="auto"/>
            </w:pPr>
            <w:r>
              <w:rPr>
                <w:rFonts w:ascii="Arial" w:hAnsi="Arial"/>
                <w:color w:val="171C22"/>
                <w:sz w:val="18"/>
              </w:rPr>
              <w:t>React + Vite app, built into an Nginx image at http://localhost:5173.</w:t>
            </w:r>
          </w:p>
        </w:tc>
      </w:tr>
      <w:tr>
        <w:trPr>
          <w:cantSplit/>
        </w:trPr>
        <w:tc>
          <w:tcPr>
            <w:tcW w:type="dxa" w:w="1800"/>
            <w:vAlign w:val="center"/>
            <w:tcMar>
              <w:top w:w="110" w:type="dxa"/>
              <w:start w:w="120" w:type="dxa"/>
              <w:bottom w:w="110" w:type="dxa"/>
              <w:end w:w="120" w:type="dxa"/>
            </w:tcMar>
            <w:shd w:fill="F5F8FA"/>
          </w:tcPr>
          <w:p>
            <w:pPr>
              <w:spacing w:after="0" w:line="250" w:lineRule="auto"/>
            </w:pPr>
            <w:r>
              <w:rPr>
                <w:rFonts w:ascii="Arial" w:hAnsi="Arial"/>
                <w:color w:val="171C22"/>
                <w:sz w:val="18"/>
              </w:rPr>
              <w:t>Identity</w:t>
            </w:r>
          </w:p>
        </w:tc>
        <w:tc>
          <w:tcPr>
            <w:tcW w:type="dxa" w:w="7992"/>
            <w:vAlign w:val="center"/>
            <w:tcMar>
              <w:top w:w="110" w:type="dxa"/>
              <w:start w:w="120" w:type="dxa"/>
              <w:bottom w:w="110" w:type="dxa"/>
              <w:end w:w="120" w:type="dxa"/>
            </w:tcMar>
            <w:shd w:fill="F5F8FA"/>
          </w:tcPr>
          <w:p>
            <w:pPr>
              <w:spacing w:after="0" w:line="250" w:lineRule="auto"/>
            </w:pPr>
            <w:r>
              <w:rPr>
                <w:rFonts w:ascii="Arial" w:hAnsi="Arial"/>
                <w:color w:val="171C22"/>
                <w:sz w:val="18"/>
              </w:rPr>
              <w:t>Keycloak realm booknest; browser Authorization Code flow with PKCE S256; realm roles CUSTOMER and ADMIN.</w:t>
            </w:r>
          </w:p>
        </w:tc>
      </w:tr>
      <w:tr>
        <w:trPr>
          <w:cantSplit/>
        </w:trPr>
        <w:tc>
          <w:tcPr>
            <w:tcW w:type="dxa" w:w="1800"/>
            <w:vAlign w:val="center"/>
            <w:tcMar>
              <w:top w:w="110" w:type="dxa"/>
              <w:start w:w="120" w:type="dxa"/>
              <w:bottom w:w="110" w:type="dxa"/>
              <w:end w:w="120" w:type="dxa"/>
            </w:tcMar>
          </w:tcPr>
          <w:p>
            <w:pPr>
              <w:spacing w:after="0" w:line="250" w:lineRule="auto"/>
            </w:pPr>
            <w:r>
              <w:rPr>
                <w:rFonts w:ascii="Arial" w:hAnsi="Arial"/>
                <w:color w:val="171C22"/>
                <w:sz w:val="18"/>
              </w:rPr>
              <w:t>Backend</w:t>
            </w:r>
          </w:p>
        </w:tc>
        <w:tc>
          <w:tcPr>
            <w:tcW w:type="dxa" w:w="7992"/>
            <w:vAlign w:val="center"/>
            <w:tcMar>
              <w:top w:w="110" w:type="dxa"/>
              <w:start w:w="120" w:type="dxa"/>
              <w:bottom w:w="110" w:type="dxa"/>
              <w:end w:w="120" w:type="dxa"/>
            </w:tcMar>
          </w:tcPr>
          <w:p>
            <w:pPr>
              <w:spacing w:after="0" w:line="250" w:lineRule="auto"/>
            </w:pPr>
            <w:r>
              <w:rPr>
                <w:rFonts w:ascii="Arial" w:hAnsi="Arial"/>
                <w:color w:val="171C22"/>
                <w:sz w:val="18"/>
              </w:rPr>
              <w:t>Catalog, Cart, Order, and Payment are separate Spring Boot services using Spring Security, JPA, and Hibernate.</w:t>
            </w:r>
          </w:p>
        </w:tc>
      </w:tr>
      <w:tr>
        <w:trPr>
          <w:cantSplit/>
        </w:trPr>
        <w:tc>
          <w:tcPr>
            <w:tcW w:type="dxa" w:w="1800"/>
            <w:vAlign w:val="center"/>
            <w:tcMar>
              <w:top w:w="110" w:type="dxa"/>
              <w:start w:w="120" w:type="dxa"/>
              <w:bottom w:w="110" w:type="dxa"/>
              <w:end w:w="120" w:type="dxa"/>
            </w:tcMar>
            <w:shd w:fill="F5F8FA"/>
          </w:tcPr>
          <w:p>
            <w:pPr>
              <w:spacing w:after="0" w:line="250" w:lineRule="auto"/>
            </w:pPr>
            <w:r>
              <w:rPr>
                <w:rFonts w:ascii="Arial" w:hAnsi="Arial"/>
                <w:color w:val="171C22"/>
                <w:sz w:val="18"/>
              </w:rPr>
              <w:t>Checkout</w:t>
            </w:r>
          </w:p>
        </w:tc>
        <w:tc>
          <w:tcPr>
            <w:tcW w:type="dxa" w:w="7992"/>
            <w:vAlign w:val="center"/>
            <w:tcMar>
              <w:top w:w="110" w:type="dxa"/>
              <w:start w:w="120" w:type="dxa"/>
              <w:bottom w:w="110" w:type="dxa"/>
              <w:end w:w="120" w:type="dxa"/>
            </w:tcMar>
            <w:shd w:fill="F5F8FA"/>
          </w:tcPr>
          <w:p>
            <w:pPr>
              <w:spacing w:after="0" w:line="250" w:lineRule="auto"/>
            </w:pPr>
            <w:r>
              <w:rPr>
                <w:rFonts w:ascii="Arial" w:hAnsi="Arial"/>
                <w:color w:val="171C22"/>
                <w:sz w:val="18"/>
              </w:rPr>
              <w:t>Order outbox and Kafka events coordinate payment outcome and inventory finalization.</w:t>
            </w:r>
          </w:p>
        </w:tc>
      </w:tr>
      <w:tr>
        <w:trPr>
          <w:cantSplit/>
        </w:trPr>
        <w:tc>
          <w:tcPr>
            <w:tcW w:type="dxa" w:w="1800"/>
            <w:vAlign w:val="center"/>
            <w:tcMar>
              <w:top w:w="110" w:type="dxa"/>
              <w:start w:w="120" w:type="dxa"/>
              <w:bottom w:w="110" w:type="dxa"/>
              <w:end w:w="120" w:type="dxa"/>
            </w:tcMar>
          </w:tcPr>
          <w:p>
            <w:pPr>
              <w:spacing w:after="0" w:line="250" w:lineRule="auto"/>
            </w:pPr>
            <w:r>
              <w:rPr>
                <w:rFonts w:ascii="Arial" w:hAnsi="Arial"/>
                <w:color w:val="171C22"/>
                <w:sz w:val="18"/>
              </w:rPr>
              <w:t>Email</w:t>
            </w:r>
          </w:p>
        </w:tc>
        <w:tc>
          <w:tcPr>
            <w:tcW w:type="dxa" w:w="7992"/>
            <w:vAlign w:val="center"/>
            <w:tcMar>
              <w:top w:w="110" w:type="dxa"/>
              <w:start w:w="120" w:type="dxa"/>
              <w:bottom w:w="110" w:type="dxa"/>
              <w:end w:w="120" w:type="dxa"/>
            </w:tcMar>
          </w:tcPr>
          <w:p>
            <w:pPr>
              <w:spacing w:after="0" w:line="250" w:lineRule="auto"/>
            </w:pPr>
            <w:r>
              <w:rPr>
                <w:rFonts w:ascii="Arial" w:hAnsi="Arial"/>
                <w:color w:val="171C22"/>
                <w:sz w:val="18"/>
              </w:rPr>
              <w:t>Keycloak verification uses a link. Local Compose routes email to Mailpit at http://localhost:8025; Gmail SMTP is not configured.</w:t>
            </w:r>
          </w:p>
        </w:tc>
      </w:tr>
      <w:tr>
        <w:trPr>
          <w:cantSplit/>
        </w:trPr>
        <w:tc>
          <w:tcPr>
            <w:tcW w:type="dxa" w:w="1800"/>
            <w:vAlign w:val="center"/>
            <w:tcMar>
              <w:top w:w="110" w:type="dxa"/>
              <w:start w:w="120" w:type="dxa"/>
              <w:bottom w:w="110" w:type="dxa"/>
              <w:end w:w="120" w:type="dxa"/>
            </w:tcMar>
            <w:shd w:fill="F5F8FA"/>
          </w:tcPr>
          <w:p>
            <w:pPr>
              <w:spacing w:after="0" w:line="250" w:lineRule="auto"/>
            </w:pPr>
            <w:r>
              <w:rPr>
                <w:rFonts w:ascii="Arial" w:hAnsi="Arial"/>
                <w:color w:val="171C22"/>
                <w:sz w:val="18"/>
              </w:rPr>
              <w:t>Payment</w:t>
            </w:r>
          </w:p>
        </w:tc>
        <w:tc>
          <w:tcPr>
            <w:tcW w:type="dxa" w:w="7992"/>
            <w:vAlign w:val="center"/>
            <w:tcMar>
              <w:top w:w="110" w:type="dxa"/>
              <w:start w:w="120" w:type="dxa"/>
              <w:bottom w:w="110" w:type="dxa"/>
              <w:end w:w="120" w:type="dxa"/>
            </w:tcMar>
            <w:shd w:fill="F5F8FA"/>
          </w:tcPr>
          <w:p>
            <w:pPr>
              <w:spacing w:after="0" w:line="250" w:lineRule="auto"/>
            </w:pPr>
            <w:r>
              <w:rPr>
                <w:rFonts w:ascii="Arial" w:hAnsi="Arial"/>
                <w:color w:val="171C22"/>
                <w:sz w:val="18"/>
              </w:rPr>
              <w:t>The Payment service currently simulates success for supported methods; no real payment provider is connected.</w:t>
            </w:r>
          </w:p>
        </w:tc>
      </w:tr>
      <w:tr>
        <w:trPr>
          <w:cantSplit/>
        </w:trPr>
        <w:tc>
          <w:tcPr>
            <w:tcW w:type="dxa" w:w="1800"/>
            <w:vAlign w:val="center"/>
            <w:tcMar>
              <w:top w:w="110" w:type="dxa"/>
              <w:start w:w="120" w:type="dxa"/>
              <w:bottom w:w="110" w:type="dxa"/>
              <w:end w:w="120" w:type="dxa"/>
            </w:tcMar>
          </w:tcPr>
          <w:p>
            <w:pPr>
              <w:spacing w:after="0" w:line="250" w:lineRule="auto"/>
            </w:pPr>
            <w:r>
              <w:rPr>
                <w:rFonts w:ascii="Arial" w:hAnsi="Arial"/>
                <w:color w:val="171C22"/>
                <w:sz w:val="18"/>
              </w:rPr>
              <w:t>Edge routing</w:t>
            </w:r>
          </w:p>
        </w:tc>
        <w:tc>
          <w:tcPr>
            <w:tcW w:type="dxa" w:w="7992"/>
            <w:vAlign w:val="center"/>
            <w:tcMar>
              <w:top w:w="110" w:type="dxa"/>
              <w:start w:w="120" w:type="dxa"/>
              <w:bottom w:w="110" w:type="dxa"/>
              <w:end w:w="120" w:type="dxa"/>
            </w:tcMar>
          </w:tcPr>
          <w:p>
            <w:pPr>
              <w:spacing w:after="0" w:line="250" w:lineRule="auto"/>
            </w:pPr>
            <w:r>
              <w:rPr>
                <w:rFonts w:ascii="Arial" w:hAnsi="Arial"/>
                <w:color w:val="171C22"/>
                <w:sz w:val="18"/>
              </w:rPr>
              <w:t>There is no API Gateway. The browser calls Catalog, Cart, and Order directly on local ports.</w:t>
            </w:r>
          </w:p>
        </w:tc>
      </w:tr>
    </w:tbl>
    <w:p>
      <w:pPr>
        <w:spacing w:after="60" w:before="0"/>
      </w:pPr>
    </w:p>
    <w:p>
      <w:pPr>
        <w:pStyle w:val="Heading2"/>
      </w:pPr>
      <w:r>
        <w:t>System boundary</w:t>
      </w:r>
    </w:p>
    <w:p>
      <w:pPr>
        <w:keepLines w:val="0"/>
      </w:pPr>
      <w:r>
        <w:rPr>
          <w:rFonts w:ascii="Arial" w:hAnsi="Arial"/>
          <w:color w:val="171C22"/>
          <w:sz w:val="19"/>
        </w:rPr>
        <w:t>The active runtime is defined by docker-compose.yml. Treat docs/architecture.md as the fuller architecture note, and use the code paths named in this guide when changing service contracts. The word “current” describes repository behavior; production recommendations are called out separately.</w:t>
      </w:r>
    </w:p>
    <w:p>
      <w:r>
        <w:br w:type="page"/>
      </w:r>
    </w:p>
    <w:p>
      <w:pPr>
        <w:pStyle w:val="Heading1"/>
      </w:pPr>
      <w:r>
        <w:t>System architecture</w:t>
      </w:r>
    </w:p>
    <w:p>
      <w:pPr>
        <w:keepLines w:val="0"/>
      </w:pPr>
      <w:r>
        <w:rPr>
          <w:rFonts w:ascii="Arial" w:hAnsi="Arial"/>
          <w:color w:val="171C22"/>
          <w:sz w:val="20"/>
        </w:rPr>
        <w:t>The storefront uses OIDC for customer identity, synchronous HTTP for read and cart operations, and Kafka for the asynchronous payment portion of checkout. Each backend service owns its tables, even though local Compose runs them on one MySQL server.</w:t>
      </w:r>
    </w:p>
    <w:p>
      <w:pPr>
        <w:spacing w:after="40"/>
        <w:jc w:val="center"/>
      </w:pPr>
      <w:r>
        <w:drawing>
          <wp:inline xmlns:a="http://schemas.openxmlformats.org/drawingml/2006/main" xmlns:pic="http://schemas.openxmlformats.org/drawingml/2006/picture">
            <wp:extent cx="6199632" cy="3487293"/>
            <wp:docPr id="1" name="Picture 1" descr="Architecture diagram showing React, Keycloak, four Spring services, Mailpit, MySQL, and Kafka."/>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99632" cy="3487293"/>
                    </a:xfrm>
                    <a:prstGeom prst="rect"/>
                  </pic:spPr>
                </pic:pic>
              </a:graphicData>
            </a:graphic>
          </wp:inline>
        </w:drawing>
      </w:r>
    </w:p>
    <w:p>
      <w:pPr>
        <w:pStyle w:val="Caption"/>
        <w:jc w:val="center"/>
      </w:pPr>
      <w:r>
        <w:rPr>
          <w:rFonts w:ascii="Arial" w:hAnsi="Arial"/>
          <w:i/>
          <w:color w:val="5C6975"/>
          <w:sz w:val="17"/>
        </w:rPr>
        <w:t>Figure 1. Local runtime and primary paths. Dark lines show browser HTTP or identity traffic, gray lines show data persistence, and amber dashed lines show checkout events.</w:t>
      </w:r>
    </w:p>
    <w:p>
      <w:pPr>
        <w:pStyle w:val="ListBullet"/>
        <w:keepLines/>
        <w:spacing w:after="80"/>
      </w:pPr>
      <w:r>
        <w:rPr>
          <w:rFonts w:ascii="Arial" w:hAnsi="Arial"/>
          <w:b/>
          <w:color w:val="171C22"/>
          <w:sz w:val="20"/>
        </w:rPr>
        <w:t xml:space="preserve">Browser path. </w:t>
      </w:r>
      <w:r>
        <w:rPr>
          <w:rFonts w:ascii="Arial" w:hAnsi="Arial"/>
          <w:color w:val="171C22"/>
          <w:sz w:val="20"/>
        </w:rPr>
        <w:t>React gets an access token from Keycloak and sends it to Catalog, Cart, or Order. Order calls Catalog for an inventory hold and Cart when checkout uses the saved server cart.</w:t>
      </w:r>
    </w:p>
    <w:p>
      <w:pPr>
        <w:pStyle w:val="ListBullet"/>
        <w:keepLines/>
        <w:spacing w:after="80"/>
      </w:pPr>
      <w:r>
        <w:rPr>
          <w:rFonts w:ascii="Arial" w:hAnsi="Arial"/>
          <w:b/>
          <w:color w:val="171C22"/>
          <w:sz w:val="20"/>
        </w:rPr>
        <w:t xml:space="preserve">Order path. </w:t>
      </w:r>
      <w:r>
        <w:rPr>
          <w:rFonts w:ascii="Arial" w:hAnsi="Arial"/>
          <w:color w:val="171C22"/>
          <w:sz w:val="20"/>
        </w:rPr>
        <w:t>Order records a pending order and an outbox row together, then publishes to Kafka. Payment records a simulated transaction and publishes its result. Order updates status and emits a stock-finalization event for Catalog.</w:t>
      </w:r>
    </w:p>
    <w:p>
      <w:pPr>
        <w:pStyle w:val="ListBullet"/>
        <w:keepLines/>
        <w:spacing w:after="80"/>
      </w:pPr>
      <w:r>
        <w:rPr>
          <w:rFonts w:ascii="Arial" w:hAnsi="Arial"/>
          <w:b/>
          <w:color w:val="171C22"/>
          <w:sz w:val="20"/>
        </w:rPr>
        <w:t xml:space="preserve">Data path. </w:t>
      </w:r>
      <w:r>
        <w:rPr>
          <w:rFonts w:ascii="Arial" w:hAnsi="Arial"/>
          <w:color w:val="171C22"/>
          <w:sz w:val="20"/>
        </w:rPr>
        <w:t>Each service persists through its own JPA repositories and schema. Kafka is the asynchronous boundary; services do not share Java entities or directly read another service schema.</w:t>
      </w:r>
    </w:p>
    <w:p>
      <w:r>
        <w:br w:type="page"/>
      </w:r>
    </w:p>
    <w:p>
      <w:pPr>
        <w:pStyle w:val="Heading1"/>
      </w:pPr>
      <w:r>
        <w:t>Runtime components and trust boundaries</w:t>
      </w:r>
    </w:p>
    <w:tbl>
      <w:tblPr>
        <w:tblW w:type="auto" w:w="0"/>
        <w:jc w:val="center"/>
        <w:tblLayout w:type="fixed"/>
        <w:tblLook w:firstColumn="1" w:firstRow="1" w:lastColumn="0" w:lastRow="0" w:noHBand="0" w:noVBand="1" w:val="04A0"/>
        <w:tblLayout w:type="fixed"/>
        <w:tblBorders>
          <w:top w:val="single" w:sz="5" w:space="0" w:color="C9D3DC"/>
          <w:left w:val="single" w:sz="5" w:space="0" w:color="C9D3DC"/>
          <w:bottom w:val="single" w:sz="5" w:space="0" w:color="C9D3DC"/>
          <w:right w:val="single" w:sz="5" w:space="0" w:color="C9D3DC"/>
          <w:insideH w:val="single" w:sz="5" w:space="0" w:color="C9D3DC"/>
          <w:insideV w:val="single" w:sz="5" w:space="0" w:color="C9D3DC"/>
        </w:tblBorders>
      </w:tblPr>
      <w:tblGrid>
        <w:gridCol w:w="1800"/>
        <w:gridCol w:w="1440"/>
        <w:gridCol w:w="6552"/>
      </w:tblGrid>
      <w:tr>
        <w:trPr>
          <w:tblHeader w:val="true"/>
          <w:cantSplit/>
        </w:trPr>
        <w:tc>
          <w:tcPr>
            <w:tcW w:type="dxa" w:w="1800"/>
            <w:vAlign w:val="center"/>
            <w:shd w:fill="1F354A"/>
            <w:tcMar>
              <w:top w:w="130" w:type="dxa"/>
              <w:start w:w="135" w:type="dxa"/>
              <w:bottom w:w="130" w:type="dxa"/>
              <w:end w:w="135" w:type="dxa"/>
            </w:tcMar>
          </w:tcPr>
          <w:p>
            <w:pPr>
              <w:spacing w:after="0" w:line="252" w:lineRule="auto"/>
            </w:pPr>
            <w:r>
              <w:rPr>
                <w:rFonts w:ascii="Arial" w:hAnsi="Arial"/>
                <w:b/>
                <w:color w:val="FFFFFF"/>
                <w:sz w:val="17"/>
              </w:rPr>
              <w:t>Component</w:t>
            </w:r>
          </w:p>
        </w:tc>
        <w:tc>
          <w:tcPr>
            <w:tcW w:type="dxa" w:w="1440"/>
            <w:vAlign w:val="center"/>
            <w:shd w:fill="1F354A"/>
            <w:tcMar>
              <w:top w:w="130" w:type="dxa"/>
              <w:start w:w="135" w:type="dxa"/>
              <w:bottom w:w="130" w:type="dxa"/>
              <w:end w:w="135" w:type="dxa"/>
            </w:tcMar>
          </w:tcPr>
          <w:p>
            <w:pPr>
              <w:spacing w:after="0" w:line="252" w:lineRule="auto"/>
            </w:pPr>
            <w:r>
              <w:rPr>
                <w:rFonts w:ascii="Arial" w:hAnsi="Arial"/>
                <w:b/>
                <w:color w:val="FFFFFF"/>
                <w:sz w:val="17"/>
              </w:rPr>
              <w:t>Local port</w:t>
            </w:r>
          </w:p>
        </w:tc>
        <w:tc>
          <w:tcPr>
            <w:tcW w:type="dxa" w:w="6552"/>
            <w:vAlign w:val="center"/>
            <w:shd w:fill="1F354A"/>
            <w:tcMar>
              <w:top w:w="130" w:type="dxa"/>
              <w:start w:w="135" w:type="dxa"/>
              <w:bottom w:w="130" w:type="dxa"/>
              <w:end w:w="135" w:type="dxa"/>
            </w:tcMar>
          </w:tcPr>
          <w:p>
            <w:pPr>
              <w:spacing w:after="0" w:line="252" w:lineRule="auto"/>
            </w:pPr>
            <w:r>
              <w:rPr>
                <w:rFonts w:ascii="Arial" w:hAnsi="Arial"/>
                <w:b/>
                <w:color w:val="FFFFFF"/>
                <w:sz w:val="17"/>
              </w:rPr>
              <w:t>Role and ownership</w:t>
            </w:r>
          </w:p>
        </w:tc>
      </w:tr>
      <w:tr>
        <w:trPr>
          <w:cantSplit/>
        </w:trPr>
        <w:tc>
          <w:tcPr>
            <w:tcW w:type="dxa" w:w="1800"/>
            <w:vAlign w:val="center"/>
            <w:tcMar>
              <w:top w:w="110" w:type="dxa"/>
              <w:start w:w="120" w:type="dxa"/>
              <w:bottom w:w="110" w:type="dxa"/>
              <w:end w:w="120" w:type="dxa"/>
            </w:tcMar>
          </w:tcPr>
          <w:p>
            <w:pPr>
              <w:spacing w:after="0" w:line="250" w:lineRule="auto"/>
            </w:pPr>
            <w:r>
              <w:rPr>
                <w:rFonts w:ascii="Arial" w:hAnsi="Arial"/>
                <w:color w:val="171C22"/>
                <w:sz w:val="17"/>
              </w:rPr>
              <w:t>React storefront</w:t>
            </w:r>
          </w:p>
        </w:tc>
        <w:tc>
          <w:tcPr>
            <w:tcW w:type="dxa" w:w="1440"/>
            <w:vAlign w:val="center"/>
            <w:tcMar>
              <w:top w:w="110" w:type="dxa"/>
              <w:start w:w="120" w:type="dxa"/>
              <w:bottom w:w="110" w:type="dxa"/>
              <w:end w:w="120" w:type="dxa"/>
            </w:tcMar>
          </w:tcPr>
          <w:p>
            <w:pPr>
              <w:spacing w:after="0" w:line="250" w:lineRule="auto"/>
            </w:pPr>
            <w:r>
              <w:rPr>
                <w:rFonts w:ascii="Arial" w:hAnsi="Arial"/>
                <w:color w:val="171C22"/>
                <w:sz w:val="17"/>
              </w:rPr>
              <w:t>5173</w:t>
            </w:r>
          </w:p>
        </w:tc>
        <w:tc>
          <w:tcPr>
            <w:tcW w:type="dxa" w:w="6552"/>
            <w:vAlign w:val="center"/>
            <w:tcMar>
              <w:top w:w="110" w:type="dxa"/>
              <w:start w:w="120" w:type="dxa"/>
              <w:bottom w:w="110" w:type="dxa"/>
              <w:end w:w="120" w:type="dxa"/>
            </w:tcMar>
          </w:tcPr>
          <w:p>
            <w:pPr>
              <w:spacing w:after="0" w:line="250" w:lineRule="auto"/>
            </w:pPr>
            <w:r>
              <w:rPr>
                <w:rFonts w:ascii="Arial" w:hAnsi="Arial"/>
                <w:color w:val="171C22"/>
                <w:sz w:val="17"/>
              </w:rPr>
              <w:t>customer-web-react; public pages, catalog controls, guest/account cart, checkout, order history.</w:t>
            </w:r>
          </w:p>
        </w:tc>
      </w:tr>
      <w:tr>
        <w:trPr>
          <w:cantSplit/>
        </w:trPr>
        <w:tc>
          <w:tcPr>
            <w:tcW w:type="dxa" w:w="1800"/>
            <w:vAlign w:val="center"/>
            <w:tcMar>
              <w:top w:w="110" w:type="dxa"/>
              <w:start w:w="120" w:type="dxa"/>
              <w:bottom w:w="110" w:type="dxa"/>
              <w:end w:w="120" w:type="dxa"/>
            </w:tcMar>
            <w:shd w:fill="F5F8FA"/>
          </w:tcPr>
          <w:p>
            <w:pPr>
              <w:spacing w:after="0" w:line="250" w:lineRule="auto"/>
            </w:pPr>
            <w:r>
              <w:rPr>
                <w:rFonts w:ascii="Arial" w:hAnsi="Arial"/>
                <w:color w:val="171C22"/>
                <w:sz w:val="17"/>
              </w:rPr>
              <w:t>Keycloak</w:t>
            </w:r>
          </w:p>
        </w:tc>
        <w:tc>
          <w:tcPr>
            <w:tcW w:type="dxa" w:w="1440"/>
            <w:vAlign w:val="center"/>
            <w:tcMar>
              <w:top w:w="110" w:type="dxa"/>
              <w:start w:w="120" w:type="dxa"/>
              <w:bottom w:w="110" w:type="dxa"/>
              <w:end w:w="120" w:type="dxa"/>
            </w:tcMar>
            <w:shd w:fill="F5F8FA"/>
          </w:tcPr>
          <w:p>
            <w:pPr>
              <w:spacing w:after="0" w:line="250" w:lineRule="auto"/>
            </w:pPr>
            <w:r>
              <w:rPr>
                <w:rFonts w:ascii="Arial" w:hAnsi="Arial"/>
                <w:color w:val="171C22"/>
                <w:sz w:val="17"/>
              </w:rPr>
              <w:t>8180</w:t>
            </w:r>
          </w:p>
        </w:tc>
        <w:tc>
          <w:tcPr>
            <w:tcW w:type="dxa" w:w="6552"/>
            <w:vAlign w:val="center"/>
            <w:tcMar>
              <w:top w:w="110" w:type="dxa"/>
              <w:start w:w="120" w:type="dxa"/>
              <w:bottom w:w="110" w:type="dxa"/>
              <w:end w:w="120" w:type="dxa"/>
            </w:tcMar>
            <w:shd w:fill="F5F8FA"/>
          </w:tcPr>
          <w:p>
            <w:pPr>
              <w:spacing w:after="0" w:line="250" w:lineRule="auto"/>
            </w:pPr>
            <w:r>
              <w:rPr>
                <w:rFonts w:ascii="Arial" w:hAnsi="Arial"/>
                <w:color w:val="171C22"/>
                <w:sz w:val="17"/>
              </w:rPr>
              <w:t>booknest realm; user accounts, credential checks, role claims, OIDC tokens, email verification.</w:t>
            </w:r>
          </w:p>
        </w:tc>
      </w:tr>
      <w:tr>
        <w:trPr>
          <w:cantSplit/>
        </w:trPr>
        <w:tc>
          <w:tcPr>
            <w:tcW w:type="dxa" w:w="1800"/>
            <w:vAlign w:val="center"/>
            <w:tcMar>
              <w:top w:w="110" w:type="dxa"/>
              <w:start w:w="120" w:type="dxa"/>
              <w:bottom w:w="110" w:type="dxa"/>
              <w:end w:w="120" w:type="dxa"/>
            </w:tcMar>
          </w:tcPr>
          <w:p>
            <w:pPr>
              <w:spacing w:after="0" w:line="250" w:lineRule="auto"/>
            </w:pPr>
            <w:r>
              <w:rPr>
                <w:rFonts w:ascii="Arial" w:hAnsi="Arial"/>
                <w:color w:val="171C22"/>
                <w:sz w:val="17"/>
              </w:rPr>
              <w:t>Catalog service</w:t>
            </w:r>
          </w:p>
        </w:tc>
        <w:tc>
          <w:tcPr>
            <w:tcW w:type="dxa" w:w="1440"/>
            <w:vAlign w:val="center"/>
            <w:tcMar>
              <w:top w:w="110" w:type="dxa"/>
              <w:start w:w="120" w:type="dxa"/>
              <w:bottom w:w="110" w:type="dxa"/>
              <w:end w:w="120" w:type="dxa"/>
            </w:tcMar>
          </w:tcPr>
          <w:p>
            <w:pPr>
              <w:spacing w:after="0" w:line="250" w:lineRule="auto"/>
            </w:pPr>
            <w:r>
              <w:rPr>
                <w:rFonts w:ascii="Arial" w:hAnsi="Arial"/>
                <w:color w:val="171C22"/>
                <w:sz w:val="17"/>
              </w:rPr>
              <w:t>8082</w:t>
            </w:r>
          </w:p>
        </w:tc>
        <w:tc>
          <w:tcPr>
            <w:tcW w:type="dxa" w:w="6552"/>
            <w:vAlign w:val="center"/>
            <w:tcMar>
              <w:top w:w="110" w:type="dxa"/>
              <w:start w:w="120" w:type="dxa"/>
              <w:bottom w:w="110" w:type="dxa"/>
              <w:end w:w="120" w:type="dxa"/>
            </w:tcMar>
          </w:tcPr>
          <w:p>
            <w:pPr>
              <w:spacing w:after="0" w:line="250" w:lineRule="auto"/>
            </w:pPr>
            <w:r>
              <w:rPr>
                <w:rFonts w:ascii="Arial" w:hAnsi="Arial"/>
                <w:color w:val="171C22"/>
                <w:sz w:val="17"/>
              </w:rPr>
              <w:t>Book and stock data; schema catalog_db; product APIs and stock reservation lifecycle.</w:t>
            </w:r>
          </w:p>
        </w:tc>
      </w:tr>
      <w:tr>
        <w:trPr>
          <w:cantSplit/>
        </w:trPr>
        <w:tc>
          <w:tcPr>
            <w:tcW w:type="dxa" w:w="1800"/>
            <w:vAlign w:val="center"/>
            <w:tcMar>
              <w:top w:w="110" w:type="dxa"/>
              <w:start w:w="120" w:type="dxa"/>
              <w:bottom w:w="110" w:type="dxa"/>
              <w:end w:w="120" w:type="dxa"/>
            </w:tcMar>
            <w:shd w:fill="F5F8FA"/>
          </w:tcPr>
          <w:p>
            <w:pPr>
              <w:spacing w:after="0" w:line="250" w:lineRule="auto"/>
            </w:pPr>
            <w:r>
              <w:rPr>
                <w:rFonts w:ascii="Arial" w:hAnsi="Arial"/>
                <w:color w:val="171C22"/>
                <w:sz w:val="17"/>
              </w:rPr>
              <w:t>Cart service</w:t>
            </w:r>
          </w:p>
        </w:tc>
        <w:tc>
          <w:tcPr>
            <w:tcW w:type="dxa" w:w="1440"/>
            <w:vAlign w:val="center"/>
            <w:tcMar>
              <w:top w:w="110" w:type="dxa"/>
              <w:start w:w="120" w:type="dxa"/>
              <w:bottom w:w="110" w:type="dxa"/>
              <w:end w:w="120" w:type="dxa"/>
            </w:tcMar>
            <w:shd w:fill="F5F8FA"/>
          </w:tcPr>
          <w:p>
            <w:pPr>
              <w:spacing w:after="0" w:line="250" w:lineRule="auto"/>
            </w:pPr>
            <w:r>
              <w:rPr>
                <w:rFonts w:ascii="Arial" w:hAnsi="Arial"/>
                <w:color w:val="171C22"/>
                <w:sz w:val="17"/>
              </w:rPr>
              <w:t>8084</w:t>
            </w:r>
          </w:p>
        </w:tc>
        <w:tc>
          <w:tcPr>
            <w:tcW w:type="dxa" w:w="6552"/>
            <w:vAlign w:val="center"/>
            <w:tcMar>
              <w:top w:w="110" w:type="dxa"/>
              <w:start w:w="120" w:type="dxa"/>
              <w:bottom w:w="110" w:type="dxa"/>
              <w:end w:w="120" w:type="dxa"/>
            </w:tcMar>
            <w:shd w:fill="F5F8FA"/>
          </w:tcPr>
          <w:p>
            <w:pPr>
              <w:spacing w:after="0" w:line="250" w:lineRule="auto"/>
            </w:pPr>
            <w:r>
              <w:rPr>
                <w:rFonts w:ascii="Arial" w:hAnsi="Arial"/>
                <w:color w:val="171C22"/>
                <w:sz w:val="17"/>
              </w:rPr>
              <w:t>Account carts keyed by authenticated identity; schema cart_db.</w:t>
            </w:r>
          </w:p>
        </w:tc>
      </w:tr>
      <w:tr>
        <w:trPr>
          <w:cantSplit/>
        </w:trPr>
        <w:tc>
          <w:tcPr>
            <w:tcW w:type="dxa" w:w="1800"/>
            <w:vAlign w:val="center"/>
            <w:tcMar>
              <w:top w:w="110" w:type="dxa"/>
              <w:start w:w="120" w:type="dxa"/>
              <w:bottom w:w="110" w:type="dxa"/>
              <w:end w:w="120" w:type="dxa"/>
            </w:tcMar>
          </w:tcPr>
          <w:p>
            <w:pPr>
              <w:spacing w:after="0" w:line="250" w:lineRule="auto"/>
            </w:pPr>
            <w:r>
              <w:rPr>
                <w:rFonts w:ascii="Arial" w:hAnsi="Arial"/>
                <w:color w:val="171C22"/>
                <w:sz w:val="17"/>
              </w:rPr>
              <w:t>Order service</w:t>
            </w:r>
          </w:p>
        </w:tc>
        <w:tc>
          <w:tcPr>
            <w:tcW w:type="dxa" w:w="1440"/>
            <w:vAlign w:val="center"/>
            <w:tcMar>
              <w:top w:w="110" w:type="dxa"/>
              <w:start w:w="120" w:type="dxa"/>
              <w:bottom w:w="110" w:type="dxa"/>
              <w:end w:w="120" w:type="dxa"/>
            </w:tcMar>
          </w:tcPr>
          <w:p>
            <w:pPr>
              <w:spacing w:after="0" w:line="250" w:lineRule="auto"/>
            </w:pPr>
            <w:r>
              <w:rPr>
                <w:rFonts w:ascii="Arial" w:hAnsi="Arial"/>
                <w:color w:val="171C22"/>
                <w:sz w:val="17"/>
              </w:rPr>
              <w:t>8083</w:t>
            </w:r>
          </w:p>
        </w:tc>
        <w:tc>
          <w:tcPr>
            <w:tcW w:type="dxa" w:w="6552"/>
            <w:vAlign w:val="center"/>
            <w:tcMar>
              <w:top w:w="110" w:type="dxa"/>
              <w:start w:w="120" w:type="dxa"/>
              <w:bottom w:w="110" w:type="dxa"/>
              <w:end w:w="120" w:type="dxa"/>
            </w:tcMar>
          </w:tcPr>
          <w:p>
            <w:pPr>
              <w:spacing w:after="0" w:line="250" w:lineRule="auto"/>
            </w:pPr>
            <w:r>
              <w:rPr>
                <w:rFonts w:ascii="Arial" w:hAnsi="Arial"/>
                <w:color w:val="171C22"/>
                <w:sz w:val="17"/>
              </w:rPr>
              <w:t>Order and item snapshots; schema order_db; checkout state and transactional outbox.</w:t>
            </w:r>
          </w:p>
        </w:tc>
      </w:tr>
      <w:tr>
        <w:trPr>
          <w:cantSplit/>
        </w:trPr>
        <w:tc>
          <w:tcPr>
            <w:tcW w:type="dxa" w:w="1800"/>
            <w:vAlign w:val="center"/>
            <w:tcMar>
              <w:top w:w="110" w:type="dxa"/>
              <w:start w:w="120" w:type="dxa"/>
              <w:bottom w:w="110" w:type="dxa"/>
              <w:end w:w="120" w:type="dxa"/>
            </w:tcMar>
            <w:shd w:fill="F5F8FA"/>
          </w:tcPr>
          <w:p>
            <w:pPr>
              <w:spacing w:after="0" w:line="250" w:lineRule="auto"/>
            </w:pPr>
            <w:r>
              <w:rPr>
                <w:rFonts w:ascii="Arial" w:hAnsi="Arial"/>
                <w:color w:val="171C22"/>
                <w:sz w:val="17"/>
              </w:rPr>
              <w:t>Payment service</w:t>
            </w:r>
          </w:p>
        </w:tc>
        <w:tc>
          <w:tcPr>
            <w:tcW w:type="dxa" w:w="1440"/>
            <w:vAlign w:val="center"/>
            <w:tcMar>
              <w:top w:w="110" w:type="dxa"/>
              <w:start w:w="120" w:type="dxa"/>
              <w:bottom w:w="110" w:type="dxa"/>
              <w:end w:w="120" w:type="dxa"/>
            </w:tcMar>
            <w:shd w:fill="F5F8FA"/>
          </w:tcPr>
          <w:p>
            <w:pPr>
              <w:spacing w:after="0" w:line="250" w:lineRule="auto"/>
            </w:pPr>
            <w:r>
              <w:rPr>
                <w:rFonts w:ascii="Arial" w:hAnsi="Arial"/>
                <w:color w:val="171C22"/>
                <w:sz w:val="17"/>
              </w:rPr>
              <w:t>8085</w:t>
            </w:r>
          </w:p>
        </w:tc>
        <w:tc>
          <w:tcPr>
            <w:tcW w:type="dxa" w:w="6552"/>
            <w:vAlign w:val="center"/>
            <w:tcMar>
              <w:top w:w="110" w:type="dxa"/>
              <w:start w:w="120" w:type="dxa"/>
              <w:bottom w:w="110" w:type="dxa"/>
              <w:end w:w="120" w:type="dxa"/>
            </w:tcMar>
            <w:shd w:fill="F5F8FA"/>
          </w:tcPr>
          <w:p>
            <w:pPr>
              <w:spacing w:after="0" w:line="250" w:lineRule="auto"/>
            </w:pPr>
            <w:r>
              <w:rPr>
                <w:rFonts w:ascii="Arial" w:hAnsi="Arial"/>
                <w:color w:val="171C22"/>
                <w:sz w:val="17"/>
              </w:rPr>
              <w:t>Payment transaction records; schema payment_db; current adapter is a simulator.</w:t>
            </w:r>
          </w:p>
        </w:tc>
      </w:tr>
      <w:tr>
        <w:trPr>
          <w:cantSplit/>
        </w:trPr>
        <w:tc>
          <w:tcPr>
            <w:tcW w:type="dxa" w:w="1800"/>
            <w:vAlign w:val="center"/>
            <w:tcMar>
              <w:top w:w="110" w:type="dxa"/>
              <w:start w:w="120" w:type="dxa"/>
              <w:bottom w:w="110" w:type="dxa"/>
              <w:end w:w="120" w:type="dxa"/>
            </w:tcMar>
          </w:tcPr>
          <w:p>
            <w:pPr>
              <w:spacing w:after="0" w:line="250" w:lineRule="auto"/>
            </w:pPr>
            <w:r>
              <w:rPr>
                <w:rFonts w:ascii="Arial" w:hAnsi="Arial"/>
                <w:color w:val="171C22"/>
                <w:sz w:val="17"/>
              </w:rPr>
              <w:t>MySQL</w:t>
            </w:r>
          </w:p>
        </w:tc>
        <w:tc>
          <w:tcPr>
            <w:tcW w:type="dxa" w:w="1440"/>
            <w:vAlign w:val="center"/>
            <w:tcMar>
              <w:top w:w="110" w:type="dxa"/>
              <w:start w:w="120" w:type="dxa"/>
              <w:bottom w:w="110" w:type="dxa"/>
              <w:end w:w="120" w:type="dxa"/>
            </w:tcMar>
          </w:tcPr>
          <w:p>
            <w:pPr>
              <w:spacing w:after="0" w:line="250" w:lineRule="auto"/>
            </w:pPr>
            <w:r>
              <w:rPr>
                <w:rFonts w:ascii="Arial" w:hAnsi="Arial"/>
                <w:color w:val="171C22"/>
                <w:sz w:val="17"/>
              </w:rPr>
              <w:t>3306</w:t>
            </w:r>
          </w:p>
        </w:tc>
        <w:tc>
          <w:tcPr>
            <w:tcW w:type="dxa" w:w="6552"/>
            <w:vAlign w:val="center"/>
            <w:tcMar>
              <w:top w:w="110" w:type="dxa"/>
              <w:start w:w="120" w:type="dxa"/>
              <w:bottom w:w="110" w:type="dxa"/>
              <w:end w:w="120" w:type="dxa"/>
            </w:tcMar>
          </w:tcPr>
          <w:p>
            <w:pPr>
              <w:spacing w:after="0" w:line="250" w:lineRule="auto"/>
            </w:pPr>
            <w:r>
              <w:rPr>
                <w:rFonts w:ascii="Arial" w:hAnsi="Arial"/>
                <w:color w:val="171C22"/>
                <w:sz w:val="17"/>
              </w:rPr>
              <w:t>One local MySQL 8 instance with service-specific schemas and a shared development credential.</w:t>
            </w:r>
          </w:p>
        </w:tc>
      </w:tr>
      <w:tr>
        <w:trPr>
          <w:cantSplit/>
        </w:trPr>
        <w:tc>
          <w:tcPr>
            <w:tcW w:type="dxa" w:w="1800"/>
            <w:vAlign w:val="center"/>
            <w:tcMar>
              <w:top w:w="110" w:type="dxa"/>
              <w:start w:w="120" w:type="dxa"/>
              <w:bottom w:w="110" w:type="dxa"/>
              <w:end w:w="120" w:type="dxa"/>
            </w:tcMar>
            <w:shd w:fill="F5F8FA"/>
          </w:tcPr>
          <w:p>
            <w:pPr>
              <w:spacing w:after="0" w:line="250" w:lineRule="auto"/>
            </w:pPr>
            <w:r>
              <w:rPr>
                <w:rFonts w:ascii="Arial" w:hAnsi="Arial"/>
                <w:color w:val="171C22"/>
                <w:sz w:val="17"/>
              </w:rPr>
              <w:t>Kafka</w:t>
            </w:r>
          </w:p>
        </w:tc>
        <w:tc>
          <w:tcPr>
            <w:tcW w:type="dxa" w:w="1440"/>
            <w:vAlign w:val="center"/>
            <w:tcMar>
              <w:top w:w="110" w:type="dxa"/>
              <w:start w:w="120" w:type="dxa"/>
              <w:bottom w:w="110" w:type="dxa"/>
              <w:end w:w="120" w:type="dxa"/>
            </w:tcMar>
            <w:shd w:fill="F5F8FA"/>
          </w:tcPr>
          <w:p>
            <w:pPr>
              <w:spacing w:after="0" w:line="250" w:lineRule="auto"/>
            </w:pPr>
            <w:r>
              <w:rPr>
                <w:rFonts w:ascii="Arial" w:hAnsi="Arial"/>
                <w:color w:val="171C22"/>
                <w:sz w:val="17"/>
              </w:rPr>
              <w:t>9092 / 29092</w:t>
            </w:r>
          </w:p>
        </w:tc>
        <w:tc>
          <w:tcPr>
            <w:tcW w:type="dxa" w:w="6552"/>
            <w:vAlign w:val="center"/>
            <w:tcMar>
              <w:top w:w="110" w:type="dxa"/>
              <w:start w:w="120" w:type="dxa"/>
              <w:bottom w:w="110" w:type="dxa"/>
              <w:end w:w="120" w:type="dxa"/>
            </w:tcMar>
            <w:shd w:fill="F5F8FA"/>
          </w:tcPr>
          <w:p>
            <w:pPr>
              <w:spacing w:after="0" w:line="250" w:lineRule="auto"/>
            </w:pPr>
            <w:r>
              <w:rPr>
                <w:rFonts w:ascii="Arial" w:hAnsi="Arial"/>
                <w:color w:val="171C22"/>
                <w:sz w:val="17"/>
              </w:rPr>
              <w:t>Single-node KRaft broker; host and Compose-network listeners respectively.</w:t>
            </w:r>
          </w:p>
        </w:tc>
      </w:tr>
      <w:tr>
        <w:trPr>
          <w:cantSplit/>
        </w:trPr>
        <w:tc>
          <w:tcPr>
            <w:tcW w:type="dxa" w:w="1800"/>
            <w:vAlign w:val="center"/>
            <w:tcMar>
              <w:top w:w="110" w:type="dxa"/>
              <w:start w:w="120" w:type="dxa"/>
              <w:bottom w:w="110" w:type="dxa"/>
              <w:end w:w="120" w:type="dxa"/>
            </w:tcMar>
          </w:tcPr>
          <w:p>
            <w:pPr>
              <w:spacing w:after="0" w:line="250" w:lineRule="auto"/>
            </w:pPr>
            <w:r>
              <w:rPr>
                <w:rFonts w:ascii="Arial" w:hAnsi="Arial"/>
                <w:color w:val="171C22"/>
                <w:sz w:val="17"/>
              </w:rPr>
              <w:t>Mailpit</w:t>
            </w:r>
          </w:p>
        </w:tc>
        <w:tc>
          <w:tcPr>
            <w:tcW w:type="dxa" w:w="1440"/>
            <w:vAlign w:val="center"/>
            <w:tcMar>
              <w:top w:w="110" w:type="dxa"/>
              <w:start w:w="120" w:type="dxa"/>
              <w:bottom w:w="110" w:type="dxa"/>
              <w:end w:w="120" w:type="dxa"/>
            </w:tcMar>
          </w:tcPr>
          <w:p>
            <w:pPr>
              <w:spacing w:after="0" w:line="250" w:lineRule="auto"/>
            </w:pPr>
            <w:r>
              <w:rPr>
                <w:rFonts w:ascii="Arial" w:hAnsi="Arial"/>
                <w:color w:val="171C22"/>
                <w:sz w:val="17"/>
              </w:rPr>
              <w:t>8025 / 1025</w:t>
            </w:r>
          </w:p>
        </w:tc>
        <w:tc>
          <w:tcPr>
            <w:tcW w:type="dxa" w:w="6552"/>
            <w:vAlign w:val="center"/>
            <w:tcMar>
              <w:top w:w="110" w:type="dxa"/>
              <w:start w:w="120" w:type="dxa"/>
              <w:bottom w:w="110" w:type="dxa"/>
              <w:end w:w="120" w:type="dxa"/>
            </w:tcMar>
          </w:tcPr>
          <w:p>
            <w:pPr>
              <w:spacing w:after="0" w:line="250" w:lineRule="auto"/>
            </w:pPr>
            <w:r>
              <w:rPr>
                <w:rFonts w:ascii="Arial" w:hAnsi="Arial"/>
                <w:color w:val="171C22"/>
                <w:sz w:val="17"/>
              </w:rPr>
              <w:t>Local web inbox and SMTP sink for Keycloak verification links.</w:t>
            </w:r>
          </w:p>
        </w:tc>
      </w:tr>
    </w:tbl>
    <w:p>
      <w:pPr>
        <w:spacing w:after="60" w:before="0"/>
      </w:pPr>
    </w:p>
    <w:p>
      <w:pPr>
        <w:pStyle w:val="Heading2"/>
      </w:pPr>
      <w:r>
        <w:t>Identity and authorization flow</w:t>
      </w:r>
    </w:p>
    <w:p>
      <w:pPr>
        <w:keepLines/>
        <w:spacing w:after="120"/>
        <w:ind w:left="173" w:hanging="173"/>
      </w:pPr>
      <w:r>
        <w:rPr>
          <w:rFonts w:ascii="Arial" w:hAnsi="Arial"/>
          <w:b/>
          <w:color w:val="267A78"/>
          <w:sz w:val="20"/>
        </w:rPr>
        <w:t xml:space="preserve">01  Start.   </w:t>
      </w:r>
      <w:r>
        <w:rPr>
          <w:rFonts w:ascii="Arial" w:hAnsi="Arial"/>
          <w:color w:val="171C22"/>
          <w:sz w:val="20"/>
        </w:rPr>
        <w:t>React initializes keycloak-js with check-sso and PKCE method S256. Sign-in and registration redirect to Keycloak using the public booknest-web client.</w:t>
      </w:r>
    </w:p>
    <w:p>
      <w:pPr>
        <w:keepLines/>
        <w:spacing w:after="120"/>
        <w:ind w:left="173" w:hanging="173"/>
      </w:pPr>
      <w:r>
        <w:rPr>
          <w:rFonts w:ascii="Arial" w:hAnsi="Arial"/>
          <w:b/>
          <w:color w:val="267A78"/>
          <w:sz w:val="20"/>
        </w:rPr>
        <w:t xml:space="preserve">02  Verify.   </w:t>
      </w:r>
      <w:r>
        <w:rPr>
          <w:rFonts w:ascii="Arial" w:hAnsi="Arial"/>
          <w:color w:val="171C22"/>
          <w:sz w:val="20"/>
        </w:rPr>
        <w:t>The realm requires email verification. In local Compose, Keycloak sends a clickable verification link to Mailpit; this is not a numeric OTP. The custom theme labels registration as mobile number and sign-in as email or mobile number.</w:t>
      </w:r>
    </w:p>
    <w:p>
      <w:pPr>
        <w:keepLines/>
        <w:spacing w:after="120"/>
        <w:ind w:left="173" w:hanging="173"/>
      </w:pPr>
      <w:r>
        <w:rPr>
          <w:rFonts w:ascii="Arial" w:hAnsi="Arial"/>
          <w:b/>
          <w:color w:val="267A78"/>
          <w:sz w:val="20"/>
        </w:rPr>
        <w:t xml:space="preserve">03  Token.   </w:t>
      </w:r>
      <w:r>
        <w:rPr>
          <w:rFonts w:ascii="Arial" w:hAnsi="Arial"/>
          <w:color w:val="171C22"/>
          <w:sz w:val="20"/>
        </w:rPr>
        <w:t>Keycloak issues the OIDC access token with realm roles. React keeps the token in memory and refreshes it before API requests when it is near expiry.</w:t>
      </w:r>
    </w:p>
    <w:p>
      <w:pPr>
        <w:keepLines/>
        <w:spacing w:after="120"/>
        <w:ind w:left="173" w:hanging="173"/>
      </w:pPr>
      <w:r>
        <w:rPr>
          <w:rFonts w:ascii="Arial" w:hAnsi="Arial"/>
          <w:b/>
          <w:color w:val="267A78"/>
          <w:sz w:val="20"/>
        </w:rPr>
        <w:t xml:space="preserve">04  Authorize.   </w:t>
      </w:r>
      <w:r>
        <w:rPr>
          <w:rFonts w:ascii="Arial" w:hAnsi="Arial"/>
          <w:color w:val="171C22"/>
          <w:sz w:val="20"/>
        </w:rPr>
        <w:t>Spring Security resource servers validate JWTs using the configured issuer and JWK set. Role claims are mapped to ROLE_CUSTOMER / ROLE_ADMIN. Catalog reads are public; cart and order flows require authentication; administrative operations require ADMIN.</w:t>
      </w:r>
    </w:p>
    <w:p>
      <w:pPr>
        <w:keepLines w:val="0"/>
      </w:pPr>
      <w:r>
        <w:rPr>
          <w:rFonts w:ascii="Arial" w:hAnsi="Arial"/>
          <w:color w:val="171C22"/>
          <w:sz w:val="19"/>
        </w:rPr>
        <w:t>The realm enforces at least 10 characters and one special character for passwords. The custom theme also normalizes 10-digit Indian mobile numbers for registration and login. Local email capture is configured for development; external Gmail SMTP remains a separate configuration task.</w:t>
      </w:r>
    </w:p>
    <w:p>
      <w:r>
        <w:br w:type="page"/>
      </w:r>
    </w:p>
    <w:p>
      <w:pPr>
        <w:pStyle w:val="Heading1"/>
      </w:pPr>
      <w:r>
        <w:t>Customer and operator flows</w:t>
      </w:r>
    </w:p>
    <w:p>
      <w:pPr>
        <w:pStyle w:val="Heading2"/>
      </w:pPr>
      <w:r>
        <w:t>Main API surface</w:t>
      </w:r>
    </w:p>
    <w:tbl>
      <w:tblPr>
        <w:tblW w:type="auto" w:w="0"/>
        <w:jc w:val="center"/>
        <w:tblLayout w:type="fixed"/>
        <w:tblLook w:firstColumn="1" w:firstRow="1" w:lastColumn="0" w:lastRow="0" w:noHBand="0" w:noVBand="1" w:val="04A0"/>
        <w:tblLayout w:type="fixed"/>
        <w:tblBorders>
          <w:top w:val="single" w:sz="5" w:space="0" w:color="C9D3DC"/>
          <w:left w:val="single" w:sz="5" w:space="0" w:color="C9D3DC"/>
          <w:bottom w:val="single" w:sz="5" w:space="0" w:color="C9D3DC"/>
          <w:right w:val="single" w:sz="5" w:space="0" w:color="C9D3DC"/>
          <w:insideH w:val="single" w:sz="5" w:space="0" w:color="C9D3DC"/>
          <w:insideV w:val="single" w:sz="5" w:space="0" w:color="C9D3DC"/>
        </w:tblBorders>
      </w:tblPr>
      <w:tblGrid>
        <w:gridCol w:w="1440"/>
        <w:gridCol w:w="4536"/>
        <w:gridCol w:w="3816"/>
      </w:tblGrid>
      <w:tr>
        <w:trPr>
          <w:tblHeader w:val="true"/>
          <w:cantSplit/>
        </w:trPr>
        <w:tc>
          <w:tcPr>
            <w:tcW w:type="dxa" w:w="1440"/>
            <w:vAlign w:val="center"/>
            <w:shd w:fill="1F354A"/>
            <w:tcMar>
              <w:top w:w="130" w:type="dxa"/>
              <w:start w:w="135" w:type="dxa"/>
              <w:bottom w:w="130" w:type="dxa"/>
              <w:end w:w="135" w:type="dxa"/>
            </w:tcMar>
          </w:tcPr>
          <w:p>
            <w:pPr>
              <w:spacing w:after="0" w:line="252" w:lineRule="auto"/>
            </w:pPr>
            <w:r>
              <w:rPr>
                <w:rFonts w:ascii="Arial" w:hAnsi="Arial"/>
                <w:b/>
                <w:color w:val="FFFFFF"/>
                <w:sz w:val="16"/>
              </w:rPr>
              <w:t>Service</w:t>
            </w:r>
          </w:p>
        </w:tc>
        <w:tc>
          <w:tcPr>
            <w:tcW w:type="dxa" w:w="4536"/>
            <w:vAlign w:val="center"/>
            <w:shd w:fill="1F354A"/>
            <w:tcMar>
              <w:top w:w="130" w:type="dxa"/>
              <w:start w:w="135" w:type="dxa"/>
              <w:bottom w:w="130" w:type="dxa"/>
              <w:end w:w="135" w:type="dxa"/>
            </w:tcMar>
          </w:tcPr>
          <w:p>
            <w:pPr>
              <w:spacing w:after="0" w:line="252" w:lineRule="auto"/>
            </w:pPr>
            <w:r>
              <w:rPr>
                <w:rFonts w:ascii="Arial" w:hAnsi="Arial"/>
                <w:b/>
                <w:color w:val="FFFFFF"/>
                <w:sz w:val="16"/>
              </w:rPr>
              <w:t>Representative endpoints</w:t>
            </w:r>
          </w:p>
        </w:tc>
        <w:tc>
          <w:tcPr>
            <w:tcW w:type="dxa" w:w="3816"/>
            <w:vAlign w:val="center"/>
            <w:shd w:fill="1F354A"/>
            <w:tcMar>
              <w:top w:w="130" w:type="dxa"/>
              <w:start w:w="135" w:type="dxa"/>
              <w:bottom w:w="130" w:type="dxa"/>
              <w:end w:w="135" w:type="dxa"/>
            </w:tcMar>
          </w:tcPr>
          <w:p>
            <w:pPr>
              <w:spacing w:after="0" w:line="252" w:lineRule="auto"/>
            </w:pPr>
            <w:r>
              <w:rPr>
                <w:rFonts w:ascii="Arial" w:hAnsi="Arial"/>
                <w:b/>
                <w:color w:val="FFFFFF"/>
                <w:sz w:val="16"/>
              </w:rPr>
              <w:t>Access and behavior</w:t>
            </w:r>
          </w:p>
        </w:tc>
      </w:tr>
      <w:tr>
        <w:trPr>
          <w:cantSplit/>
        </w:trPr>
        <w:tc>
          <w:tcPr>
            <w:tcW w:type="dxa" w:w="1440"/>
            <w:vAlign w:val="center"/>
            <w:tcMar>
              <w:top w:w="110" w:type="dxa"/>
              <w:start w:w="120" w:type="dxa"/>
              <w:bottom w:w="110" w:type="dxa"/>
              <w:end w:w="120" w:type="dxa"/>
            </w:tcMar>
          </w:tcPr>
          <w:p>
            <w:pPr>
              <w:spacing w:after="0" w:line="250" w:lineRule="auto"/>
            </w:pPr>
            <w:r>
              <w:rPr>
                <w:rFonts w:ascii="Arial" w:hAnsi="Arial"/>
                <w:color w:val="171C22"/>
                <w:sz w:val="16"/>
              </w:rPr>
              <w:t>Catalog</w:t>
            </w:r>
          </w:p>
        </w:tc>
        <w:tc>
          <w:tcPr>
            <w:tcW w:type="dxa" w:w="4536"/>
            <w:vAlign w:val="center"/>
            <w:tcMar>
              <w:top w:w="110" w:type="dxa"/>
              <w:start w:w="120" w:type="dxa"/>
              <w:bottom w:w="110" w:type="dxa"/>
              <w:end w:w="120" w:type="dxa"/>
            </w:tcMar>
          </w:tcPr>
          <w:p>
            <w:pPr>
              <w:spacing w:after="0" w:line="250" w:lineRule="auto"/>
            </w:pPr>
            <w:r>
              <w:rPr>
                <w:rFonts w:ascii="Arial" w:hAnsi="Arial"/>
                <w:color w:val="171C22"/>
                <w:sz w:val="16"/>
              </w:rPr>
              <w:t>GET /api/products; /api/products/search; /api/products/suggestions; GET /api/products/{id}</w:t>
            </w:r>
          </w:p>
        </w:tc>
        <w:tc>
          <w:tcPr>
            <w:tcW w:type="dxa" w:w="3816"/>
            <w:vAlign w:val="center"/>
            <w:tcMar>
              <w:top w:w="110" w:type="dxa"/>
              <w:start w:w="120" w:type="dxa"/>
              <w:bottom w:w="110" w:type="dxa"/>
              <w:end w:w="120" w:type="dxa"/>
            </w:tcMar>
          </w:tcPr>
          <w:p>
            <w:pPr>
              <w:spacing w:after="0" w:line="250" w:lineRule="auto"/>
            </w:pPr>
            <w:r>
              <w:rPr>
                <w:rFonts w:ascii="Arial" w:hAnsi="Arial"/>
                <w:color w:val="171C22"/>
                <w:sz w:val="16"/>
              </w:rPr>
              <w:t>Public browsing. Admin endpoints under /api/admin/products support search, create, update, and delete.</w:t>
            </w:r>
          </w:p>
        </w:tc>
      </w:tr>
      <w:tr>
        <w:trPr>
          <w:cantSplit/>
        </w:trPr>
        <w:tc>
          <w:tcPr>
            <w:tcW w:type="dxa" w:w="1440"/>
            <w:vAlign w:val="center"/>
            <w:tcMar>
              <w:top w:w="110" w:type="dxa"/>
              <w:start w:w="120" w:type="dxa"/>
              <w:bottom w:w="110" w:type="dxa"/>
              <w:end w:w="120" w:type="dxa"/>
            </w:tcMar>
            <w:shd w:fill="F5F8FA"/>
          </w:tcPr>
          <w:p>
            <w:pPr>
              <w:spacing w:after="0" w:line="250" w:lineRule="auto"/>
            </w:pPr>
            <w:r>
              <w:rPr>
                <w:rFonts w:ascii="Arial" w:hAnsi="Arial"/>
                <w:color w:val="171C22"/>
                <w:sz w:val="16"/>
              </w:rPr>
              <w:t>Cart</w:t>
            </w:r>
          </w:p>
        </w:tc>
        <w:tc>
          <w:tcPr>
            <w:tcW w:type="dxa" w:w="4536"/>
            <w:vAlign w:val="center"/>
            <w:tcMar>
              <w:top w:w="110" w:type="dxa"/>
              <w:start w:w="120" w:type="dxa"/>
              <w:bottom w:w="110" w:type="dxa"/>
              <w:end w:w="120" w:type="dxa"/>
            </w:tcMar>
            <w:shd w:fill="F5F8FA"/>
          </w:tcPr>
          <w:p>
            <w:pPr>
              <w:spacing w:after="0" w:line="250" w:lineRule="auto"/>
            </w:pPr>
            <w:r>
              <w:rPr>
                <w:rFonts w:ascii="Arial" w:hAnsi="Arial"/>
                <w:color w:val="171C22"/>
                <w:sz w:val="16"/>
              </w:rPr>
              <w:t>GET /api/cart; POST /api/cart/items; PATCH /api/cart/items/{bookId}; DELETE /api/cart/items/{bookId}; DELETE /api/cart</w:t>
            </w:r>
          </w:p>
        </w:tc>
        <w:tc>
          <w:tcPr>
            <w:tcW w:type="dxa" w:w="3816"/>
            <w:vAlign w:val="center"/>
            <w:tcMar>
              <w:top w:w="110" w:type="dxa"/>
              <w:start w:w="120" w:type="dxa"/>
              <w:bottom w:w="110" w:type="dxa"/>
              <w:end w:w="120" w:type="dxa"/>
            </w:tcMar>
            <w:shd w:fill="F5F8FA"/>
          </w:tcPr>
          <w:p>
            <w:pPr>
              <w:spacing w:after="0" w:line="250" w:lineRule="auto"/>
            </w:pPr>
            <w:r>
              <w:rPr>
                <w:rFonts w:ascii="Arial" w:hAnsi="Arial"/>
                <w:color w:val="171C22"/>
                <w:sz w:val="16"/>
              </w:rPr>
              <w:t>Authenticated account cart; identity is taken from the validated token.</w:t>
            </w:r>
          </w:p>
        </w:tc>
      </w:tr>
      <w:tr>
        <w:trPr>
          <w:cantSplit/>
        </w:trPr>
        <w:tc>
          <w:tcPr>
            <w:tcW w:type="dxa" w:w="1440"/>
            <w:vAlign w:val="center"/>
            <w:tcMar>
              <w:top w:w="110" w:type="dxa"/>
              <w:start w:w="120" w:type="dxa"/>
              <w:bottom w:w="110" w:type="dxa"/>
              <w:end w:w="120" w:type="dxa"/>
            </w:tcMar>
          </w:tcPr>
          <w:p>
            <w:pPr>
              <w:spacing w:after="0" w:line="250" w:lineRule="auto"/>
            </w:pPr>
            <w:r>
              <w:rPr>
                <w:rFonts w:ascii="Arial" w:hAnsi="Arial"/>
                <w:color w:val="171C22"/>
                <w:sz w:val="16"/>
              </w:rPr>
              <w:t>Order</w:t>
            </w:r>
          </w:p>
        </w:tc>
        <w:tc>
          <w:tcPr>
            <w:tcW w:type="dxa" w:w="4536"/>
            <w:vAlign w:val="center"/>
            <w:tcMar>
              <w:top w:w="110" w:type="dxa"/>
              <w:start w:w="120" w:type="dxa"/>
              <w:bottom w:w="110" w:type="dxa"/>
              <w:end w:w="120" w:type="dxa"/>
            </w:tcMar>
          </w:tcPr>
          <w:p>
            <w:pPr>
              <w:spacing w:after="0" w:line="250" w:lineRule="auto"/>
            </w:pPr>
            <w:r>
              <w:rPr>
                <w:rFonts w:ascii="Arial" w:hAnsi="Arial"/>
                <w:color w:val="171C22"/>
                <w:sz w:val="16"/>
              </w:rPr>
              <w:t>POST /api/orders; GET /api/orders/me</w:t>
            </w:r>
          </w:p>
        </w:tc>
        <w:tc>
          <w:tcPr>
            <w:tcW w:type="dxa" w:w="3816"/>
            <w:vAlign w:val="center"/>
            <w:tcMar>
              <w:top w:w="110" w:type="dxa"/>
              <w:start w:w="120" w:type="dxa"/>
              <w:bottom w:w="110" w:type="dxa"/>
              <w:end w:w="120" w:type="dxa"/>
            </w:tcMar>
          </w:tcPr>
          <w:p>
            <w:pPr>
              <w:spacing w:after="0" w:line="250" w:lineRule="auto"/>
            </w:pPr>
            <w:r>
              <w:rPr>
                <w:rFonts w:ascii="Arial" w:hAnsi="Arial"/>
                <w:color w:val="171C22"/>
                <w:sz w:val="16"/>
              </w:rPr>
              <w:t>Create checkout and read the current customer’s order history. GET /api/orders and fulfillment PATCH routes require ADMIN.</w:t>
            </w:r>
          </w:p>
        </w:tc>
      </w:tr>
      <w:tr>
        <w:trPr>
          <w:cantSplit/>
        </w:trPr>
        <w:tc>
          <w:tcPr>
            <w:tcW w:type="dxa" w:w="1440"/>
            <w:vAlign w:val="center"/>
            <w:tcMar>
              <w:top w:w="110" w:type="dxa"/>
              <w:start w:w="120" w:type="dxa"/>
              <w:bottom w:w="110" w:type="dxa"/>
              <w:end w:w="120" w:type="dxa"/>
            </w:tcMar>
            <w:shd w:fill="F5F8FA"/>
          </w:tcPr>
          <w:p>
            <w:pPr>
              <w:spacing w:after="0" w:line="250" w:lineRule="auto"/>
            </w:pPr>
            <w:r>
              <w:rPr>
                <w:rFonts w:ascii="Arial" w:hAnsi="Arial"/>
                <w:color w:val="171C22"/>
                <w:sz w:val="16"/>
              </w:rPr>
              <w:t>Payment</w:t>
            </w:r>
          </w:p>
        </w:tc>
        <w:tc>
          <w:tcPr>
            <w:tcW w:type="dxa" w:w="4536"/>
            <w:vAlign w:val="center"/>
            <w:tcMar>
              <w:top w:w="110" w:type="dxa"/>
              <w:start w:w="120" w:type="dxa"/>
              <w:bottom w:w="110" w:type="dxa"/>
              <w:end w:w="120" w:type="dxa"/>
            </w:tcMar>
            <w:shd w:fill="F5F8FA"/>
          </w:tcPr>
          <w:p>
            <w:pPr>
              <w:spacing w:after="0" w:line="250" w:lineRule="auto"/>
            </w:pPr>
            <w:r>
              <w:rPr>
                <w:rFonts w:ascii="Arial" w:hAnsi="Arial"/>
                <w:color w:val="171C22"/>
                <w:sz w:val="16"/>
              </w:rPr>
              <w:t>POST /api/payments/process; POST /api/payments/refund</w:t>
            </w:r>
          </w:p>
        </w:tc>
        <w:tc>
          <w:tcPr>
            <w:tcW w:type="dxa" w:w="3816"/>
            <w:vAlign w:val="center"/>
            <w:tcMar>
              <w:top w:w="110" w:type="dxa"/>
              <w:start w:w="120" w:type="dxa"/>
              <w:bottom w:w="110" w:type="dxa"/>
              <w:end w:w="120" w:type="dxa"/>
            </w:tcMar>
            <w:shd w:fill="F5F8FA"/>
          </w:tcPr>
          <w:p>
            <w:pPr>
              <w:spacing w:after="0" w:line="250" w:lineRule="auto"/>
            </w:pPr>
            <w:r>
              <w:rPr>
                <w:rFonts w:ascii="Arial" w:hAnsi="Arial"/>
                <w:color w:val="171C22"/>
                <w:sz w:val="16"/>
              </w:rPr>
              <w:t>Admin-protected API surface. The normal order flow is consumed from Kafka, not a browser call to this controller.</w:t>
            </w:r>
          </w:p>
        </w:tc>
      </w:tr>
    </w:tbl>
    <w:p>
      <w:pPr>
        <w:spacing w:after="60" w:before="0"/>
      </w:pPr>
    </w:p>
    <w:p>
      <w:pPr>
        <w:pStyle w:val="Heading2"/>
      </w:pPr>
      <w:r>
        <w:t>Registration and sign-in</w:t>
      </w:r>
    </w:p>
    <w:p>
      <w:pPr>
        <w:keepLines/>
        <w:spacing w:after="120"/>
        <w:ind w:left="173" w:hanging="173"/>
      </w:pPr>
      <w:r>
        <w:rPr>
          <w:rFonts w:ascii="Arial" w:hAnsi="Arial"/>
          <w:b/>
          <w:color w:val="267A78"/>
          <w:sz w:val="20"/>
        </w:rPr>
        <w:t xml:space="preserve">01  Open identity.   </w:t>
      </w:r>
      <w:r>
        <w:rPr>
          <w:rFonts w:ascii="Arial" w:hAnsi="Arial"/>
          <w:color w:val="171C22"/>
          <w:sz w:val="20"/>
        </w:rPr>
        <w:t>The React account action starts Keycloak login or registration; the storefront does not create its own password or access token.</w:t>
      </w:r>
    </w:p>
    <w:p>
      <w:pPr>
        <w:keepLines/>
        <w:spacing w:after="120"/>
        <w:ind w:left="173" w:hanging="173"/>
      </w:pPr>
      <w:r>
        <w:rPr>
          <w:rFonts w:ascii="Arial" w:hAnsi="Arial"/>
          <w:b/>
          <w:color w:val="267A78"/>
          <w:sz w:val="20"/>
        </w:rPr>
        <w:t xml:space="preserve">02  Register.   </w:t>
      </w:r>
      <w:r>
        <w:rPr>
          <w:rFonts w:ascii="Arial" w:hAnsi="Arial"/>
          <w:color w:val="171C22"/>
          <w:sz w:val="20"/>
        </w:rPr>
        <w:t>Keycloak collects the configured profile fields. Mobile number is the account username; email verification is required. The custom login theme supplies mobile validation and the password-policy hint.</w:t>
      </w:r>
    </w:p>
    <w:p>
      <w:pPr>
        <w:keepLines/>
        <w:spacing w:after="120"/>
        <w:ind w:left="173" w:hanging="173"/>
      </w:pPr>
      <w:r>
        <w:rPr>
          <w:rFonts w:ascii="Arial" w:hAnsi="Arial"/>
          <w:b/>
          <w:color w:val="267A78"/>
          <w:sz w:val="20"/>
        </w:rPr>
        <w:t xml:space="preserve">03  Verify and return.   </w:t>
      </w:r>
      <w:r>
        <w:rPr>
          <w:rFonts w:ascii="Arial" w:hAnsi="Arial"/>
          <w:color w:val="171C22"/>
          <w:sz w:val="20"/>
        </w:rPr>
        <w:t>The user follows the email verification link, then returns to Keycloak sign-in. The local verification message is visible in Mailpit; Gmail delivery requires an SMTP provider configured in the realm.</w:t>
      </w:r>
    </w:p>
    <w:p>
      <w:pPr>
        <w:pStyle w:val="Heading2"/>
      </w:pPr>
      <w:r>
        <w:t>Browse, cart, and account</w:t>
      </w:r>
    </w:p>
    <w:p>
      <w:pPr>
        <w:keepLines/>
        <w:spacing w:after="120"/>
        <w:ind w:left="173" w:hanging="173"/>
      </w:pPr>
      <w:r>
        <w:rPr>
          <w:rFonts w:ascii="Arial" w:hAnsi="Arial"/>
          <w:b/>
          <w:color w:val="267A78"/>
          <w:sz w:val="20"/>
        </w:rPr>
        <w:t xml:space="preserve">01  Browse.   </w:t>
      </w:r>
      <w:r>
        <w:rPr>
          <w:rFonts w:ascii="Arial" w:hAnsi="Arial"/>
          <w:color w:val="171C22"/>
          <w:sz w:val="20"/>
        </w:rPr>
        <w:t>React loads the Catalog product list, then applies text, shelf, and price sorting controls in the browser. Catalog also exposes search and suggestion endpoints.</w:t>
      </w:r>
    </w:p>
    <w:p>
      <w:pPr>
        <w:keepLines/>
        <w:spacing w:after="120"/>
        <w:ind w:left="173" w:hanging="173"/>
      </w:pPr>
      <w:r>
        <w:rPr>
          <w:rFonts w:ascii="Arial" w:hAnsi="Arial"/>
          <w:b/>
          <w:color w:val="267A78"/>
          <w:sz w:val="20"/>
        </w:rPr>
        <w:t xml:space="preserve">02  Guest cart.   </w:t>
      </w:r>
      <w:r>
        <w:rPr>
          <w:rFonts w:ascii="Arial" w:hAnsi="Arial"/>
          <w:color w:val="171C22"/>
          <w:sz w:val="20"/>
        </w:rPr>
        <w:t>Before sign-in, the cart is stored in browser localStorage. After sign-in, the app loads the server cart and copies guest items into it.</w:t>
      </w:r>
    </w:p>
    <w:p>
      <w:pPr>
        <w:keepLines/>
        <w:spacing w:after="120"/>
        <w:ind w:left="173" w:hanging="173"/>
      </w:pPr>
      <w:r>
        <w:rPr>
          <w:rFonts w:ascii="Arial" w:hAnsi="Arial"/>
          <w:b/>
          <w:color w:val="267A78"/>
          <w:sz w:val="20"/>
        </w:rPr>
        <w:t xml:space="preserve">03  Signed-in cart.   </w:t>
      </w:r>
      <w:r>
        <w:rPr>
          <w:rFonts w:ascii="Arial" w:hAnsi="Arial"/>
          <w:color w:val="171C22"/>
          <w:sz w:val="20"/>
        </w:rPr>
        <w:t>Cart operations go to Cart service and are keyed by the verified token identity. On sign-out, the UI copies the cart to guest storage and clears the server cart.</w:t>
      </w:r>
    </w:p>
    <w:p>
      <w:pPr>
        <w:keepLines/>
        <w:spacing w:after="120"/>
        <w:ind w:left="173" w:hanging="173"/>
      </w:pPr>
      <w:r>
        <w:rPr>
          <w:rFonts w:ascii="Arial" w:hAnsi="Arial"/>
          <w:b/>
          <w:color w:val="267A78"/>
          <w:sz w:val="20"/>
        </w:rPr>
        <w:t xml:space="preserve">04  Operator.   </w:t>
      </w:r>
      <w:r>
        <w:rPr>
          <w:rFonts w:ascii="Arial" w:hAnsi="Arial"/>
          <w:color w:val="171C22"/>
          <w:sz w:val="20"/>
        </w:rPr>
        <w:t>An ADMIN token enables catalog maintenance and order listing / fulfillment transitions. Checkout payment and inventory statuses remain managed by the event workflow.</w:t>
      </w:r>
    </w:p>
    <w:p>
      <w:r>
        <w:br w:type="page"/>
      </w:r>
    </w:p>
    <w:p>
      <w:pPr>
        <w:pStyle w:val="Heading1"/>
      </w:pPr>
      <w:r>
        <w:t>Checkout workflow</w:t>
      </w:r>
    </w:p>
    <w:p>
      <w:pPr>
        <w:keepLines w:val="0"/>
      </w:pPr>
      <w:r>
        <w:rPr>
          <w:rFonts w:ascii="Arial" w:hAnsi="Arial"/>
          <w:color w:val="171C22"/>
          <w:sz w:val="20"/>
        </w:rPr>
        <w:t>Checkout is a saga: the browser receives an initial order response while payment and stock finalization continue asynchronously. The orderRequestId is the workflow and idempotency key.</w:t>
      </w:r>
    </w:p>
    <w:p>
      <w:pPr>
        <w:keepLines/>
        <w:spacing w:after="120"/>
        <w:ind w:left="173" w:hanging="173"/>
      </w:pPr>
      <w:r>
        <w:rPr>
          <w:rFonts w:ascii="Arial" w:hAnsi="Arial"/>
          <w:b/>
          <w:color w:val="267A78"/>
          <w:sz w:val="20"/>
        </w:rPr>
        <w:t xml:space="preserve">01  Submit.   </w:t>
      </w:r>
      <w:r>
        <w:rPr>
          <w:rFonts w:ascii="Arial" w:hAnsi="Arial"/>
          <w:color w:val="171C22"/>
          <w:sz w:val="20"/>
        </w:rPr>
        <w:t>The signed-in UI sends customer name, phone, address, payment method, cart items, and a new UUID orderRequestId to Order service.</w:t>
      </w:r>
    </w:p>
    <w:p>
      <w:pPr>
        <w:keepLines/>
        <w:spacing w:after="120"/>
        <w:ind w:left="173" w:hanging="173"/>
      </w:pPr>
      <w:r>
        <w:rPr>
          <w:rFonts w:ascii="Arial" w:hAnsi="Arial"/>
          <w:b/>
          <w:color w:val="267A78"/>
          <w:sz w:val="20"/>
        </w:rPr>
        <w:t xml:space="preserve">02  Deduplicate.   </w:t>
      </w:r>
      <w:r>
        <w:rPr>
          <w:rFonts w:ascii="Arial" w:hAnsi="Arial"/>
          <w:color w:val="171C22"/>
          <w:sz w:val="20"/>
        </w:rPr>
        <w:t>Order returns the existing order if the same customer retries the same request ID; it rejects a request ID already owned by another customer.</w:t>
      </w:r>
    </w:p>
    <w:p>
      <w:pPr>
        <w:keepLines/>
        <w:spacing w:after="120"/>
        <w:ind w:left="173" w:hanging="173"/>
      </w:pPr>
      <w:r>
        <w:rPr>
          <w:rFonts w:ascii="Arial" w:hAnsi="Arial"/>
          <w:b/>
          <w:color w:val="267A78"/>
          <w:sz w:val="20"/>
        </w:rPr>
        <w:t xml:space="preserve">03  Hold stock.   </w:t>
      </w:r>
      <w:r>
        <w:rPr>
          <w:rFonts w:ascii="Arial" w:hAnsi="Arial"/>
          <w:color w:val="171C22"/>
          <w:sz w:val="20"/>
        </w:rPr>
        <w:t>Order calls Catalog with the bearer token. Catalog quotes authoritative title and price, decrements available stock into a HELD reservation, and sets a 20-minute expiry.</w:t>
      </w:r>
    </w:p>
    <w:p>
      <w:pPr>
        <w:keepLines/>
        <w:spacing w:after="120"/>
        <w:ind w:left="173" w:hanging="173"/>
      </w:pPr>
      <w:r>
        <w:rPr>
          <w:rFonts w:ascii="Arial" w:hAnsi="Arial"/>
          <w:b/>
          <w:color w:val="267A78"/>
          <w:sz w:val="20"/>
        </w:rPr>
        <w:t xml:space="preserve">04  Commit order.   </w:t>
      </w:r>
      <w:r>
        <w:rPr>
          <w:rFonts w:ascii="Arial" w:hAnsi="Arial"/>
          <w:color w:val="171C22"/>
          <w:sz w:val="20"/>
        </w:rPr>
        <w:t>Order stores the order as PENDING_PAYMENT plus an OrderPaymentRequested outbox record inside the same database transaction.</w:t>
      </w:r>
    </w:p>
    <w:p>
      <w:pPr>
        <w:keepLines/>
        <w:spacing w:after="120"/>
        <w:ind w:left="173" w:hanging="173"/>
      </w:pPr>
      <w:r>
        <w:rPr>
          <w:rFonts w:ascii="Arial" w:hAnsi="Arial"/>
          <w:b/>
          <w:color w:val="267A78"/>
          <w:sz w:val="20"/>
        </w:rPr>
        <w:t xml:space="preserve">05  Publish request.   </w:t>
      </w:r>
      <w:r>
        <w:rPr>
          <w:rFonts w:ascii="Arial" w:hAnsi="Arial"/>
          <w:color w:val="171C22"/>
          <w:sz w:val="20"/>
        </w:rPr>
        <w:t>The scheduled outbox publisher polls every second, takes up to 100 unpublished rows, and sends each message to Kafka keyed by orderRequestId.</w:t>
      </w:r>
    </w:p>
    <w:p>
      <w:pPr>
        <w:keepLines/>
        <w:spacing w:after="120"/>
        <w:ind w:left="173" w:hanging="173"/>
      </w:pPr>
      <w:r>
        <w:rPr>
          <w:rFonts w:ascii="Arial" w:hAnsi="Arial"/>
          <w:b/>
          <w:color w:val="267A78"/>
          <w:sz w:val="20"/>
        </w:rPr>
        <w:t xml:space="preserve">06  Simulate payment.   </w:t>
      </w:r>
      <w:r>
        <w:rPr>
          <w:rFonts w:ascii="Arial" w:hAnsi="Arial"/>
          <w:color w:val="171C22"/>
          <w:sz w:val="20"/>
        </w:rPr>
        <w:t>Payment consumes the request, returns an existing transaction for duplicate IDs, or records a SUCCESS transaction for supported methods and publishes a success event. The current adapter does not contact a real payment provider.</w:t>
      </w:r>
    </w:p>
    <w:p>
      <w:pPr>
        <w:keepLines/>
        <w:spacing w:after="120"/>
        <w:ind w:left="173" w:hanging="173"/>
      </w:pPr>
      <w:r>
        <w:rPr>
          <w:rFonts w:ascii="Arial" w:hAnsi="Arial"/>
          <w:b/>
          <w:color w:val="267A78"/>
          <w:sz w:val="20"/>
        </w:rPr>
        <w:t xml:space="preserve">07  Apply outcome.   </w:t>
      </w:r>
      <w:r>
        <w:rPr>
          <w:rFonts w:ascii="Arial" w:hAnsi="Arial"/>
          <w:color w:val="171C22"/>
          <w:sz w:val="20"/>
        </w:rPr>
        <w:t>Order consumes the result and moves PENDING_PAYMENT to PAID or PAYMENT_FAILED. It writes ORDER_PAID or ORDER_CANCELLED to its outbox.</w:t>
      </w:r>
    </w:p>
    <w:p>
      <w:pPr>
        <w:keepLines/>
        <w:spacing w:after="120"/>
        <w:ind w:left="173" w:hanging="173"/>
      </w:pPr>
      <w:r>
        <w:rPr>
          <w:rFonts w:ascii="Arial" w:hAnsi="Arial"/>
          <w:b/>
          <w:color w:val="267A78"/>
          <w:sz w:val="20"/>
        </w:rPr>
        <w:t xml:space="preserve">08  Finalize stock.   </w:t>
      </w:r>
      <w:r>
        <w:rPr>
          <w:rFonts w:ascii="Arial" w:hAnsi="Arial"/>
          <w:color w:val="171C22"/>
          <w:sz w:val="20"/>
        </w:rPr>
        <w:t>Catalog consumes the outcome: commit a HELD reservation on payment success or restore stock on cancellation/failure. A background scan releases reservations that expire after 20 minutes.</w:t>
      </w:r>
    </w:p>
    <w:p>
      <w:pPr>
        <w:pStyle w:val="Heading2"/>
      </w:pPr>
      <w:r>
        <w:t>Versioned Kafka topics</w:t>
      </w:r>
    </w:p>
    <w:tbl>
      <w:tblPr>
        <w:tblW w:type="auto" w:w="0"/>
        <w:jc w:val="center"/>
        <w:tblLayout w:type="fixed"/>
        <w:tblLook w:firstColumn="1" w:firstRow="1" w:lastColumn="0" w:lastRow="0" w:noHBand="0" w:noVBand="1" w:val="04A0"/>
        <w:tblLayout w:type="fixed"/>
        <w:tblBorders>
          <w:top w:val="single" w:sz="5" w:space="0" w:color="C9D3DC"/>
          <w:left w:val="single" w:sz="5" w:space="0" w:color="C9D3DC"/>
          <w:bottom w:val="single" w:sz="5" w:space="0" w:color="C9D3DC"/>
          <w:right w:val="single" w:sz="5" w:space="0" w:color="C9D3DC"/>
          <w:insideH w:val="single" w:sz="5" w:space="0" w:color="C9D3DC"/>
          <w:insideV w:val="single" w:sz="5" w:space="0" w:color="C9D3DC"/>
        </w:tblBorders>
      </w:tblPr>
      <w:tblGrid>
        <w:gridCol w:w="3672"/>
        <w:gridCol w:w="2232"/>
        <w:gridCol w:w="3888"/>
      </w:tblGrid>
      <w:tr>
        <w:trPr>
          <w:tblHeader w:val="true"/>
          <w:cantSplit/>
        </w:trPr>
        <w:tc>
          <w:tcPr>
            <w:tcW w:type="dxa" w:w="3672"/>
            <w:vAlign w:val="center"/>
            <w:shd w:fill="1F354A"/>
            <w:tcMar>
              <w:top w:w="130" w:type="dxa"/>
              <w:start w:w="135" w:type="dxa"/>
              <w:bottom w:w="130" w:type="dxa"/>
              <w:end w:w="135" w:type="dxa"/>
            </w:tcMar>
          </w:tcPr>
          <w:p>
            <w:pPr>
              <w:spacing w:after="0" w:line="252" w:lineRule="auto"/>
            </w:pPr>
            <w:r>
              <w:rPr>
                <w:rFonts w:ascii="Arial" w:hAnsi="Arial"/>
                <w:b/>
                <w:color w:val="FFFFFF"/>
                <w:sz w:val="16"/>
              </w:rPr>
              <w:t>Topic</w:t>
            </w:r>
          </w:p>
        </w:tc>
        <w:tc>
          <w:tcPr>
            <w:tcW w:type="dxa" w:w="2232"/>
            <w:vAlign w:val="center"/>
            <w:shd w:fill="1F354A"/>
            <w:tcMar>
              <w:top w:w="130" w:type="dxa"/>
              <w:start w:w="135" w:type="dxa"/>
              <w:bottom w:w="130" w:type="dxa"/>
              <w:end w:w="135" w:type="dxa"/>
            </w:tcMar>
          </w:tcPr>
          <w:p>
            <w:pPr>
              <w:spacing w:after="0" w:line="252" w:lineRule="auto"/>
            </w:pPr>
            <w:r>
              <w:rPr>
                <w:rFonts w:ascii="Arial" w:hAnsi="Arial"/>
                <w:b/>
                <w:color w:val="FFFFFF"/>
                <w:sz w:val="16"/>
              </w:rPr>
              <w:t>Producer -&gt; consumer</w:t>
            </w:r>
          </w:p>
        </w:tc>
        <w:tc>
          <w:tcPr>
            <w:tcW w:type="dxa" w:w="3888"/>
            <w:vAlign w:val="center"/>
            <w:shd w:fill="1F354A"/>
            <w:tcMar>
              <w:top w:w="130" w:type="dxa"/>
              <w:start w:w="135" w:type="dxa"/>
              <w:bottom w:w="130" w:type="dxa"/>
              <w:end w:w="135" w:type="dxa"/>
            </w:tcMar>
          </w:tcPr>
          <w:p>
            <w:pPr>
              <w:spacing w:after="0" w:line="252" w:lineRule="auto"/>
            </w:pPr>
            <w:r>
              <w:rPr>
                <w:rFonts w:ascii="Arial" w:hAnsi="Arial"/>
                <w:b/>
                <w:color w:val="FFFFFF"/>
                <w:sz w:val="16"/>
              </w:rPr>
              <w:t>Purpose</w:t>
            </w:r>
          </w:p>
        </w:tc>
      </w:tr>
      <w:tr>
        <w:trPr>
          <w:cantSplit/>
        </w:trPr>
        <w:tc>
          <w:tcPr>
            <w:tcW w:type="dxa" w:w="3672"/>
            <w:vAlign w:val="center"/>
            <w:tcMar>
              <w:top w:w="110" w:type="dxa"/>
              <w:start w:w="120" w:type="dxa"/>
              <w:bottom w:w="110" w:type="dxa"/>
              <w:end w:w="120" w:type="dxa"/>
            </w:tcMar>
          </w:tcPr>
          <w:p>
            <w:pPr>
              <w:spacing w:after="0" w:line="250" w:lineRule="auto"/>
            </w:pPr>
            <w:r>
              <w:rPr>
                <w:rFonts w:ascii="Arial" w:hAnsi="Arial"/>
                <w:color w:val="171C22"/>
                <w:sz w:val="16"/>
              </w:rPr>
              <w:t>bookstore.orders.payment-requested.v1</w:t>
            </w:r>
          </w:p>
        </w:tc>
        <w:tc>
          <w:tcPr>
            <w:tcW w:type="dxa" w:w="2232"/>
            <w:vAlign w:val="center"/>
            <w:tcMar>
              <w:top w:w="110" w:type="dxa"/>
              <w:start w:w="120" w:type="dxa"/>
              <w:bottom w:w="110" w:type="dxa"/>
              <w:end w:w="120" w:type="dxa"/>
            </w:tcMar>
          </w:tcPr>
          <w:p>
            <w:pPr>
              <w:spacing w:after="0" w:line="250" w:lineRule="auto"/>
            </w:pPr>
            <w:r>
              <w:rPr>
                <w:rFonts w:ascii="Arial" w:hAnsi="Arial"/>
                <w:color w:val="171C22"/>
                <w:sz w:val="16"/>
              </w:rPr>
              <w:t>Order -&gt; Payment</w:t>
            </w:r>
          </w:p>
        </w:tc>
        <w:tc>
          <w:tcPr>
            <w:tcW w:type="dxa" w:w="3888"/>
            <w:vAlign w:val="center"/>
            <w:tcMar>
              <w:top w:w="110" w:type="dxa"/>
              <w:start w:w="120" w:type="dxa"/>
              <w:bottom w:w="110" w:type="dxa"/>
              <w:end w:w="120" w:type="dxa"/>
            </w:tcMar>
          </w:tcPr>
          <w:p>
            <w:pPr>
              <w:spacing w:after="0" w:line="250" w:lineRule="auto"/>
            </w:pPr>
            <w:r>
              <w:rPr>
                <w:rFonts w:ascii="Arial" w:hAnsi="Arial"/>
                <w:color w:val="171C22"/>
                <w:sz w:val="16"/>
              </w:rPr>
              <w:t>Start payment for accepted order.</w:t>
            </w:r>
          </w:p>
        </w:tc>
      </w:tr>
      <w:tr>
        <w:trPr>
          <w:cantSplit/>
        </w:trPr>
        <w:tc>
          <w:tcPr>
            <w:tcW w:type="dxa" w:w="3672"/>
            <w:vAlign w:val="center"/>
            <w:tcMar>
              <w:top w:w="110" w:type="dxa"/>
              <w:start w:w="120" w:type="dxa"/>
              <w:bottom w:w="110" w:type="dxa"/>
              <w:end w:w="120" w:type="dxa"/>
            </w:tcMar>
            <w:shd w:fill="F5F8FA"/>
          </w:tcPr>
          <w:p>
            <w:pPr>
              <w:spacing w:after="0" w:line="250" w:lineRule="auto"/>
            </w:pPr>
            <w:r>
              <w:rPr>
                <w:rFonts w:ascii="Arial" w:hAnsi="Arial"/>
                <w:color w:val="171C22"/>
                <w:sz w:val="16"/>
              </w:rPr>
              <w:t>bookstore.payments.succeeded.v1</w:t>
            </w:r>
          </w:p>
        </w:tc>
        <w:tc>
          <w:tcPr>
            <w:tcW w:type="dxa" w:w="2232"/>
            <w:vAlign w:val="center"/>
            <w:tcMar>
              <w:top w:w="110" w:type="dxa"/>
              <w:start w:w="120" w:type="dxa"/>
              <w:bottom w:w="110" w:type="dxa"/>
              <w:end w:w="120" w:type="dxa"/>
            </w:tcMar>
            <w:shd w:fill="F5F8FA"/>
          </w:tcPr>
          <w:p>
            <w:pPr>
              <w:spacing w:after="0" w:line="250" w:lineRule="auto"/>
            </w:pPr>
            <w:r>
              <w:rPr>
                <w:rFonts w:ascii="Arial" w:hAnsi="Arial"/>
                <w:color w:val="171C22"/>
                <w:sz w:val="16"/>
              </w:rPr>
              <w:t>Payment -&gt; Order</w:t>
            </w:r>
          </w:p>
        </w:tc>
        <w:tc>
          <w:tcPr>
            <w:tcW w:type="dxa" w:w="3888"/>
            <w:vAlign w:val="center"/>
            <w:tcMar>
              <w:top w:w="110" w:type="dxa"/>
              <w:start w:w="120" w:type="dxa"/>
              <w:bottom w:w="110" w:type="dxa"/>
              <w:end w:w="120" w:type="dxa"/>
            </w:tcMar>
            <w:shd w:fill="F5F8FA"/>
          </w:tcPr>
          <w:p>
            <w:pPr>
              <w:spacing w:after="0" w:line="250" w:lineRule="auto"/>
            </w:pPr>
            <w:r>
              <w:rPr>
                <w:rFonts w:ascii="Arial" w:hAnsi="Arial"/>
                <w:color w:val="171C22"/>
                <w:sz w:val="16"/>
              </w:rPr>
              <w:t>Persist payment reference and mark order PAID.</w:t>
            </w:r>
          </w:p>
        </w:tc>
      </w:tr>
      <w:tr>
        <w:trPr>
          <w:cantSplit/>
        </w:trPr>
        <w:tc>
          <w:tcPr>
            <w:tcW w:type="dxa" w:w="3672"/>
            <w:vAlign w:val="center"/>
            <w:tcMar>
              <w:top w:w="110" w:type="dxa"/>
              <w:start w:w="120" w:type="dxa"/>
              <w:bottom w:w="110" w:type="dxa"/>
              <w:end w:w="120" w:type="dxa"/>
            </w:tcMar>
          </w:tcPr>
          <w:p>
            <w:pPr>
              <w:spacing w:after="0" w:line="250" w:lineRule="auto"/>
            </w:pPr>
            <w:r>
              <w:rPr>
                <w:rFonts w:ascii="Arial" w:hAnsi="Arial"/>
                <w:color w:val="171C22"/>
                <w:sz w:val="16"/>
              </w:rPr>
              <w:t>bookstore.payments.failed.v1</w:t>
            </w:r>
          </w:p>
        </w:tc>
        <w:tc>
          <w:tcPr>
            <w:tcW w:type="dxa" w:w="2232"/>
            <w:vAlign w:val="center"/>
            <w:tcMar>
              <w:top w:w="110" w:type="dxa"/>
              <w:start w:w="120" w:type="dxa"/>
              <w:bottom w:w="110" w:type="dxa"/>
              <w:end w:w="120" w:type="dxa"/>
            </w:tcMar>
          </w:tcPr>
          <w:p>
            <w:pPr>
              <w:spacing w:after="0" w:line="250" w:lineRule="auto"/>
            </w:pPr>
            <w:r>
              <w:rPr>
                <w:rFonts w:ascii="Arial" w:hAnsi="Arial"/>
                <w:color w:val="171C22"/>
                <w:sz w:val="16"/>
              </w:rPr>
              <w:t>Payment -&gt; Order</w:t>
            </w:r>
          </w:p>
        </w:tc>
        <w:tc>
          <w:tcPr>
            <w:tcW w:type="dxa" w:w="3888"/>
            <w:vAlign w:val="center"/>
            <w:tcMar>
              <w:top w:w="110" w:type="dxa"/>
              <w:start w:w="120" w:type="dxa"/>
              <w:bottom w:w="110" w:type="dxa"/>
              <w:end w:w="120" w:type="dxa"/>
            </w:tcMar>
          </w:tcPr>
          <w:p>
            <w:pPr>
              <w:spacing w:after="0" w:line="250" w:lineRule="auto"/>
            </w:pPr>
            <w:r>
              <w:rPr>
                <w:rFonts w:ascii="Arial" w:hAnsi="Arial"/>
                <w:color w:val="171C22"/>
                <w:sz w:val="16"/>
              </w:rPr>
              <w:t>Record failure and start reservation release.</w:t>
            </w:r>
          </w:p>
        </w:tc>
      </w:tr>
      <w:tr>
        <w:trPr>
          <w:cantSplit/>
        </w:trPr>
        <w:tc>
          <w:tcPr>
            <w:tcW w:type="dxa" w:w="3672"/>
            <w:vAlign w:val="center"/>
            <w:tcMar>
              <w:top w:w="110" w:type="dxa"/>
              <w:start w:w="120" w:type="dxa"/>
              <w:bottom w:w="110" w:type="dxa"/>
              <w:end w:w="120" w:type="dxa"/>
            </w:tcMar>
            <w:shd w:fill="F5F8FA"/>
          </w:tcPr>
          <w:p>
            <w:pPr>
              <w:spacing w:after="0" w:line="250" w:lineRule="auto"/>
            </w:pPr>
            <w:r>
              <w:rPr>
                <w:rFonts w:ascii="Arial" w:hAnsi="Arial"/>
                <w:color w:val="171C22"/>
                <w:sz w:val="16"/>
              </w:rPr>
              <w:t>bookstore.orders.paid.v1</w:t>
            </w:r>
          </w:p>
        </w:tc>
        <w:tc>
          <w:tcPr>
            <w:tcW w:type="dxa" w:w="2232"/>
            <w:vAlign w:val="center"/>
            <w:tcMar>
              <w:top w:w="110" w:type="dxa"/>
              <w:start w:w="120" w:type="dxa"/>
              <w:bottom w:w="110" w:type="dxa"/>
              <w:end w:w="120" w:type="dxa"/>
            </w:tcMar>
            <w:shd w:fill="F5F8FA"/>
          </w:tcPr>
          <w:p>
            <w:pPr>
              <w:spacing w:after="0" w:line="250" w:lineRule="auto"/>
            </w:pPr>
            <w:r>
              <w:rPr>
                <w:rFonts w:ascii="Arial" w:hAnsi="Arial"/>
                <w:color w:val="171C22"/>
                <w:sz w:val="16"/>
              </w:rPr>
              <w:t>Order -&gt; Catalog</w:t>
            </w:r>
          </w:p>
        </w:tc>
        <w:tc>
          <w:tcPr>
            <w:tcW w:type="dxa" w:w="3888"/>
            <w:vAlign w:val="center"/>
            <w:tcMar>
              <w:top w:w="110" w:type="dxa"/>
              <w:start w:w="120" w:type="dxa"/>
              <w:bottom w:w="110" w:type="dxa"/>
              <w:end w:w="120" w:type="dxa"/>
            </w:tcMar>
            <w:shd w:fill="F5F8FA"/>
          </w:tcPr>
          <w:p>
            <w:pPr>
              <w:spacing w:after="0" w:line="250" w:lineRule="auto"/>
            </w:pPr>
            <w:r>
              <w:rPr>
                <w:rFonts w:ascii="Arial" w:hAnsi="Arial"/>
                <w:color w:val="171C22"/>
                <w:sz w:val="16"/>
              </w:rPr>
              <w:t>Commit held stock after payment success.</w:t>
            </w:r>
          </w:p>
        </w:tc>
      </w:tr>
      <w:tr>
        <w:trPr>
          <w:cantSplit/>
        </w:trPr>
        <w:tc>
          <w:tcPr>
            <w:tcW w:type="dxa" w:w="3672"/>
            <w:vAlign w:val="center"/>
            <w:tcMar>
              <w:top w:w="110" w:type="dxa"/>
              <w:start w:w="120" w:type="dxa"/>
              <w:bottom w:w="110" w:type="dxa"/>
              <w:end w:w="120" w:type="dxa"/>
            </w:tcMar>
          </w:tcPr>
          <w:p>
            <w:pPr>
              <w:spacing w:after="0" w:line="250" w:lineRule="auto"/>
            </w:pPr>
            <w:r>
              <w:rPr>
                <w:rFonts w:ascii="Arial" w:hAnsi="Arial"/>
                <w:color w:val="171C22"/>
                <w:sz w:val="16"/>
              </w:rPr>
              <w:t>bookstore.orders.cancelled.v1</w:t>
            </w:r>
          </w:p>
        </w:tc>
        <w:tc>
          <w:tcPr>
            <w:tcW w:type="dxa" w:w="2232"/>
            <w:vAlign w:val="center"/>
            <w:tcMar>
              <w:top w:w="110" w:type="dxa"/>
              <w:start w:w="120" w:type="dxa"/>
              <w:bottom w:w="110" w:type="dxa"/>
              <w:end w:w="120" w:type="dxa"/>
            </w:tcMar>
          </w:tcPr>
          <w:p>
            <w:pPr>
              <w:spacing w:after="0" w:line="250" w:lineRule="auto"/>
            </w:pPr>
            <w:r>
              <w:rPr>
                <w:rFonts w:ascii="Arial" w:hAnsi="Arial"/>
                <w:color w:val="171C22"/>
                <w:sz w:val="16"/>
              </w:rPr>
              <w:t>Order -&gt; Catalog</w:t>
            </w:r>
          </w:p>
        </w:tc>
        <w:tc>
          <w:tcPr>
            <w:tcW w:type="dxa" w:w="3888"/>
            <w:vAlign w:val="center"/>
            <w:tcMar>
              <w:top w:w="110" w:type="dxa"/>
              <w:start w:w="120" w:type="dxa"/>
              <w:bottom w:w="110" w:type="dxa"/>
              <w:end w:w="120" w:type="dxa"/>
            </w:tcMar>
          </w:tcPr>
          <w:p>
            <w:pPr>
              <w:spacing w:after="0" w:line="250" w:lineRule="auto"/>
            </w:pPr>
            <w:r>
              <w:rPr>
                <w:rFonts w:ascii="Arial" w:hAnsi="Arial"/>
                <w:color w:val="171C22"/>
                <w:sz w:val="16"/>
              </w:rPr>
              <w:t>Release held stock after cancellation or payment failure.</w:t>
            </w:r>
          </w:p>
        </w:tc>
      </w:tr>
    </w:tbl>
    <w:p>
      <w:pPr>
        <w:spacing w:after="60" w:before="0"/>
      </w:pPr>
    </w:p>
    <w:p>
      <w:pPr>
        <w:keepLines w:val="0"/>
      </w:pPr>
      <w:r>
        <w:rPr>
          <w:rFonts w:ascii="Arial" w:hAnsi="Arial"/>
          <w:color w:val="171C22"/>
          <w:sz w:val="18"/>
        </w:rPr>
        <w:t>Event records carry an event ID, schema version, occurrence timestamp, and orderRequestId. The payment-request event also carries email, amount, and payment method. Do not add credentials, bearer tokens, or full payment secrets to event payloads.</w:t>
      </w:r>
    </w:p>
    <w:p>
      <w:r>
        <w:br w:type="page"/>
      </w:r>
    </w:p>
    <w:p>
      <w:pPr>
        <w:pStyle w:val="Heading1"/>
      </w:pPr>
      <w:r>
        <w:t>Non-functional behavior and readiness</w:t>
      </w:r>
    </w:p>
    <w:p>
      <w:pPr>
        <w:keepLines w:val="0"/>
      </w:pPr>
      <w:r>
        <w:rPr>
          <w:rFonts w:ascii="Arial" w:hAnsi="Arial"/>
          <w:color w:val="171C22"/>
          <w:sz w:val="19"/>
        </w:rPr>
        <w:t>The project is an MVP/local development stack. The table separates controls visible in code or Compose from the hardening still needed before a public production deployment. No latency, throughput, availability, or recovery targets are defined in the repository.</w:t>
      </w:r>
    </w:p>
    <w:tbl>
      <w:tblPr>
        <w:tblW w:type="auto" w:w="0"/>
        <w:jc w:val="center"/>
        <w:tblLayout w:type="fixed"/>
        <w:tblLook w:firstColumn="1" w:firstRow="1" w:lastColumn="0" w:lastRow="0" w:noHBand="0" w:noVBand="1" w:val="04A0"/>
        <w:tblLayout w:type="fixed"/>
        <w:tblBorders>
          <w:top w:val="single" w:sz="5" w:space="0" w:color="C9D3DC"/>
          <w:left w:val="single" w:sz="5" w:space="0" w:color="C9D3DC"/>
          <w:bottom w:val="single" w:sz="5" w:space="0" w:color="C9D3DC"/>
          <w:right w:val="single" w:sz="5" w:space="0" w:color="C9D3DC"/>
          <w:insideH w:val="single" w:sz="5" w:space="0" w:color="C9D3DC"/>
          <w:insideV w:val="single" w:sz="5" w:space="0" w:color="C9D3DC"/>
        </w:tblBorders>
      </w:tblPr>
      <w:tblGrid>
        <w:gridCol w:w="1512"/>
        <w:gridCol w:w="4104"/>
        <w:gridCol w:w="4176"/>
      </w:tblGrid>
      <w:tr>
        <w:trPr>
          <w:tblHeader w:val="true"/>
          <w:cantSplit/>
        </w:trPr>
        <w:tc>
          <w:tcPr>
            <w:tcW w:type="dxa" w:w="1512"/>
            <w:vAlign w:val="center"/>
            <w:shd w:fill="1F354A"/>
            <w:tcMar>
              <w:top w:w="130" w:type="dxa"/>
              <w:start w:w="135" w:type="dxa"/>
              <w:bottom w:w="130" w:type="dxa"/>
              <w:end w:w="135" w:type="dxa"/>
            </w:tcMar>
          </w:tcPr>
          <w:p>
            <w:pPr>
              <w:spacing w:after="0" w:line="252" w:lineRule="auto"/>
            </w:pPr>
            <w:r>
              <w:rPr>
                <w:rFonts w:ascii="Arial" w:hAnsi="Arial"/>
                <w:b/>
                <w:color w:val="FFFFFF"/>
                <w:sz w:val="15"/>
              </w:rPr>
              <w:t>Quality area</w:t>
            </w:r>
          </w:p>
        </w:tc>
        <w:tc>
          <w:tcPr>
            <w:tcW w:type="dxa" w:w="4104"/>
            <w:vAlign w:val="center"/>
            <w:shd w:fill="1F354A"/>
            <w:tcMar>
              <w:top w:w="130" w:type="dxa"/>
              <w:start w:w="135" w:type="dxa"/>
              <w:bottom w:w="130" w:type="dxa"/>
              <w:end w:w="135" w:type="dxa"/>
            </w:tcMar>
          </w:tcPr>
          <w:p>
            <w:pPr>
              <w:spacing w:after="0" w:line="252" w:lineRule="auto"/>
            </w:pPr>
            <w:r>
              <w:rPr>
                <w:rFonts w:ascii="Arial" w:hAnsi="Arial"/>
                <w:b/>
                <w:color w:val="FFFFFF"/>
                <w:sz w:val="15"/>
              </w:rPr>
              <w:t>In place now</w:t>
            </w:r>
          </w:p>
        </w:tc>
        <w:tc>
          <w:tcPr>
            <w:tcW w:type="dxa" w:w="4176"/>
            <w:vAlign w:val="center"/>
            <w:shd w:fill="1F354A"/>
            <w:tcMar>
              <w:top w:w="130" w:type="dxa"/>
              <w:start w:w="135" w:type="dxa"/>
              <w:bottom w:w="130" w:type="dxa"/>
              <w:end w:w="135" w:type="dxa"/>
            </w:tcMar>
          </w:tcPr>
          <w:p>
            <w:pPr>
              <w:spacing w:after="0" w:line="252" w:lineRule="auto"/>
            </w:pPr>
            <w:r>
              <w:rPr>
                <w:rFonts w:ascii="Arial" w:hAnsi="Arial"/>
                <w:b/>
                <w:color w:val="FFFFFF"/>
                <w:sz w:val="15"/>
              </w:rPr>
              <w:t>Gap before production</w:t>
            </w:r>
          </w:p>
        </w:tc>
      </w:tr>
      <w:tr>
        <w:trPr>
          <w:cantSplit/>
        </w:trPr>
        <w:tc>
          <w:tcPr>
            <w:tcW w:type="dxa" w:w="1512"/>
            <w:vAlign w:val="center"/>
            <w:tcMar>
              <w:top w:w="110" w:type="dxa"/>
              <w:start w:w="120" w:type="dxa"/>
              <w:bottom w:w="110" w:type="dxa"/>
              <w:end w:w="120" w:type="dxa"/>
            </w:tcMar>
          </w:tcPr>
          <w:p>
            <w:pPr>
              <w:spacing w:after="0" w:line="250" w:lineRule="auto"/>
            </w:pPr>
            <w:r>
              <w:rPr>
                <w:rFonts w:ascii="Arial" w:hAnsi="Arial"/>
                <w:color w:val="171C22"/>
                <w:sz w:val="15"/>
              </w:rPr>
              <w:t>Security</w:t>
            </w:r>
          </w:p>
        </w:tc>
        <w:tc>
          <w:tcPr>
            <w:tcW w:type="dxa" w:w="4104"/>
            <w:vAlign w:val="center"/>
            <w:tcMar>
              <w:top w:w="110" w:type="dxa"/>
              <w:start w:w="120" w:type="dxa"/>
              <w:bottom w:w="110" w:type="dxa"/>
              <w:end w:w="120" w:type="dxa"/>
            </w:tcMar>
          </w:tcPr>
          <w:p>
            <w:pPr>
              <w:spacing w:after="0" w:line="250" w:lineRule="auto"/>
            </w:pPr>
            <w:r>
              <w:rPr>
                <w:rFonts w:ascii="Arial" w:hAnsi="Arial"/>
                <w:color w:val="171C22"/>
                <w:sz w:val="15"/>
              </w:rPr>
              <w:t>OIDC Authorization Code + PKCE; stateless JWT resource servers; role checks; configured CORS allowlist; password policy; email verification.</w:t>
            </w:r>
          </w:p>
        </w:tc>
        <w:tc>
          <w:tcPr>
            <w:tcW w:type="dxa" w:w="4176"/>
            <w:vAlign w:val="center"/>
            <w:tcMar>
              <w:top w:w="110" w:type="dxa"/>
              <w:start w:w="120" w:type="dxa"/>
              <w:bottom w:w="110" w:type="dxa"/>
              <w:end w:w="120" w:type="dxa"/>
            </w:tcMar>
          </w:tcPr>
          <w:p>
            <w:pPr>
              <w:spacing w:after="0" w:line="250" w:lineRule="auto"/>
            </w:pPr>
            <w:r>
              <w:rPr>
                <w:rFonts w:ascii="Arial" w:hAnsi="Arial"/>
                <w:color w:val="171C22"/>
                <w:sz w:val="15"/>
              </w:rPr>
              <w:t>Keycloak runs in dev mode, realm sslRequired is none, local defaults exist, no API gateway/TLS edge. Move secrets to secret management; use TLS and production realm settings.</w:t>
            </w:r>
          </w:p>
        </w:tc>
      </w:tr>
      <w:tr>
        <w:trPr>
          <w:cantSplit/>
        </w:trPr>
        <w:tc>
          <w:tcPr>
            <w:tcW w:type="dxa" w:w="1512"/>
            <w:vAlign w:val="center"/>
            <w:tcMar>
              <w:top w:w="110" w:type="dxa"/>
              <w:start w:w="120" w:type="dxa"/>
              <w:bottom w:w="110" w:type="dxa"/>
              <w:end w:w="120" w:type="dxa"/>
            </w:tcMar>
            <w:shd w:fill="F5F8FA"/>
          </w:tcPr>
          <w:p>
            <w:pPr>
              <w:spacing w:after="0" w:line="250" w:lineRule="auto"/>
            </w:pPr>
            <w:r>
              <w:rPr>
                <w:rFonts w:ascii="Arial" w:hAnsi="Arial"/>
                <w:color w:val="171C22"/>
                <w:sz w:val="15"/>
              </w:rPr>
              <w:t>Data isolation</w:t>
            </w:r>
          </w:p>
        </w:tc>
        <w:tc>
          <w:tcPr>
            <w:tcW w:type="dxa" w:w="4104"/>
            <w:vAlign w:val="center"/>
            <w:tcMar>
              <w:top w:w="110" w:type="dxa"/>
              <w:start w:w="120" w:type="dxa"/>
              <w:bottom w:w="110" w:type="dxa"/>
              <w:end w:w="120" w:type="dxa"/>
            </w:tcMar>
            <w:shd w:fill="F5F8FA"/>
          </w:tcPr>
          <w:p>
            <w:pPr>
              <w:spacing w:after="0" w:line="250" w:lineRule="auto"/>
            </w:pPr>
            <w:r>
              <w:rPr>
                <w:rFonts w:ascii="Arial" w:hAnsi="Arial"/>
                <w:color w:val="171C22"/>
                <w:sz w:val="15"/>
              </w:rPr>
              <w:t>Catalog, Cart, Order, and Payment have separate schemas and repository/entity ownership. Order/email/address and cart data stay in owning services.</w:t>
            </w:r>
          </w:p>
        </w:tc>
        <w:tc>
          <w:tcPr>
            <w:tcW w:type="dxa" w:w="4176"/>
            <w:vAlign w:val="center"/>
            <w:tcMar>
              <w:top w:w="110" w:type="dxa"/>
              <w:start w:w="120" w:type="dxa"/>
              <w:bottom w:w="110" w:type="dxa"/>
              <w:end w:w="120" w:type="dxa"/>
            </w:tcMar>
            <w:shd w:fill="F5F8FA"/>
          </w:tcPr>
          <w:p>
            <w:pPr>
              <w:spacing w:after="0" w:line="250" w:lineRule="auto"/>
            </w:pPr>
            <w:r>
              <w:rPr>
                <w:rFonts w:ascii="Arial" w:hAnsi="Arial"/>
                <w:color w:val="171C22"/>
                <w:sz w:val="15"/>
              </w:rPr>
              <w:t>All schemas use one MySQL server/root credential in Compose. Add service-level DB users, migrations, backup/restore, encryption-at-rest and retention rules.</w:t>
            </w:r>
          </w:p>
        </w:tc>
      </w:tr>
      <w:tr>
        <w:trPr>
          <w:cantSplit/>
        </w:trPr>
        <w:tc>
          <w:tcPr>
            <w:tcW w:type="dxa" w:w="1512"/>
            <w:vAlign w:val="center"/>
            <w:tcMar>
              <w:top w:w="110" w:type="dxa"/>
              <w:start w:w="120" w:type="dxa"/>
              <w:bottom w:w="110" w:type="dxa"/>
              <w:end w:w="120" w:type="dxa"/>
            </w:tcMar>
          </w:tcPr>
          <w:p>
            <w:pPr>
              <w:spacing w:after="0" w:line="250" w:lineRule="auto"/>
            </w:pPr>
            <w:r>
              <w:rPr>
                <w:rFonts w:ascii="Arial" w:hAnsi="Arial"/>
                <w:color w:val="171C22"/>
                <w:sz w:val="15"/>
              </w:rPr>
              <w:t>Consistency</w:t>
            </w:r>
          </w:p>
        </w:tc>
        <w:tc>
          <w:tcPr>
            <w:tcW w:type="dxa" w:w="4104"/>
            <w:vAlign w:val="center"/>
            <w:tcMar>
              <w:top w:w="110" w:type="dxa"/>
              <w:start w:w="120" w:type="dxa"/>
              <w:bottom w:w="110" w:type="dxa"/>
              <w:end w:w="120" w:type="dxa"/>
            </w:tcMar>
          </w:tcPr>
          <w:p>
            <w:pPr>
              <w:spacing w:after="0" w:line="250" w:lineRule="auto"/>
            </w:pPr>
            <w:r>
              <w:rPr>
                <w:rFonts w:ascii="Arial" w:hAnsi="Arial"/>
                <w:color w:val="171C22"/>
                <w:sz w:val="15"/>
              </w:rPr>
              <w:t>Order DB + outbox are written transactionally; orderRequestId supports deduplication; inventory holds have expiry; payment and listeners are idempotent for repeated IDs/states.</w:t>
            </w:r>
          </w:p>
        </w:tc>
        <w:tc>
          <w:tcPr>
            <w:tcW w:type="dxa" w:w="4176"/>
            <w:vAlign w:val="center"/>
            <w:tcMar>
              <w:top w:w="110" w:type="dxa"/>
              <w:start w:w="120" w:type="dxa"/>
              <w:bottom w:w="110" w:type="dxa"/>
              <w:end w:w="120" w:type="dxa"/>
            </w:tcMar>
          </w:tcPr>
          <w:p>
            <w:pPr>
              <w:spacing w:after="0" w:line="250" w:lineRule="auto"/>
            </w:pPr>
            <w:r>
              <w:rPr>
                <w:rFonts w:ascii="Arial" w:hAnsi="Arial"/>
                <w:color w:val="171C22"/>
                <w:sz w:val="15"/>
              </w:rPr>
              <w:t>Add publish/consume retry policy, bounded backoff, dead-letter topics, replay procedures, and concurrency tests for stock reservation.</w:t>
            </w:r>
          </w:p>
        </w:tc>
      </w:tr>
      <w:tr>
        <w:trPr>
          <w:cantSplit/>
        </w:trPr>
        <w:tc>
          <w:tcPr>
            <w:tcW w:type="dxa" w:w="1512"/>
            <w:vAlign w:val="center"/>
            <w:tcMar>
              <w:top w:w="110" w:type="dxa"/>
              <w:start w:w="120" w:type="dxa"/>
              <w:bottom w:w="110" w:type="dxa"/>
              <w:end w:w="120" w:type="dxa"/>
            </w:tcMar>
            <w:shd w:fill="F5F8FA"/>
          </w:tcPr>
          <w:p>
            <w:pPr>
              <w:spacing w:after="0" w:line="250" w:lineRule="auto"/>
            </w:pPr>
            <w:r>
              <w:rPr>
                <w:rFonts w:ascii="Arial" w:hAnsi="Arial"/>
                <w:color w:val="171C22"/>
                <w:sz w:val="15"/>
              </w:rPr>
              <w:t>Availability</w:t>
            </w:r>
          </w:p>
        </w:tc>
        <w:tc>
          <w:tcPr>
            <w:tcW w:type="dxa" w:w="4104"/>
            <w:vAlign w:val="center"/>
            <w:tcMar>
              <w:top w:w="110" w:type="dxa"/>
              <w:start w:w="120" w:type="dxa"/>
              <w:bottom w:w="110" w:type="dxa"/>
              <w:end w:w="120" w:type="dxa"/>
            </w:tcMar>
            <w:shd w:fill="F5F8FA"/>
          </w:tcPr>
          <w:p>
            <w:pPr>
              <w:spacing w:after="0" w:line="250" w:lineRule="auto"/>
            </w:pPr>
            <w:r>
              <w:rPr>
                <w:rFonts w:ascii="Arial" w:hAnsi="Arial"/>
                <w:color w:val="171C22"/>
                <w:sz w:val="15"/>
              </w:rPr>
              <w:t>Compose restart policies and named local data volumes; MySQL has a health check; storefront image has an Nginx health check.</w:t>
            </w:r>
          </w:p>
        </w:tc>
        <w:tc>
          <w:tcPr>
            <w:tcW w:type="dxa" w:w="4176"/>
            <w:vAlign w:val="center"/>
            <w:tcMar>
              <w:top w:w="110" w:type="dxa"/>
              <w:start w:w="120" w:type="dxa"/>
              <w:bottom w:w="110" w:type="dxa"/>
              <w:end w:w="120" w:type="dxa"/>
            </w:tcMar>
            <w:shd w:fill="F5F8FA"/>
          </w:tcPr>
          <w:p>
            <w:pPr>
              <w:spacing w:after="0" w:line="250" w:lineRule="auto"/>
            </w:pPr>
            <w:r>
              <w:rPr>
                <w:rFonts w:ascii="Arial" w:hAnsi="Arial"/>
                <w:color w:val="171C22"/>
                <w:sz w:val="15"/>
              </w:rPr>
              <w:t>Single MySQL, Kafka, and service instances; no HA/failover; most services lack health checks/readiness probes. Define recovery objectives and test restore.</w:t>
            </w:r>
          </w:p>
        </w:tc>
      </w:tr>
      <w:tr>
        <w:trPr>
          <w:cantSplit/>
        </w:trPr>
        <w:tc>
          <w:tcPr>
            <w:tcW w:type="dxa" w:w="1512"/>
            <w:vAlign w:val="center"/>
            <w:tcMar>
              <w:top w:w="110" w:type="dxa"/>
              <w:start w:w="120" w:type="dxa"/>
              <w:bottom w:w="110" w:type="dxa"/>
              <w:end w:w="120" w:type="dxa"/>
            </w:tcMar>
          </w:tcPr>
          <w:p>
            <w:pPr>
              <w:spacing w:after="0" w:line="250" w:lineRule="auto"/>
            </w:pPr>
            <w:r>
              <w:rPr>
                <w:rFonts w:ascii="Arial" w:hAnsi="Arial"/>
                <w:color w:val="171C22"/>
                <w:sz w:val="15"/>
              </w:rPr>
              <w:t>Performance and scale</w:t>
            </w:r>
          </w:p>
        </w:tc>
        <w:tc>
          <w:tcPr>
            <w:tcW w:type="dxa" w:w="4104"/>
            <w:vAlign w:val="center"/>
            <w:tcMar>
              <w:top w:w="110" w:type="dxa"/>
              <w:start w:w="120" w:type="dxa"/>
              <w:bottom w:w="110" w:type="dxa"/>
              <w:end w:w="120" w:type="dxa"/>
            </w:tcMar>
          </w:tcPr>
          <w:p>
            <w:pPr>
              <w:spacing w:after="0" w:line="250" w:lineRule="auto"/>
            </w:pPr>
            <w:r>
              <w:rPr>
                <w:rFonts w:ascii="Arial" w:hAnsi="Arial"/>
                <w:color w:val="171C22"/>
                <w:sz w:val="15"/>
              </w:rPr>
              <w:t>REST services are stateless and event processing separates payment from the request thread. UI has loading, empty, and error states.</w:t>
            </w:r>
          </w:p>
        </w:tc>
        <w:tc>
          <w:tcPr>
            <w:tcW w:type="dxa" w:w="4176"/>
            <w:vAlign w:val="center"/>
            <w:tcMar>
              <w:top w:w="110" w:type="dxa"/>
              <w:start w:w="120" w:type="dxa"/>
              <w:bottom w:w="110" w:type="dxa"/>
              <w:end w:w="120" w:type="dxa"/>
            </w:tcMar>
          </w:tcPr>
          <w:p>
            <w:pPr>
              <w:spacing w:after="0" w:line="250" w:lineRule="auto"/>
            </w:pPr>
            <w:r>
              <w:rPr>
                <w:rFonts w:ascii="Arial" w:hAnsi="Arial"/>
                <w:color w:val="171C22"/>
                <w:sz w:val="15"/>
              </w:rPr>
              <w:t>No benchmark or SLO is defined. Local stack is single-node; measure API/catalog performance, Kafka lag, consumer concurrency, and DB capacity before scaling.</w:t>
            </w:r>
          </w:p>
        </w:tc>
      </w:tr>
      <w:tr>
        <w:trPr>
          <w:cantSplit/>
        </w:trPr>
        <w:tc>
          <w:tcPr>
            <w:tcW w:type="dxa" w:w="1512"/>
            <w:vAlign w:val="center"/>
            <w:tcMar>
              <w:top w:w="110" w:type="dxa"/>
              <w:start w:w="120" w:type="dxa"/>
              <w:bottom w:w="110" w:type="dxa"/>
              <w:end w:w="120" w:type="dxa"/>
            </w:tcMar>
            <w:shd w:fill="F5F8FA"/>
          </w:tcPr>
          <w:p>
            <w:pPr>
              <w:spacing w:after="0" w:line="250" w:lineRule="auto"/>
            </w:pPr>
            <w:r>
              <w:rPr>
                <w:rFonts w:ascii="Arial" w:hAnsi="Arial"/>
                <w:color w:val="171C22"/>
                <w:sz w:val="15"/>
              </w:rPr>
              <w:t>Observability</w:t>
            </w:r>
          </w:p>
        </w:tc>
        <w:tc>
          <w:tcPr>
            <w:tcW w:type="dxa" w:w="4104"/>
            <w:vAlign w:val="center"/>
            <w:tcMar>
              <w:top w:w="110" w:type="dxa"/>
              <w:start w:w="120" w:type="dxa"/>
              <w:bottom w:w="110" w:type="dxa"/>
              <w:end w:w="120" w:type="dxa"/>
            </w:tcMar>
            <w:shd w:fill="F5F8FA"/>
          </w:tcPr>
          <w:p>
            <w:pPr>
              <w:spacing w:after="0" w:line="250" w:lineRule="auto"/>
            </w:pPr>
            <w:r>
              <w:rPr>
                <w:rFonts w:ascii="Arial" w:hAnsi="Arial"/>
                <w:color w:val="171C22"/>
                <w:sz w:val="15"/>
              </w:rPr>
              <w:t>Container logs and event IDs/orderRequestId provide basic troubleshooting context.</w:t>
            </w:r>
          </w:p>
        </w:tc>
        <w:tc>
          <w:tcPr>
            <w:tcW w:type="dxa" w:w="4176"/>
            <w:vAlign w:val="center"/>
            <w:tcMar>
              <w:top w:w="110" w:type="dxa"/>
              <w:start w:w="120" w:type="dxa"/>
              <w:bottom w:w="110" w:type="dxa"/>
              <w:end w:w="120" w:type="dxa"/>
            </w:tcMar>
            <w:shd w:fill="F5F8FA"/>
          </w:tcPr>
          <w:p>
            <w:pPr>
              <w:spacing w:after="0" w:line="250" w:lineRule="auto"/>
            </w:pPr>
            <w:r>
              <w:rPr>
                <w:rFonts w:ascii="Arial" w:hAnsi="Arial"/>
                <w:color w:val="171C22"/>
                <w:sz w:val="15"/>
              </w:rPr>
              <w:t>No central logs, metrics, distributed tracing, alerting, or consumer-lag dashboards. Add correlation IDs and readiness/liveness endpoints.</w:t>
            </w:r>
          </w:p>
        </w:tc>
      </w:tr>
      <w:tr>
        <w:trPr>
          <w:cantSplit/>
        </w:trPr>
        <w:tc>
          <w:tcPr>
            <w:tcW w:type="dxa" w:w="1512"/>
            <w:vAlign w:val="center"/>
            <w:tcMar>
              <w:top w:w="110" w:type="dxa"/>
              <w:start w:w="120" w:type="dxa"/>
              <w:bottom w:w="110" w:type="dxa"/>
              <w:end w:w="120" w:type="dxa"/>
            </w:tcMar>
          </w:tcPr>
          <w:p>
            <w:pPr>
              <w:spacing w:after="0" w:line="250" w:lineRule="auto"/>
            </w:pPr>
            <w:r>
              <w:rPr>
                <w:rFonts w:ascii="Arial" w:hAnsi="Arial"/>
                <w:color w:val="171C22"/>
                <w:sz w:val="15"/>
              </w:rPr>
              <w:t>Privacy</w:t>
            </w:r>
          </w:p>
        </w:tc>
        <w:tc>
          <w:tcPr>
            <w:tcW w:type="dxa" w:w="4104"/>
            <w:vAlign w:val="center"/>
            <w:tcMar>
              <w:top w:w="110" w:type="dxa"/>
              <w:start w:w="120" w:type="dxa"/>
              <w:bottom w:w="110" w:type="dxa"/>
              <w:end w:w="120" w:type="dxa"/>
            </w:tcMar>
          </w:tcPr>
          <w:p>
            <w:pPr>
              <w:spacing w:after="0" w:line="250" w:lineRule="auto"/>
            </w:pPr>
            <w:r>
              <w:rPr>
                <w:rFonts w:ascii="Arial" w:hAnsi="Arial"/>
                <w:color w:val="171C22"/>
                <w:sz w:val="15"/>
              </w:rPr>
              <w:t>Keycloak owns credentials; React holds OIDC token in memory. Order owns address and phone; payment event includes customer email.</w:t>
            </w:r>
          </w:p>
        </w:tc>
        <w:tc>
          <w:tcPr>
            <w:tcW w:type="dxa" w:w="4176"/>
            <w:vAlign w:val="center"/>
            <w:tcMar>
              <w:top w:w="110" w:type="dxa"/>
              <w:start w:w="120" w:type="dxa"/>
              <w:bottom w:w="110" w:type="dxa"/>
              <w:end w:w="120" w:type="dxa"/>
            </w:tcMar>
          </w:tcPr>
          <w:p>
            <w:pPr>
              <w:spacing w:after="0" w:line="250" w:lineRule="auto"/>
            </w:pPr>
            <w:r>
              <w:rPr>
                <w:rFonts w:ascii="Arial" w:hAnsi="Arial"/>
                <w:color w:val="171C22"/>
                <w:sz w:val="15"/>
              </w:rPr>
              <w:t>Set PII retention/access rules; avoid logging personal fields; protect secrets and traffic in transit and at rest.</w:t>
            </w:r>
          </w:p>
        </w:tc>
      </w:tr>
      <w:tr>
        <w:trPr>
          <w:cantSplit/>
        </w:trPr>
        <w:tc>
          <w:tcPr>
            <w:tcW w:type="dxa" w:w="1512"/>
            <w:vAlign w:val="center"/>
            <w:tcMar>
              <w:top w:w="110" w:type="dxa"/>
              <w:start w:w="120" w:type="dxa"/>
              <w:bottom w:w="110" w:type="dxa"/>
              <w:end w:w="120" w:type="dxa"/>
            </w:tcMar>
            <w:shd w:fill="F5F8FA"/>
          </w:tcPr>
          <w:p>
            <w:pPr>
              <w:spacing w:after="0" w:line="250" w:lineRule="auto"/>
            </w:pPr>
            <w:r>
              <w:rPr>
                <w:rFonts w:ascii="Arial" w:hAnsi="Arial"/>
                <w:color w:val="171C22"/>
                <w:sz w:val="15"/>
              </w:rPr>
              <w:t>Email and payment</w:t>
            </w:r>
          </w:p>
        </w:tc>
        <w:tc>
          <w:tcPr>
            <w:tcW w:type="dxa" w:w="4104"/>
            <w:vAlign w:val="center"/>
            <w:tcMar>
              <w:top w:w="110" w:type="dxa"/>
              <w:start w:w="120" w:type="dxa"/>
              <w:bottom w:w="110" w:type="dxa"/>
              <w:end w:w="120" w:type="dxa"/>
            </w:tcMar>
            <w:shd w:fill="F5F8FA"/>
          </w:tcPr>
          <w:p>
            <w:pPr>
              <w:spacing w:after="0" w:line="250" w:lineRule="auto"/>
            </w:pPr>
            <w:r>
              <w:rPr>
                <w:rFonts w:ascii="Arial" w:hAnsi="Arial"/>
                <w:color w:val="171C22"/>
                <w:sz w:val="15"/>
              </w:rPr>
              <w:t>Local verification is testable through Mailpit; payment methods are constrained to UPI, credit card, and debit card labels.</w:t>
            </w:r>
          </w:p>
        </w:tc>
        <w:tc>
          <w:tcPr>
            <w:tcW w:type="dxa" w:w="4176"/>
            <w:vAlign w:val="center"/>
            <w:tcMar>
              <w:top w:w="110" w:type="dxa"/>
              <w:start w:w="120" w:type="dxa"/>
              <w:bottom w:w="110" w:type="dxa"/>
              <w:end w:w="120" w:type="dxa"/>
            </w:tcMar>
            <w:shd w:fill="F5F8FA"/>
          </w:tcPr>
          <w:p>
            <w:pPr>
              <w:spacing w:after="0" w:line="250" w:lineRule="auto"/>
            </w:pPr>
            <w:r>
              <w:rPr>
                <w:rFonts w:ascii="Arial" w:hAnsi="Arial"/>
                <w:color w:val="171C22"/>
                <w:sz w:val="15"/>
              </w:rPr>
              <w:t>Mailpit is not a delivery provider. External SMTP is pending. Payment is a simulator; select a provider and implement secure provider callbacks/idempotency before real transactions.</w:t>
            </w:r>
          </w:p>
        </w:tc>
      </w:tr>
    </w:tbl>
    <w:p>
      <w:pPr>
        <w:spacing w:after="60" w:before="0"/>
      </w:pPr>
    </w:p>
    <w:p>
      <w:r>
        <w:br w:type="page"/>
      </w:r>
    </w:p>
    <w:p>
      <w:pPr>
        <w:pStyle w:val="Heading1"/>
      </w:pPr>
      <w:r>
        <w:t>Local runbook and handover</w:t>
      </w:r>
    </w:p>
    <w:p>
      <w:pPr>
        <w:keepLines w:val="0"/>
      </w:pPr>
      <w:r>
        <w:rPr>
          <w:rFonts w:ascii="Arial" w:hAnsi="Arial"/>
          <w:color w:val="171C22"/>
          <w:sz w:val="20"/>
        </w:rPr>
        <w:t>Run the primary stack from the repository root. Ports are published to localhost for development, not for public internet access.</w:t>
      </w:r>
    </w:p>
    <w:p>
      <w:pPr>
        <w:spacing w:after="60"/>
        <w:ind w:left="259"/>
      </w:pPr>
      <w:r>
        <w:rPr>
          <w:rFonts w:ascii="Consolas" w:hAnsi="Consolas"/>
          <w:color w:val="1F354A"/>
          <w:sz w:val="18"/>
        </w:rPr>
        <w:t>docker compose up -d --build</w:t>
      </w:r>
    </w:p>
    <w:p>
      <w:pPr>
        <w:spacing w:after="60"/>
        <w:ind w:left="259"/>
      </w:pPr>
      <w:r>
        <w:rPr>
          <w:rFonts w:ascii="Consolas" w:hAnsi="Consolas"/>
          <w:color w:val="1F354A"/>
          <w:sz w:val="18"/>
        </w:rPr>
        <w:t>docker compose ps</w:t>
      </w:r>
    </w:p>
    <w:p>
      <w:pPr>
        <w:spacing w:after="60"/>
        <w:ind w:left="259"/>
      </w:pPr>
      <w:r>
        <w:rPr>
          <w:rFonts w:ascii="Consolas" w:hAnsi="Consolas"/>
          <w:color w:val="1F354A"/>
          <w:sz w:val="18"/>
        </w:rPr>
        <w:t>docker compose logs -f catalog-service order-service payment-service</w:t>
      </w:r>
    </w:p>
    <w:p>
      <w:pPr>
        <w:spacing w:after="60"/>
        <w:ind w:left="259"/>
      </w:pPr>
      <w:r>
        <w:rPr>
          <w:rFonts w:ascii="Consolas" w:hAnsi="Consolas"/>
          <w:color w:val="1F354A"/>
          <w:sz w:val="18"/>
        </w:rPr>
        <w:t>docker compose down</w:t>
      </w:r>
    </w:p>
    <w:p>
      <w:pPr>
        <w:keepLines w:val="0"/>
      </w:pPr>
      <w:r>
        <w:rPr>
          <w:rFonts w:ascii="Arial" w:hAnsi="Arial"/>
          <w:color w:val="171C22"/>
          <w:sz w:val="19"/>
        </w:rPr>
        <w:t>The named MySQL, Kafka, and Keycloak volumes persist across docker compose down. Avoid docker compose down -v unless removing local database and identity data is intended.</w:t>
      </w:r>
    </w:p>
    <w:p>
      <w:pPr>
        <w:pStyle w:val="Heading2"/>
      </w:pPr>
      <w:r>
        <w:t>Local access points</w:t>
      </w:r>
    </w:p>
    <w:tbl>
      <w:tblPr>
        <w:tblW w:type="auto" w:w="0"/>
        <w:jc w:val="center"/>
        <w:tblLayout w:type="fixed"/>
        <w:tblLook w:firstColumn="1" w:firstRow="1" w:lastColumn="0" w:lastRow="0" w:noHBand="0" w:noVBand="1" w:val="04A0"/>
        <w:tblLayout w:type="fixed"/>
        <w:tblBorders>
          <w:top w:val="single" w:sz="5" w:space="0" w:color="C9D3DC"/>
          <w:left w:val="single" w:sz="5" w:space="0" w:color="C9D3DC"/>
          <w:bottom w:val="single" w:sz="5" w:space="0" w:color="C9D3DC"/>
          <w:right w:val="single" w:sz="5" w:space="0" w:color="C9D3DC"/>
          <w:insideH w:val="single" w:sz="5" w:space="0" w:color="C9D3DC"/>
          <w:insideV w:val="single" w:sz="5" w:space="0" w:color="C9D3DC"/>
        </w:tblBorders>
      </w:tblPr>
      <w:tblGrid>
        <w:gridCol w:w="1944"/>
        <w:gridCol w:w="3528"/>
        <w:gridCol w:w="4320"/>
      </w:tblGrid>
      <w:tr>
        <w:trPr>
          <w:tblHeader w:val="true"/>
          <w:cantSplit/>
        </w:trPr>
        <w:tc>
          <w:tcPr>
            <w:tcW w:type="dxa" w:w="1944"/>
            <w:vAlign w:val="center"/>
            <w:shd w:fill="1F354A"/>
            <w:tcMar>
              <w:top w:w="130" w:type="dxa"/>
              <w:start w:w="135" w:type="dxa"/>
              <w:bottom w:w="130" w:type="dxa"/>
              <w:end w:w="135" w:type="dxa"/>
            </w:tcMar>
          </w:tcPr>
          <w:p>
            <w:pPr>
              <w:spacing w:after="0" w:line="252" w:lineRule="auto"/>
            </w:pPr>
            <w:r>
              <w:rPr>
                <w:rFonts w:ascii="Arial" w:hAnsi="Arial"/>
                <w:b/>
                <w:color w:val="FFFFFF"/>
                <w:sz w:val="17"/>
              </w:rPr>
              <w:t>What</w:t>
            </w:r>
          </w:p>
        </w:tc>
        <w:tc>
          <w:tcPr>
            <w:tcW w:type="dxa" w:w="3528"/>
            <w:vAlign w:val="center"/>
            <w:shd w:fill="1F354A"/>
            <w:tcMar>
              <w:top w:w="130" w:type="dxa"/>
              <w:start w:w="135" w:type="dxa"/>
              <w:bottom w:w="130" w:type="dxa"/>
              <w:end w:w="135" w:type="dxa"/>
            </w:tcMar>
          </w:tcPr>
          <w:p>
            <w:pPr>
              <w:spacing w:after="0" w:line="252" w:lineRule="auto"/>
            </w:pPr>
            <w:r>
              <w:rPr>
                <w:rFonts w:ascii="Arial" w:hAnsi="Arial"/>
                <w:b/>
                <w:color w:val="FFFFFF"/>
                <w:sz w:val="17"/>
              </w:rPr>
              <w:t>URL or port</w:t>
            </w:r>
          </w:p>
        </w:tc>
        <w:tc>
          <w:tcPr>
            <w:tcW w:type="dxa" w:w="4320"/>
            <w:vAlign w:val="center"/>
            <w:shd w:fill="1F354A"/>
            <w:tcMar>
              <w:top w:w="130" w:type="dxa"/>
              <w:start w:w="135" w:type="dxa"/>
              <w:bottom w:w="130" w:type="dxa"/>
              <w:end w:w="135" w:type="dxa"/>
            </w:tcMar>
          </w:tcPr>
          <w:p>
            <w:pPr>
              <w:spacing w:after="0" w:line="252" w:lineRule="auto"/>
            </w:pPr>
            <w:r>
              <w:rPr>
                <w:rFonts w:ascii="Arial" w:hAnsi="Arial"/>
                <w:b/>
                <w:color w:val="FFFFFF"/>
                <w:sz w:val="17"/>
              </w:rPr>
              <w:t>Notes</w:t>
            </w:r>
          </w:p>
        </w:tc>
      </w:tr>
      <w:tr>
        <w:trPr>
          <w:cantSplit/>
        </w:trPr>
        <w:tc>
          <w:tcPr>
            <w:tcW w:type="dxa" w:w="1944"/>
            <w:vAlign w:val="center"/>
            <w:tcMar>
              <w:top w:w="110" w:type="dxa"/>
              <w:start w:w="120" w:type="dxa"/>
              <w:bottom w:w="110" w:type="dxa"/>
              <w:end w:w="120" w:type="dxa"/>
            </w:tcMar>
          </w:tcPr>
          <w:p>
            <w:pPr>
              <w:spacing w:after="0" w:line="250" w:lineRule="auto"/>
            </w:pPr>
            <w:r>
              <w:rPr>
                <w:rFonts w:ascii="Arial" w:hAnsi="Arial"/>
                <w:color w:val="171C22"/>
                <w:sz w:val="17"/>
              </w:rPr>
              <w:t>Storefront</w:t>
            </w:r>
          </w:p>
        </w:tc>
        <w:tc>
          <w:tcPr>
            <w:tcW w:type="dxa" w:w="3528"/>
            <w:vAlign w:val="center"/>
            <w:tcMar>
              <w:top w:w="110" w:type="dxa"/>
              <w:start w:w="120" w:type="dxa"/>
              <w:bottom w:w="110" w:type="dxa"/>
              <w:end w:w="120" w:type="dxa"/>
            </w:tcMar>
          </w:tcPr>
          <w:p>
            <w:pPr>
              <w:spacing w:after="0" w:line="250" w:lineRule="auto"/>
            </w:pPr>
            <w:r>
              <w:rPr>
                <w:rFonts w:ascii="Arial" w:hAnsi="Arial"/>
                <w:color w:val="171C22"/>
                <w:sz w:val="17"/>
              </w:rPr>
              <w:t>http://localhost:5173</w:t>
            </w:r>
          </w:p>
        </w:tc>
        <w:tc>
          <w:tcPr>
            <w:tcW w:type="dxa" w:w="4320"/>
            <w:vAlign w:val="center"/>
            <w:tcMar>
              <w:top w:w="110" w:type="dxa"/>
              <w:start w:w="120" w:type="dxa"/>
              <w:bottom w:w="110" w:type="dxa"/>
              <w:end w:w="120" w:type="dxa"/>
            </w:tcMar>
          </w:tcPr>
          <w:p>
            <w:pPr>
              <w:spacing w:after="0" w:line="250" w:lineRule="auto"/>
            </w:pPr>
            <w:r>
              <w:rPr>
                <w:rFonts w:ascii="Arial" w:hAnsi="Arial"/>
                <w:color w:val="171C22"/>
                <w:sz w:val="17"/>
              </w:rPr>
              <w:t>Active React storefront.</w:t>
            </w:r>
          </w:p>
        </w:tc>
      </w:tr>
      <w:tr>
        <w:trPr>
          <w:cantSplit/>
        </w:trPr>
        <w:tc>
          <w:tcPr>
            <w:tcW w:type="dxa" w:w="1944"/>
            <w:vAlign w:val="center"/>
            <w:tcMar>
              <w:top w:w="110" w:type="dxa"/>
              <w:start w:w="120" w:type="dxa"/>
              <w:bottom w:w="110" w:type="dxa"/>
              <w:end w:w="120" w:type="dxa"/>
            </w:tcMar>
            <w:shd w:fill="F5F8FA"/>
          </w:tcPr>
          <w:p>
            <w:pPr>
              <w:spacing w:after="0" w:line="250" w:lineRule="auto"/>
            </w:pPr>
            <w:r>
              <w:rPr>
                <w:rFonts w:ascii="Arial" w:hAnsi="Arial"/>
                <w:color w:val="171C22"/>
                <w:sz w:val="17"/>
              </w:rPr>
              <w:t>Keycloak</w:t>
            </w:r>
          </w:p>
        </w:tc>
        <w:tc>
          <w:tcPr>
            <w:tcW w:type="dxa" w:w="3528"/>
            <w:vAlign w:val="center"/>
            <w:tcMar>
              <w:top w:w="110" w:type="dxa"/>
              <w:start w:w="120" w:type="dxa"/>
              <w:bottom w:w="110" w:type="dxa"/>
              <w:end w:w="120" w:type="dxa"/>
            </w:tcMar>
            <w:shd w:fill="F5F8FA"/>
          </w:tcPr>
          <w:p>
            <w:pPr>
              <w:spacing w:after="0" w:line="250" w:lineRule="auto"/>
            </w:pPr>
            <w:r>
              <w:rPr>
                <w:rFonts w:ascii="Arial" w:hAnsi="Arial"/>
                <w:color w:val="171C22"/>
                <w:sz w:val="17"/>
              </w:rPr>
              <w:t>http://localhost:8180</w:t>
            </w:r>
          </w:p>
        </w:tc>
        <w:tc>
          <w:tcPr>
            <w:tcW w:type="dxa" w:w="4320"/>
            <w:vAlign w:val="center"/>
            <w:tcMar>
              <w:top w:w="110" w:type="dxa"/>
              <w:start w:w="120" w:type="dxa"/>
              <w:bottom w:w="110" w:type="dxa"/>
              <w:end w:w="120" w:type="dxa"/>
            </w:tcMar>
            <w:shd w:fill="F5F8FA"/>
          </w:tcPr>
          <w:p>
            <w:pPr>
              <w:spacing w:after="0" w:line="250" w:lineRule="auto"/>
            </w:pPr>
            <w:r>
              <w:rPr>
                <w:rFonts w:ascii="Arial" w:hAnsi="Arial"/>
                <w:color w:val="171C22"/>
                <w:sz w:val="17"/>
              </w:rPr>
              <w:t>Realm booknest; local admin is development-only.</w:t>
            </w:r>
          </w:p>
        </w:tc>
      </w:tr>
      <w:tr>
        <w:trPr>
          <w:cantSplit/>
        </w:trPr>
        <w:tc>
          <w:tcPr>
            <w:tcW w:type="dxa" w:w="1944"/>
            <w:vAlign w:val="center"/>
            <w:tcMar>
              <w:top w:w="110" w:type="dxa"/>
              <w:start w:w="120" w:type="dxa"/>
              <w:bottom w:w="110" w:type="dxa"/>
              <w:end w:w="120" w:type="dxa"/>
            </w:tcMar>
          </w:tcPr>
          <w:p>
            <w:pPr>
              <w:spacing w:after="0" w:line="250" w:lineRule="auto"/>
            </w:pPr>
            <w:r>
              <w:rPr>
                <w:rFonts w:ascii="Arial" w:hAnsi="Arial"/>
                <w:color w:val="171C22"/>
                <w:sz w:val="17"/>
              </w:rPr>
              <w:t>Mailpit</w:t>
            </w:r>
          </w:p>
        </w:tc>
        <w:tc>
          <w:tcPr>
            <w:tcW w:type="dxa" w:w="3528"/>
            <w:vAlign w:val="center"/>
            <w:tcMar>
              <w:top w:w="110" w:type="dxa"/>
              <w:start w:w="120" w:type="dxa"/>
              <w:bottom w:w="110" w:type="dxa"/>
              <w:end w:w="120" w:type="dxa"/>
            </w:tcMar>
          </w:tcPr>
          <w:p>
            <w:pPr>
              <w:spacing w:after="0" w:line="250" w:lineRule="auto"/>
            </w:pPr>
            <w:r>
              <w:rPr>
                <w:rFonts w:ascii="Arial" w:hAnsi="Arial"/>
                <w:color w:val="171C22"/>
                <w:sz w:val="17"/>
              </w:rPr>
              <w:t>http://localhost:8025</w:t>
            </w:r>
          </w:p>
        </w:tc>
        <w:tc>
          <w:tcPr>
            <w:tcW w:type="dxa" w:w="4320"/>
            <w:vAlign w:val="center"/>
            <w:tcMar>
              <w:top w:w="110" w:type="dxa"/>
              <w:start w:w="120" w:type="dxa"/>
              <w:bottom w:w="110" w:type="dxa"/>
              <w:end w:w="120" w:type="dxa"/>
            </w:tcMar>
          </w:tcPr>
          <w:p>
            <w:pPr>
              <w:spacing w:after="0" w:line="250" w:lineRule="auto"/>
            </w:pPr>
            <w:r>
              <w:rPr>
                <w:rFonts w:ascii="Arial" w:hAnsi="Arial"/>
                <w:color w:val="171C22"/>
                <w:sz w:val="17"/>
              </w:rPr>
              <w:t>Open the Verify email message and use its link.</w:t>
            </w:r>
          </w:p>
        </w:tc>
      </w:tr>
      <w:tr>
        <w:trPr>
          <w:cantSplit/>
        </w:trPr>
        <w:tc>
          <w:tcPr>
            <w:tcW w:type="dxa" w:w="1944"/>
            <w:vAlign w:val="center"/>
            <w:tcMar>
              <w:top w:w="110" w:type="dxa"/>
              <w:start w:w="120" w:type="dxa"/>
              <w:bottom w:w="110" w:type="dxa"/>
              <w:end w:w="120" w:type="dxa"/>
            </w:tcMar>
            <w:shd w:fill="F5F8FA"/>
          </w:tcPr>
          <w:p>
            <w:pPr>
              <w:spacing w:after="0" w:line="250" w:lineRule="auto"/>
            </w:pPr>
            <w:r>
              <w:rPr>
                <w:rFonts w:ascii="Arial" w:hAnsi="Arial"/>
                <w:color w:val="171C22"/>
                <w:sz w:val="17"/>
              </w:rPr>
              <w:t>REST APIs</w:t>
            </w:r>
          </w:p>
        </w:tc>
        <w:tc>
          <w:tcPr>
            <w:tcW w:type="dxa" w:w="3528"/>
            <w:vAlign w:val="center"/>
            <w:tcMar>
              <w:top w:w="110" w:type="dxa"/>
              <w:start w:w="120" w:type="dxa"/>
              <w:bottom w:w="110" w:type="dxa"/>
              <w:end w:w="120" w:type="dxa"/>
            </w:tcMar>
            <w:shd w:fill="F5F8FA"/>
          </w:tcPr>
          <w:p>
            <w:pPr>
              <w:spacing w:after="0" w:line="250" w:lineRule="auto"/>
            </w:pPr>
            <w:r>
              <w:rPr>
                <w:rFonts w:ascii="Arial" w:hAnsi="Arial"/>
                <w:color w:val="171C22"/>
                <w:sz w:val="17"/>
              </w:rPr>
              <w:t>8082 / 8083 / 8084 / 8085</w:t>
            </w:r>
          </w:p>
        </w:tc>
        <w:tc>
          <w:tcPr>
            <w:tcW w:type="dxa" w:w="4320"/>
            <w:vAlign w:val="center"/>
            <w:tcMar>
              <w:top w:w="110" w:type="dxa"/>
              <w:start w:w="120" w:type="dxa"/>
              <w:bottom w:w="110" w:type="dxa"/>
              <w:end w:w="120" w:type="dxa"/>
            </w:tcMar>
            <w:shd w:fill="F5F8FA"/>
          </w:tcPr>
          <w:p>
            <w:pPr>
              <w:spacing w:after="0" w:line="250" w:lineRule="auto"/>
            </w:pPr>
            <w:r>
              <w:rPr>
                <w:rFonts w:ascii="Arial" w:hAnsi="Arial"/>
                <w:color w:val="171C22"/>
                <w:sz w:val="17"/>
              </w:rPr>
              <w:t>Catalog / Order / Cart / Payment, respectively.</w:t>
            </w:r>
          </w:p>
        </w:tc>
      </w:tr>
      <w:tr>
        <w:trPr>
          <w:cantSplit/>
        </w:trPr>
        <w:tc>
          <w:tcPr>
            <w:tcW w:type="dxa" w:w="1944"/>
            <w:vAlign w:val="center"/>
            <w:tcMar>
              <w:top w:w="110" w:type="dxa"/>
              <w:start w:w="120" w:type="dxa"/>
              <w:bottom w:w="110" w:type="dxa"/>
              <w:end w:w="120" w:type="dxa"/>
            </w:tcMar>
          </w:tcPr>
          <w:p>
            <w:pPr>
              <w:spacing w:after="0" w:line="250" w:lineRule="auto"/>
            </w:pPr>
            <w:r>
              <w:rPr>
                <w:rFonts w:ascii="Arial" w:hAnsi="Arial"/>
                <w:color w:val="171C22"/>
                <w:sz w:val="17"/>
              </w:rPr>
              <w:t>MySQL and Kafka</w:t>
            </w:r>
          </w:p>
        </w:tc>
        <w:tc>
          <w:tcPr>
            <w:tcW w:type="dxa" w:w="3528"/>
            <w:vAlign w:val="center"/>
            <w:tcMar>
              <w:top w:w="110" w:type="dxa"/>
              <w:start w:w="120" w:type="dxa"/>
              <w:bottom w:w="110" w:type="dxa"/>
              <w:end w:w="120" w:type="dxa"/>
            </w:tcMar>
          </w:tcPr>
          <w:p>
            <w:pPr>
              <w:spacing w:after="0" w:line="250" w:lineRule="auto"/>
            </w:pPr>
            <w:r>
              <w:rPr>
                <w:rFonts w:ascii="Arial" w:hAnsi="Arial"/>
                <w:color w:val="171C22"/>
                <w:sz w:val="17"/>
              </w:rPr>
              <w:t>3306 / 9092</w:t>
            </w:r>
          </w:p>
        </w:tc>
        <w:tc>
          <w:tcPr>
            <w:tcW w:type="dxa" w:w="4320"/>
            <w:vAlign w:val="center"/>
            <w:tcMar>
              <w:top w:w="110" w:type="dxa"/>
              <w:start w:w="120" w:type="dxa"/>
              <w:bottom w:w="110" w:type="dxa"/>
              <w:end w:w="120" w:type="dxa"/>
            </w:tcMar>
          </w:tcPr>
          <w:p>
            <w:pPr>
              <w:spacing w:after="0" w:line="250" w:lineRule="auto"/>
            </w:pPr>
            <w:r>
              <w:rPr>
                <w:rFonts w:ascii="Arial" w:hAnsi="Arial"/>
                <w:color w:val="171C22"/>
                <w:sz w:val="17"/>
              </w:rPr>
              <w:t>Development-only local listeners; container-to-container Kafka uses kafka:29092.</w:t>
            </w:r>
          </w:p>
        </w:tc>
      </w:tr>
    </w:tbl>
    <w:p>
      <w:pPr>
        <w:spacing w:after="60" w:before="0"/>
      </w:pPr>
    </w:p>
    <w:p>
      <w:pPr>
        <w:pStyle w:val="Heading2"/>
      </w:pPr>
      <w:r>
        <w:t>Repository boundaries</w:t>
      </w:r>
    </w:p>
    <w:p>
      <w:pPr>
        <w:pStyle w:val="ListBullet"/>
        <w:keepLines/>
        <w:spacing w:after="80"/>
      </w:pPr>
      <w:r>
        <w:rPr>
          <w:rFonts w:ascii="Arial" w:hAnsi="Arial"/>
          <w:b/>
          <w:color w:val="171C22"/>
          <w:sz w:val="20"/>
        </w:rPr>
        <w:t xml:space="preserve">Active Compose path. </w:t>
      </w:r>
      <w:r>
        <w:rPr>
          <w:rFonts w:ascii="Arial" w:hAnsi="Arial"/>
          <w:color w:val="171C22"/>
          <w:sz w:val="20"/>
        </w:rPr>
        <w:t>customer-web-react + Keycloak + Catalog + Cart + Order + Payment + MySQL + Kafka + Mailpit.</w:t>
      </w:r>
    </w:p>
    <w:p>
      <w:pPr>
        <w:pStyle w:val="ListBullet"/>
        <w:keepLines/>
        <w:spacing w:after="80"/>
      </w:pPr>
      <w:r>
        <w:rPr>
          <w:rFonts w:ascii="Arial" w:hAnsi="Arial"/>
          <w:b/>
          <w:color w:val="171C22"/>
          <w:sz w:val="20"/>
        </w:rPr>
        <w:t xml:space="preserve">Legacy reference path. </w:t>
      </w:r>
      <w:r>
        <w:rPr>
          <w:rFonts w:ascii="Arial" w:hAnsi="Arial"/>
          <w:color w:val="171C22"/>
          <w:sz w:val="20"/>
        </w:rPr>
        <w:t>auth-service still contains custom JWT and OTP endpoints; customer-web is the older static client. They are not wired into the active React/OIDC Compose flow.</w:t>
      </w:r>
    </w:p>
    <w:p>
      <w:pPr>
        <w:pStyle w:val="ListBullet"/>
        <w:keepLines/>
        <w:spacing w:after="80"/>
      </w:pPr>
      <w:r>
        <w:rPr>
          <w:rFonts w:ascii="Arial" w:hAnsi="Arial"/>
          <w:b/>
          <w:color w:val="171C22"/>
          <w:sz w:val="20"/>
        </w:rPr>
        <w:t xml:space="preserve">Separate module. </w:t>
      </w:r>
      <w:r>
        <w:rPr>
          <w:rFonts w:ascii="Arial" w:hAnsi="Arial"/>
          <w:color w:val="171C22"/>
          <w:sz w:val="20"/>
        </w:rPr>
        <w:t>enterprise-bookstore is a standalone monolith/demo and is not part of the microservice runtime.</w:t>
      </w:r>
    </w:p>
    <w:p>
      <w:pPr>
        <w:pStyle w:val="Heading2"/>
      </w:pPr>
      <w:r>
        <w:t>Next engineering priorities</w:t>
      </w:r>
    </w:p>
    <w:p>
      <w:pPr>
        <w:keepLines/>
        <w:spacing w:after="120"/>
        <w:ind w:left="173" w:hanging="173"/>
      </w:pPr>
      <w:r>
        <w:rPr>
          <w:rFonts w:ascii="Arial" w:hAnsi="Arial"/>
          <w:b/>
          <w:color w:val="267A78"/>
          <w:sz w:val="20"/>
        </w:rPr>
        <w:t xml:space="preserve">01  Finish mail delivery.   </w:t>
      </w:r>
      <w:r>
        <w:rPr>
          <w:rFonts w:ascii="Arial" w:hAnsi="Arial"/>
          <w:color w:val="171C22"/>
          <w:sz w:val="20"/>
        </w:rPr>
        <w:t>Keep Mailpit for local development; configure and verify a real SMTP provider before expecting messages in personal inboxes.</w:t>
      </w:r>
    </w:p>
    <w:p>
      <w:pPr>
        <w:keepLines/>
        <w:spacing w:after="120"/>
        <w:ind w:left="173" w:hanging="173"/>
      </w:pPr>
      <w:r>
        <w:rPr>
          <w:rFonts w:ascii="Arial" w:hAnsi="Arial"/>
          <w:b/>
          <w:color w:val="267A78"/>
          <w:sz w:val="20"/>
        </w:rPr>
        <w:t xml:space="preserve">02  Harden identity and ingress.   </w:t>
      </w:r>
      <w:r>
        <w:rPr>
          <w:rFonts w:ascii="Arial" w:hAnsi="Arial"/>
          <w:color w:val="171C22"/>
          <w:sz w:val="20"/>
        </w:rPr>
        <w:t>Replace development defaults, enable HTTPS, configure production realm/client URLs, and place a gateway or ingress in front of APIs.</w:t>
      </w:r>
    </w:p>
    <w:p>
      <w:pPr>
        <w:keepLines/>
        <w:spacing w:after="120"/>
        <w:ind w:left="173" w:hanging="173"/>
      </w:pPr>
      <w:r>
        <w:rPr>
          <w:rFonts w:ascii="Arial" w:hAnsi="Arial"/>
          <w:b/>
          <w:color w:val="267A78"/>
          <w:sz w:val="20"/>
        </w:rPr>
        <w:t xml:space="preserve">03  Improve event operations.   </w:t>
      </w:r>
      <w:r>
        <w:rPr>
          <w:rFonts w:ascii="Arial" w:hAnsi="Arial"/>
          <w:color w:val="171C22"/>
          <w:sz w:val="20"/>
        </w:rPr>
        <w:t>Define retry/backoff and dead-letter behavior, consumer health and lag visibility, and event replay procedures.</w:t>
      </w:r>
    </w:p>
    <w:p>
      <w:pPr>
        <w:keepLines/>
        <w:spacing w:after="120"/>
        <w:ind w:left="173" w:hanging="173"/>
      </w:pPr>
      <w:r>
        <w:rPr>
          <w:rFonts w:ascii="Arial" w:hAnsi="Arial"/>
          <w:b/>
          <w:color w:val="267A78"/>
          <w:sz w:val="20"/>
        </w:rPr>
        <w:t xml:space="preserve">04  Harden data operations.   </w:t>
      </w:r>
      <w:r>
        <w:rPr>
          <w:rFonts w:ascii="Arial" w:hAnsi="Arial"/>
          <w:color w:val="171C22"/>
          <w:sz w:val="20"/>
        </w:rPr>
        <w:t>Introduce migration scripts, per-service database credentials, backup/restore practice, and PII retention rules.</w:t>
      </w:r>
    </w:p>
    <w:p>
      <w:pPr>
        <w:keepLines/>
        <w:spacing w:after="120"/>
        <w:ind w:left="173" w:hanging="173"/>
      </w:pPr>
      <w:r>
        <w:rPr>
          <w:rFonts w:ascii="Arial" w:hAnsi="Arial"/>
          <w:b/>
          <w:color w:val="267A78"/>
          <w:sz w:val="20"/>
        </w:rPr>
        <w:t xml:space="preserve">05  Choose real payment integration.   </w:t>
      </w:r>
      <w:r>
        <w:rPr>
          <w:rFonts w:ascii="Arial" w:hAnsi="Arial"/>
          <w:color w:val="171C22"/>
          <w:sz w:val="20"/>
        </w:rPr>
        <w:t>Replace the simulator only after selecting a provider and defining callbacks, failure states, refunds, reconciliation, and compliance scope.</w:t>
      </w:r>
    </w:p>
    <w:p>
      <w:pPr>
        <w:keepLines w:val="0"/>
      </w:pPr>
      <w:r>
        <w:rPr>
          <w:rFonts w:ascii="Arial" w:hAnsi="Arial"/>
          <w:color w:val="5C6975"/>
          <w:sz w:val="17"/>
        </w:rPr>
        <w:t>Primary implementation references: docs/architecture.md, docs/docker-deployment.md, docker-compose.yml, infra/keycloak/booknest-realm.json, customer-web-react/src, and each service’s controller, service, entity, repository, and messaging packages.</w:t>
      </w:r>
    </w:p>
    <w:sectPr w:rsidR="00FC693F" w:rsidRPr="0006063C" w:rsidSect="00034616">
      <w:footerReference w:type="default" r:id="rId9"/>
      <w:pgSz w:w="11909" w:h="16834"/>
      <w:pgMar w:top="950" w:right="1037" w:bottom="979"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5C6975"/>
        <w:sz w:val="16"/>
      </w:rPr>
      <w:t xml:space="preserve">msrbooknest  |  Knowledge transfer  |  </w:t>
    </w:r>
    <w:r>
      <w:rPr>
        <w:rFonts w:ascii="Arial" w:hAnsi="Arial"/>
        <w:color w:val="5C6975"/>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71C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line="252"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line="252"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line="252"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Arial" w:hAnsi="Arial"/>
      <w:b/>
      <w:i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rial" w:hAnsi="Arial"/>
      <w:b/>
      <w:bCs/>
      <w:i/>
      <w:color w:val="5C69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msrbooknest Knowledge Transfer Guide</dc:title>
  <dc:subject>Architecture, design, functional flows, and non-functional behavior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