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4"/>
        </w:rPr>
        <w:t>CLOUD • DATA • GENAI LEARNING PATH</w:t>
      </w:r>
    </w:p>
    <w:p>
      <w:pPr>
        <w:pStyle w:val="Title"/>
        <w:jc w:val="center"/>
      </w:pPr>
      <w:r>
        <w:t>Day 1 Azure Lab Guide</w:t>
      </w:r>
    </w:p>
    <w:p>
      <w:pPr>
        <w:jc w:val="center"/>
      </w:pPr>
      <w:r>
        <w:rPr>
          <w:b/>
          <w:color w:val="4472C4"/>
          <w:sz w:val="34"/>
        </w:rPr>
        <w:t>Shared Microsoft Entra Tenant + 1 Azure Subscription + 14 Students</w:t>
      </w:r>
    </w:p>
    <w:p>
      <w:pPr>
        <w:jc w:val="center"/>
      </w:pPr>
      <w:r>
        <w:t>Designed for corporate training where students do not use individual free-trial subscriptions.</w:t>
      </w:r>
    </w:p>
    <w:p/>
    <w:tbl>
      <w:tblPr>
        <w:tblW w:type="auto" w:w="0"/>
        <w:jc w:val="center"/>
        <w:tblLayout w:type="autofit"/>
        <w:tblLook w:firstColumn="1" w:firstRow="1" w:lastColumn="0" w:lastRow="0" w:noHBand="0" w:noVBand="1" w:val="04A0"/>
      </w:tblPr>
      <w:tblGrid>
        <w:gridCol w:w="10368"/>
      </w:tblGrid>
      <w:tr>
        <w:tc>
          <w:tcPr>
            <w:tcW w:type="dxa" w:w="10368"/>
            <w:shd w:fill="D9EAF7"/>
          </w:tcPr>
          <w:p>
            <w:pPr>
              <w:spacing w:after="0"/>
            </w:pPr>
            <w:r>
              <w:rPr>
                <w:b/>
                <w:color w:val="17365D"/>
              </w:rPr>
              <w:t xml:space="preserve">Recommended model: </w:t>
            </w:r>
            <w:r>
              <w:t>Create 14 user identities in one Microsoft Entra tenant, create 14 dedicated resource groups in one paid Azure subscription, and assign each student Contributor only on their own resource group.</w:t>
            </w:r>
          </w:p>
        </w:tc>
      </w:tr>
    </w:tbl>
    <w:p/>
    <w:p>
      <w:pPr>
        <w:pStyle w:val="Heading1"/>
      </w:pPr>
      <w:r>
        <w:t>1. Purpose of This Guide</w:t>
      </w:r>
    </w:p>
    <w:p>
      <w:r>
        <w:t>Some students may be unable to activate Azure free credits because card verification or bank restrictions block individual subscriptions. For this batch, the lab should therefore use a centrally managed Azure environment: one Microsoft Entra tenant, one active Azure subscription, 14 tenant user accounts, and one isolated resource group per student.</w:t>
      </w:r>
    </w:p>
    <w:p>
      <w:r>
        <w:t>This guide covers both administrator preparation and the exact steps students follow on Day 1.</w:t>
      </w:r>
    </w:p>
    <w:p>
      <w:pPr>
        <w:pStyle w:val="Heading1"/>
      </w:pPr>
      <w:r>
        <w:t>2. Important Azure Terminology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r/>
            <w:r>
              <w:rPr>
                <w:rFonts w:ascii="Aptos" w:hAnsi="Aptos"/>
                <w:b/>
                <w:color w:val="FFFFFF"/>
                <w:sz w:val="20"/>
              </w:rPr>
              <w:t>Term</w:t>
            </w:r>
          </w:p>
        </w:tc>
        <w:tc>
          <w:tcPr>
            <w:tcW w:type="dxa" w:w="5184"/>
            <w:vAlign w:val="center"/>
            <w:shd w:fill="17365D"/>
          </w:tcPr>
          <w:p>
            <w:r/>
            <w:r>
              <w:rPr>
                <w:rFonts w:ascii="Aptos" w:hAnsi="Aptos"/>
                <w:b/>
                <w:color w:val="FFFFFF"/>
                <w:sz w:val="20"/>
              </w:rPr>
              <w:t>Meaning in this lab</w:t>
            </w:r>
          </w:p>
        </w:tc>
      </w:tr>
      <w:tr>
        <w:tc>
          <w:tcPr>
            <w:tcW w:type="dxa" w:w="5184"/>
            <w:vAlign w:val="center"/>
          </w:tcPr>
          <w:p>
            <w:r/>
            <w:r>
              <w:rPr>
                <w:rFonts w:ascii="Aptos" w:hAnsi="Aptos"/>
                <w:b/>
                <w:sz w:val="19"/>
              </w:rPr>
              <w:t>Microsoft Entra tenant</w:t>
            </w:r>
          </w:p>
        </w:tc>
        <w:tc>
          <w:tcPr>
            <w:tcW w:type="dxa" w:w="5184"/>
            <w:vAlign w:val="center"/>
          </w:tcPr>
          <w:p>
            <w:r/>
            <w:r>
              <w:rPr>
                <w:rFonts w:ascii="Aptos" w:hAnsi="Aptos"/>
                <w:b w:val="0"/>
                <w:sz w:val="19"/>
              </w:rPr>
              <w:t>Identity boundary containing the trainer/admin account and the 14 student user accounts.</w:t>
            </w:r>
          </w:p>
        </w:tc>
      </w:tr>
      <w:tr>
        <w:tc>
          <w:tcPr>
            <w:tcW w:type="dxa" w:w="5184"/>
            <w:vAlign w:val="center"/>
          </w:tcPr>
          <w:p>
            <w:r/>
            <w:r>
              <w:rPr>
                <w:rFonts w:ascii="Aptos" w:hAnsi="Aptos"/>
                <w:b/>
                <w:sz w:val="19"/>
              </w:rPr>
              <w:t>Azure subscription</w:t>
            </w:r>
          </w:p>
        </w:tc>
        <w:tc>
          <w:tcPr>
            <w:tcW w:type="dxa" w:w="5184"/>
            <w:vAlign w:val="center"/>
          </w:tcPr>
          <w:p>
            <w:r/>
            <w:r>
              <w:rPr>
                <w:rFonts w:ascii="Aptos" w:hAnsi="Aptos"/>
                <w:b w:val="0"/>
                <w:sz w:val="19"/>
              </w:rPr>
              <w:t>Billing and resource-management boundary. All Day 1 resources are created inside this subscription.</w:t>
            </w:r>
          </w:p>
        </w:tc>
      </w:tr>
      <w:tr>
        <w:tc>
          <w:tcPr>
            <w:tcW w:type="dxa" w:w="5184"/>
            <w:vAlign w:val="center"/>
          </w:tcPr>
          <w:p>
            <w:r/>
            <w:r>
              <w:rPr>
                <w:rFonts w:ascii="Aptos" w:hAnsi="Aptos"/>
                <w:b/>
                <w:sz w:val="19"/>
              </w:rPr>
              <w:t>Resource group</w:t>
            </w:r>
          </w:p>
        </w:tc>
        <w:tc>
          <w:tcPr>
            <w:tcW w:type="dxa" w:w="5184"/>
            <w:vAlign w:val="center"/>
          </w:tcPr>
          <w:p>
            <w:r/>
            <w:r>
              <w:rPr>
                <w:rFonts w:ascii="Aptos" w:hAnsi="Aptos"/>
                <w:b w:val="0"/>
                <w:sz w:val="19"/>
              </w:rPr>
              <w:t>Isolation boundary for each student's resources. Example: rg-cdg-s01-day01.</w:t>
            </w:r>
          </w:p>
        </w:tc>
      </w:tr>
      <w:tr>
        <w:tc>
          <w:tcPr>
            <w:tcW w:type="dxa" w:w="5184"/>
            <w:vAlign w:val="center"/>
          </w:tcPr>
          <w:p>
            <w:r/>
            <w:r>
              <w:rPr>
                <w:rFonts w:ascii="Aptos" w:hAnsi="Aptos"/>
                <w:b/>
                <w:sz w:val="19"/>
              </w:rPr>
              <w:t>RBAC</w:t>
            </w:r>
          </w:p>
        </w:tc>
        <w:tc>
          <w:tcPr>
            <w:tcW w:type="dxa" w:w="5184"/>
            <w:vAlign w:val="center"/>
          </w:tcPr>
          <w:p>
            <w:r/>
            <w:r>
              <w:rPr>
                <w:rFonts w:ascii="Aptos" w:hAnsi="Aptos"/>
                <w:b w:val="0"/>
                <w:sz w:val="19"/>
              </w:rPr>
              <w:t>Azure role-based access control. Each student gets Contributor on only their own resource group.</w:t>
            </w:r>
          </w:p>
        </w:tc>
      </w:tr>
      <w:tr>
        <w:tc>
          <w:tcPr>
            <w:tcW w:type="dxa" w:w="5184"/>
            <w:vAlign w:val="center"/>
          </w:tcPr>
          <w:p>
            <w:r/>
            <w:r>
              <w:rPr>
                <w:rFonts w:ascii="Aptos" w:hAnsi="Aptos"/>
                <w:b/>
                <w:sz w:val="19"/>
              </w:rPr>
              <w:t>Budget / Cost alerts</w:t>
            </w:r>
          </w:p>
        </w:tc>
        <w:tc>
          <w:tcPr>
            <w:tcW w:type="dxa" w:w="5184"/>
            <w:vAlign w:val="center"/>
          </w:tcPr>
          <w:p>
            <w:r/>
            <w:r>
              <w:rPr>
                <w:rFonts w:ascii="Aptos" w:hAnsi="Aptos"/>
                <w:b w:val="0"/>
                <w:sz w:val="19"/>
              </w:rPr>
              <w:t>Central cost-control mechanism configured by the administrator.</w:t>
            </w:r>
          </w:p>
        </w:tc>
      </w:tr>
    </w:tbl>
    <w:tbl>
      <w:tblPr>
        <w:tblW w:type="auto" w:w="0"/>
        <w:jc w:val="center"/>
        <w:tblLayout w:type="autofit"/>
        <w:tblLook w:firstColumn="1" w:firstRow="1" w:lastColumn="0" w:lastRow="0" w:noHBand="0" w:noVBand="1" w:val="04A0"/>
      </w:tblPr>
      <w:tblGrid>
        <w:gridCol w:w="10368"/>
      </w:tblGrid>
      <w:tr>
        <w:tc>
          <w:tcPr>
            <w:tcW w:type="dxa" w:w="10368"/>
            <w:shd w:fill="FFF2CC"/>
          </w:tcPr>
          <w:p>
            <w:pPr>
              <w:spacing w:after="0"/>
            </w:pPr>
            <w:r>
              <w:rPr>
                <w:b/>
                <w:color w:val="17365D"/>
              </w:rPr>
              <w:t xml:space="preserve">Do not confuse tenant and subscription: </w:t>
            </w:r>
            <w:r>
              <w:t>A tenant manages identities. A subscription contains billable Azure resources. For this batch, both are centrally managed, but they serve different purposes.</w:t>
            </w:r>
          </w:p>
        </w:tc>
      </w:tr>
    </w:tbl>
    <w:p/>
    <w:p>
      <w:pPr>
        <w:pStyle w:val="Heading1"/>
      </w:pPr>
      <w:r>
        <w:t>3. Target Architecture for 14 Students</w:t>
      </w:r>
    </w:p>
    <w:p>
      <w:pPr>
        <w:pStyle w:val="CodeBlock"/>
        <w:shd w:fill="F3F6F9"/>
      </w:pPr>
      <w:r>
        <w:rPr>
          <w:rFonts w:ascii="Consolas" w:hAnsi="Consolas"/>
          <w:sz w:val="18"/>
        </w:rPr>
        <w:t>Microsoft Entra Tenant</w:t>
        <w:br/>
        <w:t>│</w:t>
        <w:br/>
        <w:t>├── Trainer/Admin</w:t>
        <w:br/>
        <w:t>├── student01@&lt;tenant-domain&gt;</w:t>
        <w:br/>
        <w:t>├── student02@&lt;tenant-domain&gt;</w:t>
        <w:br/>
        <w:t>├── ...</w:t>
        <w:br/>
        <w:t>└── student14@&lt;tenant-domain&gt;</w:t>
        <w:br/>
        <w:t xml:space="preserve">          │</w:t>
        <w:br/>
        <w:t xml:space="preserve">          ▼</w:t>
        <w:br/>
        <w:t xml:space="preserve">     Azure Subscription</w:t>
        <w:br/>
        <w:t xml:space="preserve">          │</w:t>
        <w:br/>
        <w:t xml:space="preserve">          ├── rg-cdg-s01-day01  ← Contributor: Student 01</w:t>
        <w:br/>
        <w:t xml:space="preserve">          ├── rg-cdg-s02-day01  ← Contributor: Student 02</w:t>
        <w:br/>
        <w:t xml:space="preserve">          ├── rg-cdg-s03-day01  ← Contributor: Student 03</w:t>
        <w:br/>
        <w:t xml:space="preserve">          ├── ...</w:t>
        <w:br/>
        <w:t xml:space="preserve">          └── rg-cdg-s14-day01  ← Contributor: Student 14</w:t>
        <w:br/>
        <w:br/>
        <w:t>Inside each resource group:</w:t>
        <w:br/>
        <w:t xml:space="preserve">  App Service Plan</w:t>
        <w:br/>
        <w:t xml:space="preserve">  Web App</w:t>
        <w:br/>
        <w:t xml:space="preserve">  Application Insights (where enabled)</w:t>
        <w:br/>
        <w:t xml:space="preserve">  Other Day 1 resources approved by trainer</w:t>
      </w:r>
    </w:p>
    <w:p>
      <w:pPr>
        <w:pStyle w:val="Heading1"/>
      </w:pPr>
      <w:r>
        <w:t>4. Recommended Access Model</w:t>
      </w:r>
    </w:p>
    <w:p>
      <w:r>
        <w:t>Use least privilege. Do not give all 14 students Owner or Contributor at subscription scope.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7365D"/>
          </w:tcPr>
          <w:p>
            <w:r/>
            <w:r>
              <w:rPr>
                <w:rFonts w:ascii="Aptos" w:hAnsi="Aptos"/>
                <w:b/>
                <w:color w:val="FFFFFF"/>
                <w:sz w:val="19"/>
              </w:rPr>
              <w:t>Persona</w:t>
            </w:r>
          </w:p>
        </w:tc>
        <w:tc>
          <w:tcPr>
            <w:tcW w:type="dxa" w:w="2592"/>
            <w:vAlign w:val="center"/>
            <w:shd w:fill="17365D"/>
          </w:tcPr>
          <w:p>
            <w:r/>
            <w:r>
              <w:rPr>
                <w:rFonts w:ascii="Aptos" w:hAnsi="Aptos"/>
                <w:b/>
                <w:color w:val="FFFFFF"/>
                <w:sz w:val="19"/>
              </w:rPr>
              <w:t>Scope</w:t>
            </w:r>
          </w:p>
        </w:tc>
        <w:tc>
          <w:tcPr>
            <w:tcW w:type="dxa" w:w="2592"/>
            <w:vAlign w:val="center"/>
            <w:shd w:fill="17365D"/>
          </w:tcPr>
          <w:p>
            <w:r/>
            <w:r>
              <w:rPr>
                <w:rFonts w:ascii="Aptos" w:hAnsi="Aptos"/>
                <w:b/>
                <w:color w:val="FFFFFF"/>
                <w:sz w:val="19"/>
              </w:rPr>
              <w:t>Role</w:t>
            </w:r>
          </w:p>
        </w:tc>
        <w:tc>
          <w:tcPr>
            <w:tcW w:type="dxa" w:w="2592"/>
            <w:vAlign w:val="center"/>
            <w:shd w:fill="17365D"/>
          </w:tcPr>
          <w:p>
            <w:r/>
            <w:r>
              <w:rPr>
                <w:rFonts w:ascii="Aptos" w:hAnsi="Aptos"/>
                <w:b/>
                <w:color w:val="FFFFFF"/>
                <w:sz w:val="19"/>
              </w:rPr>
              <w:t>Reason</w:t>
            </w:r>
          </w:p>
        </w:tc>
      </w:tr>
      <w:tr>
        <w:tc>
          <w:tcPr>
            <w:tcW w:type="dxa" w:w="2592"/>
            <w:vAlign w:val="center"/>
          </w:tcPr>
          <w:p>
            <w:r/>
            <w:r>
              <w:rPr>
                <w:rFonts w:ascii="Aptos" w:hAnsi="Aptos"/>
                <w:b/>
                <w:sz w:val="18"/>
              </w:rPr>
              <w:t>Trainer / Lab Admin</w:t>
            </w:r>
          </w:p>
        </w:tc>
        <w:tc>
          <w:tcPr>
            <w:tcW w:type="dxa" w:w="2592"/>
            <w:vAlign w:val="center"/>
          </w:tcPr>
          <w:p>
            <w:r/>
            <w:r>
              <w:rPr>
                <w:rFonts w:ascii="Aptos" w:hAnsi="Aptos"/>
                <w:b w:val="0"/>
                <w:sz w:val="18"/>
              </w:rPr>
              <w:t>Subscription</w:t>
            </w:r>
          </w:p>
        </w:tc>
        <w:tc>
          <w:tcPr>
            <w:tcW w:type="dxa" w:w="2592"/>
            <w:vAlign w:val="center"/>
          </w:tcPr>
          <w:p>
            <w:r/>
            <w:r>
              <w:rPr>
                <w:rFonts w:ascii="Aptos" w:hAnsi="Aptos"/>
                <w:b w:val="0"/>
                <w:sz w:val="18"/>
              </w:rPr>
              <w:t>Owner or User Access Administrator + Contributor</w:t>
            </w:r>
          </w:p>
        </w:tc>
        <w:tc>
          <w:tcPr>
            <w:tcW w:type="dxa" w:w="2592"/>
            <w:vAlign w:val="center"/>
          </w:tcPr>
          <w:p>
            <w:r/>
            <w:r>
              <w:rPr>
                <w:rFonts w:ascii="Aptos" w:hAnsi="Aptos"/>
                <w:b w:val="0"/>
                <w:sz w:val="18"/>
              </w:rPr>
              <w:t>Creates RGs, assigns access, manages cost, quota and cleanup.</w:t>
            </w:r>
          </w:p>
        </w:tc>
      </w:tr>
      <w:tr>
        <w:tc>
          <w:tcPr>
            <w:tcW w:type="dxa" w:w="2592"/>
            <w:vAlign w:val="center"/>
          </w:tcPr>
          <w:p>
            <w:r/>
            <w:r>
              <w:rPr>
                <w:rFonts w:ascii="Aptos" w:hAnsi="Aptos"/>
                <w:b/>
                <w:sz w:val="18"/>
              </w:rPr>
              <w:t>Student 01</w:t>
            </w:r>
          </w:p>
        </w:tc>
        <w:tc>
          <w:tcPr>
            <w:tcW w:type="dxa" w:w="2592"/>
            <w:vAlign w:val="center"/>
          </w:tcPr>
          <w:p>
            <w:r/>
            <w:r>
              <w:rPr>
                <w:rFonts w:ascii="Aptos" w:hAnsi="Aptos"/>
                <w:b w:val="0"/>
                <w:sz w:val="18"/>
              </w:rPr>
              <w:t>rg-cdg-s01-day01</w:t>
            </w:r>
          </w:p>
        </w:tc>
        <w:tc>
          <w:tcPr>
            <w:tcW w:type="dxa" w:w="2592"/>
            <w:vAlign w:val="center"/>
          </w:tcPr>
          <w:p>
            <w:r/>
            <w:r>
              <w:rPr>
                <w:rFonts w:ascii="Aptos" w:hAnsi="Aptos"/>
                <w:b w:val="0"/>
                <w:sz w:val="18"/>
              </w:rPr>
              <w:t>Contributor</w:t>
            </w:r>
          </w:p>
        </w:tc>
        <w:tc>
          <w:tcPr>
            <w:tcW w:type="dxa" w:w="2592"/>
            <w:vAlign w:val="center"/>
          </w:tcPr>
          <w:p>
            <w:r/>
            <w:r>
              <w:rPr>
                <w:rFonts w:ascii="Aptos" w:hAnsi="Aptos"/>
                <w:b w:val="0"/>
                <w:sz w:val="18"/>
              </w:rPr>
              <w:t>Can create/update/delete resources only in own RG.</w:t>
            </w:r>
          </w:p>
        </w:tc>
      </w:tr>
      <w:tr>
        <w:tc>
          <w:tcPr>
            <w:tcW w:type="dxa" w:w="2592"/>
            <w:vAlign w:val="center"/>
          </w:tcPr>
          <w:p>
            <w:r/>
            <w:r>
              <w:rPr>
                <w:rFonts w:ascii="Aptos" w:hAnsi="Aptos"/>
                <w:b/>
                <w:sz w:val="18"/>
              </w:rPr>
              <w:t>Student 02–14</w:t>
            </w:r>
          </w:p>
        </w:tc>
        <w:tc>
          <w:tcPr>
            <w:tcW w:type="dxa" w:w="2592"/>
            <w:vAlign w:val="center"/>
          </w:tcPr>
          <w:p>
            <w:r/>
            <w:r>
              <w:rPr>
                <w:rFonts w:ascii="Aptos" w:hAnsi="Aptos"/>
                <w:b w:val="0"/>
                <w:sz w:val="18"/>
              </w:rPr>
              <w:t>Own assigned RG only</w:t>
            </w:r>
          </w:p>
        </w:tc>
        <w:tc>
          <w:tcPr>
            <w:tcW w:type="dxa" w:w="2592"/>
            <w:vAlign w:val="center"/>
          </w:tcPr>
          <w:p>
            <w:r/>
            <w:r>
              <w:rPr>
                <w:rFonts w:ascii="Aptos" w:hAnsi="Aptos"/>
                <w:b w:val="0"/>
                <w:sz w:val="18"/>
              </w:rPr>
              <w:t>Contributor</w:t>
            </w:r>
          </w:p>
        </w:tc>
        <w:tc>
          <w:tcPr>
            <w:tcW w:type="dxa" w:w="2592"/>
            <w:vAlign w:val="center"/>
          </w:tcPr>
          <w:p>
            <w:r/>
            <w:r>
              <w:rPr>
                <w:rFonts w:ascii="Aptos" w:hAnsi="Aptos"/>
                <w:b w:val="0"/>
                <w:sz w:val="18"/>
              </w:rPr>
              <w:t>Same isolation model.</w:t>
            </w:r>
          </w:p>
        </w:tc>
      </w:tr>
    </w:tbl>
    <w:p>
      <w:pPr>
        <w:pStyle w:val="Heading1"/>
      </w:pPr>
      <w:r>
        <w:t>5. Pre-Lab Administrator Checklist</w:t>
      </w:r>
    </w:p>
    <w:p>
      <w:pPr>
        <w:pStyle w:val="ListBullet"/>
      </w:pPr>
      <w:r>
        <w:t>Confirm one active Azure subscription is linked to the training tenant.</w:t>
      </w:r>
    </w:p>
    <w:p>
      <w:pPr>
        <w:pStyle w:val="ListBullet"/>
      </w:pPr>
      <w:r>
        <w:t>Confirm the subscription has sufficient spending allowance and service quota for 14 concurrent students.</w:t>
      </w:r>
    </w:p>
    <w:p>
      <w:pPr>
        <w:pStyle w:val="ListBullet"/>
      </w:pPr>
      <w:r>
        <w:t>Choose one primary Azure region approved for the batch (for example Central India, subject to service availability).</w:t>
      </w:r>
    </w:p>
    <w:p>
      <w:pPr>
        <w:pStyle w:val="ListBullet"/>
      </w:pPr>
      <w:r>
        <w:t>Create 14 Microsoft Entra user accounts or verify the 14 students already exist in the tenant.</w:t>
      </w:r>
    </w:p>
    <w:p>
      <w:pPr>
        <w:pStyle w:val="ListBullet"/>
      </w:pPr>
      <w:r>
        <w:t>Create 14 resource groups, one per student.</w:t>
      </w:r>
    </w:p>
    <w:p>
      <w:pPr>
        <w:pStyle w:val="ListBullet"/>
      </w:pPr>
      <w:r>
        <w:t>Assign Contributor to each student only on their resource group.</w:t>
      </w:r>
    </w:p>
    <w:p>
      <w:pPr>
        <w:pStyle w:val="ListBullet"/>
      </w:pPr>
      <w:r>
        <w:t>Configure subscription/resource-group budgets and cost alerts where appropriate.</w:t>
      </w:r>
    </w:p>
    <w:p>
      <w:pPr>
        <w:pStyle w:val="ListBullet"/>
      </w:pPr>
      <w:r>
        <w:t>Verify required resource providers are registered for the services used in Day 1.</w:t>
      </w:r>
    </w:p>
    <w:p>
      <w:pPr>
        <w:pStyle w:val="ListBullet"/>
      </w:pPr>
      <w:r>
        <w:t>Test one student account end-to-end before class.</w:t>
      </w:r>
    </w:p>
    <w:p>
      <w:pPr>
        <w:pStyle w:val="ListBullet"/>
      </w:pPr>
      <w:r>
        <w:t>Share only the student's own username, temporary password and resource-group name.</w:t>
      </w:r>
    </w:p>
    <w:p>
      <w:pPr>
        <w:pStyle w:val="Heading1"/>
      </w:pPr>
      <w:r>
        <w:t>6. Suggested Naming Standard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F5597"/>
          </w:tcPr>
          <w:p>
            <w:r/>
            <w:r>
              <w:rPr>
                <w:rFonts w:ascii="Aptos" w:hAnsi="Aptos"/>
                <w:b/>
                <w:color w:val="FFFFFF"/>
                <w:sz w:val="19"/>
              </w:rPr>
              <w:t>Resource</w:t>
            </w:r>
          </w:p>
        </w:tc>
        <w:tc>
          <w:tcPr>
            <w:tcW w:type="dxa" w:w="3456"/>
            <w:vAlign w:val="center"/>
            <w:shd w:fill="2F5597"/>
          </w:tcPr>
          <w:p>
            <w:r/>
            <w:r>
              <w:rPr>
                <w:rFonts w:ascii="Aptos" w:hAnsi="Aptos"/>
                <w:b/>
                <w:color w:val="FFFFFF"/>
                <w:sz w:val="19"/>
              </w:rPr>
              <w:t>Pattern</w:t>
            </w:r>
          </w:p>
        </w:tc>
        <w:tc>
          <w:tcPr>
            <w:tcW w:type="dxa" w:w="3456"/>
            <w:vAlign w:val="center"/>
            <w:shd w:fill="2F5597"/>
          </w:tcPr>
          <w:p>
            <w:r/>
            <w:r>
              <w:rPr>
                <w:rFonts w:ascii="Aptos" w:hAnsi="Aptos"/>
                <w:b/>
                <w:color w:val="FFFFFF"/>
                <w:sz w:val="19"/>
              </w:rPr>
              <w:t>Example for Student 01</w:t>
            </w:r>
          </w:p>
        </w:tc>
      </w:tr>
      <w:tr>
        <w:tc>
          <w:tcPr>
            <w:tcW w:type="dxa" w:w="3456"/>
            <w:vAlign w:val="center"/>
          </w:tcPr>
          <w:p>
            <w:r/>
            <w:r>
              <w:rPr>
                <w:rFonts w:ascii="Aptos" w:hAnsi="Aptos"/>
                <w:b/>
                <w:sz w:val="19"/>
              </w:rPr>
              <w:t>Resource Group</w:t>
            </w:r>
          </w:p>
        </w:tc>
        <w:tc>
          <w:tcPr>
            <w:tcW w:type="dxa" w:w="3456"/>
            <w:vAlign w:val="center"/>
          </w:tcPr>
          <w:p>
            <w:r/>
            <w:r>
              <w:rPr>
                <w:rFonts w:ascii="Aptos" w:hAnsi="Aptos"/>
                <w:b w:val="0"/>
                <w:sz w:val="19"/>
              </w:rPr>
              <w:t>rg-cdg-sNN-day01</w:t>
            </w:r>
          </w:p>
        </w:tc>
        <w:tc>
          <w:tcPr>
            <w:tcW w:type="dxa" w:w="3456"/>
            <w:vAlign w:val="center"/>
          </w:tcPr>
          <w:p>
            <w:r/>
            <w:r>
              <w:rPr>
                <w:rFonts w:ascii="Aptos" w:hAnsi="Aptos"/>
                <w:b w:val="0"/>
                <w:sz w:val="19"/>
              </w:rPr>
              <w:t>rg-cdg-s01-day01</w:t>
            </w:r>
          </w:p>
        </w:tc>
      </w:tr>
      <w:tr>
        <w:tc>
          <w:tcPr>
            <w:tcW w:type="dxa" w:w="3456"/>
            <w:vAlign w:val="center"/>
          </w:tcPr>
          <w:p>
            <w:r/>
            <w:r>
              <w:rPr>
                <w:rFonts w:ascii="Aptos" w:hAnsi="Aptos"/>
                <w:b/>
                <w:sz w:val="19"/>
              </w:rPr>
              <w:t>App Service Plan</w:t>
            </w:r>
          </w:p>
        </w:tc>
        <w:tc>
          <w:tcPr>
            <w:tcW w:type="dxa" w:w="3456"/>
            <w:vAlign w:val="center"/>
          </w:tcPr>
          <w:p>
            <w:r/>
            <w:r>
              <w:rPr>
                <w:rFonts w:ascii="Aptos" w:hAnsi="Aptos"/>
                <w:b w:val="0"/>
                <w:sz w:val="19"/>
              </w:rPr>
              <w:t>asp-cdg-sNN-d01</w:t>
            </w:r>
          </w:p>
        </w:tc>
        <w:tc>
          <w:tcPr>
            <w:tcW w:type="dxa" w:w="3456"/>
            <w:vAlign w:val="center"/>
          </w:tcPr>
          <w:p>
            <w:r/>
            <w:r>
              <w:rPr>
                <w:rFonts w:ascii="Aptos" w:hAnsi="Aptos"/>
                <w:b w:val="0"/>
                <w:sz w:val="19"/>
              </w:rPr>
              <w:t>asp-cdg-s01-d01</w:t>
            </w:r>
          </w:p>
        </w:tc>
      </w:tr>
      <w:tr>
        <w:tc>
          <w:tcPr>
            <w:tcW w:type="dxa" w:w="3456"/>
            <w:vAlign w:val="center"/>
          </w:tcPr>
          <w:p>
            <w:r/>
            <w:r>
              <w:rPr>
                <w:rFonts w:ascii="Aptos" w:hAnsi="Aptos"/>
                <w:b/>
                <w:sz w:val="19"/>
              </w:rPr>
              <w:t>Web App</w:t>
            </w:r>
          </w:p>
        </w:tc>
        <w:tc>
          <w:tcPr>
            <w:tcW w:type="dxa" w:w="3456"/>
            <w:vAlign w:val="center"/>
          </w:tcPr>
          <w:p>
            <w:r/>
            <w:r>
              <w:rPr>
                <w:rFonts w:ascii="Aptos" w:hAnsi="Aptos"/>
                <w:b w:val="0"/>
                <w:sz w:val="19"/>
              </w:rPr>
              <w:t>app-cdg-sNN-d01-&lt;unique&gt;</w:t>
            </w:r>
          </w:p>
        </w:tc>
        <w:tc>
          <w:tcPr>
            <w:tcW w:type="dxa" w:w="3456"/>
            <w:vAlign w:val="center"/>
          </w:tcPr>
          <w:p>
            <w:r/>
            <w:r>
              <w:rPr>
                <w:rFonts w:ascii="Aptos" w:hAnsi="Aptos"/>
                <w:b w:val="0"/>
                <w:sz w:val="19"/>
              </w:rPr>
              <w:t>app-cdg-s01-d01-4827</w:t>
            </w:r>
          </w:p>
        </w:tc>
      </w:tr>
      <w:tr>
        <w:tc>
          <w:tcPr>
            <w:tcW w:type="dxa" w:w="3456"/>
            <w:vAlign w:val="center"/>
          </w:tcPr>
          <w:p>
            <w:r/>
            <w:r>
              <w:rPr>
                <w:rFonts w:ascii="Aptos" w:hAnsi="Aptos"/>
                <w:b/>
                <w:sz w:val="19"/>
              </w:rPr>
              <w:t>Application Insights</w:t>
            </w:r>
          </w:p>
        </w:tc>
        <w:tc>
          <w:tcPr>
            <w:tcW w:type="dxa" w:w="3456"/>
            <w:vAlign w:val="center"/>
          </w:tcPr>
          <w:p>
            <w:r/>
            <w:r>
              <w:rPr>
                <w:rFonts w:ascii="Aptos" w:hAnsi="Aptos"/>
                <w:b w:val="0"/>
                <w:sz w:val="19"/>
              </w:rPr>
              <w:t>appi-cdg-sNN-d01</w:t>
            </w:r>
          </w:p>
        </w:tc>
        <w:tc>
          <w:tcPr>
            <w:tcW w:type="dxa" w:w="3456"/>
            <w:vAlign w:val="center"/>
          </w:tcPr>
          <w:p>
            <w:r/>
            <w:r>
              <w:rPr>
                <w:rFonts w:ascii="Aptos" w:hAnsi="Aptos"/>
                <w:b w:val="0"/>
                <w:sz w:val="19"/>
              </w:rPr>
              <w:t>appi-cdg-s01-d01</w:t>
            </w:r>
          </w:p>
        </w:tc>
      </w:tr>
    </w:tbl>
    <w:p>
      <w:r>
        <w:br w:type="page"/>
      </w:r>
    </w:p>
    <w:p>
      <w:pPr>
        <w:pStyle w:val="Heading1"/>
      </w:pPr>
      <w:r>
        <w:t>7. Admin Setup – Create 14 Student Users</w:t>
      </w:r>
    </w:p>
    <w:p>
      <w:r>
        <w:t>In the Microsoft Entra admin center / Azure portal, create one cloud user per learner. A Microsoft 365 license is not required merely to authenticate to Azure resources.</w:t>
      </w:r>
    </w:p>
    <w:p>
      <w:r>
        <w:t>Suggested display names and usernames:</w:t>
      </w:r>
    </w:p>
    <w:p>
      <w:pPr>
        <w:pStyle w:val="CodeBlock"/>
        <w:shd w:fill="F3F6F9"/>
      </w:pPr>
      <w:r>
        <w:rPr>
          <w:rFonts w:ascii="Consolas" w:hAnsi="Consolas"/>
          <w:sz w:val="18"/>
        </w:rPr>
        <w:t>Student 01  → student01@&lt;tenant-domain&gt;</w:t>
        <w:br/>
        <w:t>Student 02  → student02@&lt;tenant-domain&gt;</w:t>
        <w:br/>
        <w:t>...</w:t>
        <w:br/>
        <w:t>Student 14  → student14@&lt;tenant-domain&gt;</w:t>
      </w:r>
    </w:p>
    <w:p>
      <w:r>
        <w:t>For each account:</w:t>
      </w:r>
    </w:p>
    <w:p>
      <w:pPr>
        <w:pStyle w:val="ListBullet"/>
      </w:pPr>
      <w:r>
        <w:t>Use a unique temporary password.</w:t>
      </w:r>
    </w:p>
    <w:p>
      <w:pPr>
        <w:pStyle w:val="ListBullet"/>
      </w:pPr>
      <w:r>
        <w:t>Require password change at first sign-in if this fits the lab process.</w:t>
      </w:r>
    </w:p>
    <w:p>
      <w:pPr>
        <w:pStyle w:val="ListBullet"/>
      </w:pPr>
      <w:r>
        <w:t>Do not share one account among multiple students.</w:t>
      </w:r>
    </w:p>
    <w:p>
      <w:pPr>
        <w:pStyle w:val="ListBullet"/>
      </w:pPr>
      <w:r>
        <w:t>Do not assign directory roles such as Global Administrator.</w:t>
      </w:r>
    </w:p>
    <w:p>
      <w:pPr>
        <w:pStyle w:val="Heading1"/>
      </w:pPr>
      <w:r>
        <w:t>8. Admin Setup – Create 14 Resource Groups</w:t>
      </w:r>
    </w:p>
    <w:p>
      <w:r>
        <w:t>Portal method: Azure Portal → Resource groups → Create.</w:t>
      </w:r>
    </w:p>
    <w:p>
      <w:pPr>
        <w:pStyle w:val="CodeBlock"/>
        <w:shd w:fill="F3F6F9"/>
      </w:pPr>
      <w:r>
        <w:rPr>
          <w:rFonts w:ascii="Consolas" w:hAnsi="Consolas"/>
          <w:sz w:val="18"/>
        </w:rPr>
        <w:t>rg-cdg-s01-day01</w:t>
        <w:br/>
        <w:t>rg-cdg-s02-day01</w:t>
        <w:br/>
        <w:t>rg-cdg-s03-day01</w:t>
        <w:br/>
        <w:t>...</w:t>
        <w:br/>
        <w:t>rg-cdg-s14-day01</w:t>
      </w:r>
    </w:p>
    <w:p>
      <w:r>
        <w:t>CLI example for one resource group:</w:t>
      </w:r>
    </w:p>
    <w:p>
      <w:pPr>
        <w:pStyle w:val="CodeBlock"/>
        <w:shd w:fill="F3F6F9"/>
      </w:pPr>
      <w:r>
        <w:rPr>
          <w:rFonts w:ascii="Consolas" w:hAnsi="Consolas"/>
          <w:sz w:val="18"/>
        </w:rPr>
        <w:t>az group create \</w:t>
        <w:br/>
        <w:t xml:space="preserve">  --name rg-cdg-s01-day01 \</w:t>
        <w:br/>
        <w:t xml:space="preserve">  --location centralindia</w:t>
      </w:r>
    </w:p>
    <w:p>
      <w:r>
        <w:t>Optional PowerShell/CLI automation can be used by the administrator to create all 14 groups before class.</w:t>
      </w:r>
    </w:p>
    <w:p>
      <w:pPr>
        <w:pStyle w:val="Heading1"/>
      </w:pPr>
      <w:r>
        <w:t>9. Admin Setup – Assign RBAC</w:t>
      </w:r>
    </w:p>
    <w:p>
      <w:r>
        <w:t>For each resource group:</w:t>
      </w:r>
    </w:p>
    <w:p>
      <w:r>
        <w:rPr>
          <w:b/>
        </w:rPr>
        <w:t xml:space="preserve">1. </w:t>
      </w:r>
      <w:r>
        <w:t>Open the student's resource group.</w:t>
      </w:r>
    </w:p>
    <w:p>
      <w:r>
        <w:rPr>
          <w:b/>
        </w:rPr>
        <w:t xml:space="preserve">2. </w:t>
      </w:r>
      <w:r>
        <w:t>Select Access control (IAM).</w:t>
      </w:r>
    </w:p>
    <w:p>
      <w:r>
        <w:rPr>
          <w:b/>
        </w:rPr>
        <w:t xml:space="preserve">3. </w:t>
      </w:r>
      <w:r>
        <w:t>Select Add → Add role assignment.</w:t>
      </w:r>
    </w:p>
    <w:p>
      <w:r>
        <w:rPr>
          <w:b/>
        </w:rPr>
        <w:t xml:space="preserve">4. </w:t>
      </w:r>
      <w:r>
        <w:t>Choose Contributor.</w:t>
      </w:r>
    </w:p>
    <w:p>
      <w:r>
        <w:rPr>
          <w:b/>
        </w:rPr>
        <w:t xml:space="preserve">5. </w:t>
      </w:r>
      <w:r>
        <w:t>Assign access to User, group, or service principal.</w:t>
      </w:r>
    </w:p>
    <w:p>
      <w:r>
        <w:rPr>
          <w:b/>
        </w:rPr>
        <w:t xml:space="preserve">6. </w:t>
      </w:r>
      <w:r>
        <w:t>Select the corresponding student account.</w:t>
      </w:r>
    </w:p>
    <w:p>
      <w:r>
        <w:rPr>
          <w:b/>
        </w:rPr>
        <w:t xml:space="preserve">7. </w:t>
      </w:r>
      <w:r>
        <w:t>Review + assign.</w:t>
      </w:r>
    </w:p>
    <w:tbl>
      <w:tblPr>
        <w:tblW w:type="auto" w:w="0"/>
        <w:jc w:val="center"/>
        <w:tblLayout w:type="autofit"/>
        <w:tblLook w:firstColumn="1" w:firstRow="1" w:lastColumn="0" w:lastRow="0" w:noHBand="0" w:noVBand="1" w:val="04A0"/>
      </w:tblPr>
      <w:tblGrid>
        <w:gridCol w:w="10368"/>
      </w:tblGrid>
      <w:tr>
        <w:tc>
          <w:tcPr>
            <w:tcW w:type="dxa" w:w="10368"/>
            <w:shd w:fill="FCE4D6"/>
          </w:tcPr>
          <w:p>
            <w:pPr>
              <w:spacing w:after="0"/>
            </w:pPr>
            <w:r>
              <w:rPr>
                <w:b/>
                <w:color w:val="17365D"/>
              </w:rPr>
              <w:t xml:space="preserve">Security rule: </w:t>
            </w:r>
            <w:r>
              <w:t>Student 01 must not receive Contributor on Student 02's resource group. Avoid subscription-level Contributor for learners.</w:t>
            </w:r>
          </w:p>
        </w:tc>
      </w:tr>
    </w:tbl>
    <w:p/>
    <w:p>
      <w:pPr>
        <w:pStyle w:val="Heading1"/>
      </w:pPr>
      <w:r>
        <w:t>10. Admin Validation Before Class</w:t>
      </w:r>
    </w:p>
    <w:p>
      <w:r>
        <w:t>Test with a sample student account:</w:t>
      </w:r>
    </w:p>
    <w:p>
      <w:pPr>
        <w:pStyle w:val="ListBullet"/>
      </w:pPr>
      <w:r>
        <w:t>Sign in successfully using the tenant account.</w:t>
      </w:r>
    </w:p>
    <w:p>
      <w:pPr>
        <w:pStyle w:val="ListBullet"/>
      </w:pPr>
      <w:r>
        <w:t>Open the Azure Portal.</w:t>
      </w:r>
    </w:p>
    <w:p>
      <w:pPr>
        <w:pStyle w:val="ListBullet"/>
      </w:pPr>
      <w:r>
        <w:t>Confirm the central subscription is visible.</w:t>
      </w:r>
    </w:p>
    <w:p>
      <w:pPr>
        <w:pStyle w:val="ListBullet"/>
      </w:pPr>
      <w:r>
        <w:t>Confirm the assigned resource group is visible.</w:t>
      </w:r>
    </w:p>
    <w:p>
      <w:pPr>
        <w:pStyle w:val="ListBullet"/>
      </w:pPr>
      <w:r>
        <w:t>Create a harmless test resource or tag inside the assigned RG.</w:t>
      </w:r>
    </w:p>
    <w:p>
      <w:pPr>
        <w:pStyle w:val="ListBullet"/>
      </w:pPr>
      <w:r>
        <w:t>Confirm the student cannot create resources in an unassigned RG.</w:t>
      </w:r>
    </w:p>
    <w:p>
      <w:pPr>
        <w:pStyle w:val="ListBullet"/>
      </w:pPr>
      <w:r>
        <w:t>Delete the test resource.</w:t>
      </w:r>
    </w:p>
    <w:p>
      <w:pPr>
        <w:pStyle w:val="Heading1"/>
      </w:pPr>
      <w:r>
        <w:t>11. Cost-Control Strategy for 14 Students</w:t>
      </w:r>
    </w:p>
    <w:p>
      <w:r>
        <w:t>Because all resources are billed to the central subscription, the trainer/admin must actively control cost. For Day 1, choose the lowest practical App Service tier that supports the required exercise. Autoscale should be demonstrated only if the selected tier supports it; otherwise explain it conceptually and use manual scaling.</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17365D"/>
          </w:tcPr>
          <w:p>
            <w:r/>
            <w:r>
              <w:rPr>
                <w:rFonts w:ascii="Aptos" w:hAnsi="Aptos"/>
                <w:b/>
                <w:color w:val="FFFFFF"/>
                <w:sz w:val="19"/>
              </w:rPr>
              <w:t>Control</w:t>
            </w:r>
          </w:p>
        </w:tc>
        <w:tc>
          <w:tcPr>
            <w:tcW w:type="dxa" w:w="3456"/>
            <w:vAlign w:val="center"/>
            <w:shd w:fill="17365D"/>
          </w:tcPr>
          <w:p>
            <w:r/>
            <w:r>
              <w:rPr>
                <w:rFonts w:ascii="Aptos" w:hAnsi="Aptos"/>
                <w:b/>
                <w:color w:val="FFFFFF"/>
                <w:sz w:val="19"/>
              </w:rPr>
              <w:t>Recommendation</w:t>
            </w:r>
          </w:p>
        </w:tc>
        <w:tc>
          <w:tcPr>
            <w:tcW w:type="dxa" w:w="3456"/>
            <w:vAlign w:val="center"/>
            <w:shd w:fill="17365D"/>
          </w:tcPr>
          <w:p>
            <w:r/>
            <w:r>
              <w:rPr>
                <w:rFonts w:ascii="Aptos" w:hAnsi="Aptos"/>
                <w:b/>
                <w:color w:val="FFFFFF"/>
                <w:sz w:val="19"/>
              </w:rPr>
              <w:t>Owner</w:t>
            </w:r>
          </w:p>
        </w:tc>
      </w:tr>
      <w:tr>
        <w:tc>
          <w:tcPr>
            <w:tcW w:type="dxa" w:w="3456"/>
            <w:vAlign w:val="center"/>
          </w:tcPr>
          <w:p>
            <w:r/>
            <w:r>
              <w:rPr>
                <w:rFonts w:ascii="Aptos" w:hAnsi="Aptos"/>
                <w:b/>
                <w:sz w:val="19"/>
              </w:rPr>
              <w:t>Budgets</w:t>
            </w:r>
          </w:p>
        </w:tc>
        <w:tc>
          <w:tcPr>
            <w:tcW w:type="dxa" w:w="3456"/>
            <w:vAlign w:val="center"/>
          </w:tcPr>
          <w:p>
            <w:r/>
            <w:r>
              <w:rPr>
                <w:rFonts w:ascii="Aptos" w:hAnsi="Aptos"/>
                <w:b w:val="0"/>
                <w:sz w:val="19"/>
              </w:rPr>
              <w:t>Create budget alerts before the training begins.</w:t>
            </w:r>
          </w:p>
        </w:tc>
        <w:tc>
          <w:tcPr>
            <w:tcW w:type="dxa" w:w="3456"/>
            <w:vAlign w:val="center"/>
          </w:tcPr>
          <w:p>
            <w:r/>
            <w:r>
              <w:rPr>
                <w:rFonts w:ascii="Aptos" w:hAnsi="Aptos"/>
                <w:b w:val="0"/>
                <w:sz w:val="19"/>
              </w:rPr>
              <w:t>Admin</w:t>
            </w:r>
          </w:p>
        </w:tc>
      </w:tr>
      <w:tr>
        <w:tc>
          <w:tcPr>
            <w:tcW w:type="dxa" w:w="3456"/>
            <w:vAlign w:val="center"/>
          </w:tcPr>
          <w:p>
            <w:r/>
            <w:r>
              <w:rPr>
                <w:rFonts w:ascii="Aptos" w:hAnsi="Aptos"/>
                <w:b/>
                <w:sz w:val="19"/>
              </w:rPr>
              <w:t>Regions</w:t>
            </w:r>
          </w:p>
        </w:tc>
        <w:tc>
          <w:tcPr>
            <w:tcW w:type="dxa" w:w="3456"/>
            <w:vAlign w:val="center"/>
          </w:tcPr>
          <w:p>
            <w:r/>
            <w:r>
              <w:rPr>
                <w:rFonts w:ascii="Aptos" w:hAnsi="Aptos"/>
                <w:b w:val="0"/>
                <w:sz w:val="19"/>
              </w:rPr>
              <w:t>Use one approved region unless a service is unavailable.</w:t>
            </w:r>
          </w:p>
        </w:tc>
        <w:tc>
          <w:tcPr>
            <w:tcW w:type="dxa" w:w="3456"/>
            <w:vAlign w:val="center"/>
          </w:tcPr>
          <w:p>
            <w:r/>
            <w:r>
              <w:rPr>
                <w:rFonts w:ascii="Aptos" w:hAnsi="Aptos"/>
                <w:b w:val="0"/>
                <w:sz w:val="19"/>
              </w:rPr>
              <w:t>Admin/Trainer</w:t>
            </w:r>
          </w:p>
        </w:tc>
      </w:tr>
      <w:tr>
        <w:tc>
          <w:tcPr>
            <w:tcW w:type="dxa" w:w="3456"/>
            <w:vAlign w:val="center"/>
          </w:tcPr>
          <w:p>
            <w:r/>
            <w:r>
              <w:rPr>
                <w:rFonts w:ascii="Aptos" w:hAnsi="Aptos"/>
                <w:b/>
                <w:sz w:val="19"/>
              </w:rPr>
              <w:t>SKU / Size</w:t>
            </w:r>
          </w:p>
        </w:tc>
        <w:tc>
          <w:tcPr>
            <w:tcW w:type="dxa" w:w="3456"/>
            <w:vAlign w:val="center"/>
          </w:tcPr>
          <w:p>
            <w:r/>
            <w:r>
              <w:rPr>
                <w:rFonts w:ascii="Aptos" w:hAnsi="Aptos"/>
                <w:b w:val="0"/>
                <w:sz w:val="19"/>
              </w:rPr>
              <w:t>Use training-friendly low-cost tiers.</w:t>
            </w:r>
          </w:p>
        </w:tc>
        <w:tc>
          <w:tcPr>
            <w:tcW w:type="dxa" w:w="3456"/>
            <w:vAlign w:val="center"/>
          </w:tcPr>
          <w:p>
            <w:r/>
            <w:r>
              <w:rPr>
                <w:rFonts w:ascii="Aptos" w:hAnsi="Aptos"/>
                <w:b w:val="0"/>
                <w:sz w:val="19"/>
              </w:rPr>
              <w:t>Trainer</w:t>
            </w:r>
          </w:p>
        </w:tc>
      </w:tr>
      <w:tr>
        <w:tc>
          <w:tcPr>
            <w:tcW w:type="dxa" w:w="3456"/>
            <w:vAlign w:val="center"/>
          </w:tcPr>
          <w:p>
            <w:r/>
            <w:r>
              <w:rPr>
                <w:rFonts w:ascii="Aptos" w:hAnsi="Aptos"/>
                <w:b/>
                <w:sz w:val="19"/>
              </w:rPr>
              <w:t>Cleanup</w:t>
            </w:r>
          </w:p>
        </w:tc>
        <w:tc>
          <w:tcPr>
            <w:tcW w:type="dxa" w:w="3456"/>
            <w:vAlign w:val="center"/>
          </w:tcPr>
          <w:p>
            <w:r/>
            <w:r>
              <w:rPr>
                <w:rFonts w:ascii="Aptos" w:hAnsi="Aptos"/>
                <w:b w:val="0"/>
                <w:sz w:val="19"/>
              </w:rPr>
              <w:t>Delete Day 1 RGs when no longer needed.</w:t>
            </w:r>
          </w:p>
        </w:tc>
        <w:tc>
          <w:tcPr>
            <w:tcW w:type="dxa" w:w="3456"/>
            <w:vAlign w:val="center"/>
          </w:tcPr>
          <w:p>
            <w:r/>
            <w:r>
              <w:rPr>
                <w:rFonts w:ascii="Aptos" w:hAnsi="Aptos"/>
                <w:b w:val="0"/>
                <w:sz w:val="19"/>
              </w:rPr>
              <w:t>Admin/Student as instructed</w:t>
            </w:r>
          </w:p>
        </w:tc>
      </w:tr>
      <w:tr>
        <w:tc>
          <w:tcPr>
            <w:tcW w:type="dxa" w:w="3456"/>
            <w:vAlign w:val="center"/>
          </w:tcPr>
          <w:p>
            <w:r/>
            <w:r>
              <w:rPr>
                <w:rFonts w:ascii="Aptos" w:hAnsi="Aptos"/>
                <w:b/>
                <w:sz w:val="19"/>
              </w:rPr>
              <w:t>Idle resources</w:t>
            </w:r>
          </w:p>
        </w:tc>
        <w:tc>
          <w:tcPr>
            <w:tcW w:type="dxa" w:w="3456"/>
            <w:vAlign w:val="center"/>
          </w:tcPr>
          <w:p>
            <w:r/>
            <w:r>
              <w:rPr>
                <w:rFonts w:ascii="Aptos" w:hAnsi="Aptos"/>
                <w:b w:val="0"/>
                <w:sz w:val="19"/>
              </w:rPr>
              <w:t>Stop/delete unnecessary VMs and paid compute in later days.</w:t>
            </w:r>
          </w:p>
        </w:tc>
        <w:tc>
          <w:tcPr>
            <w:tcW w:type="dxa" w:w="3456"/>
            <w:vAlign w:val="center"/>
          </w:tcPr>
          <w:p>
            <w:r/>
            <w:r>
              <w:rPr>
                <w:rFonts w:ascii="Aptos" w:hAnsi="Aptos"/>
                <w:b w:val="0"/>
                <w:sz w:val="19"/>
              </w:rPr>
              <w:t>Students + Trainer</w:t>
            </w:r>
          </w:p>
        </w:tc>
      </w:tr>
    </w:tbl>
    <w:p>
      <w:r>
        <w:br w:type="page"/>
      </w:r>
    </w:p>
    <w:p>
      <w:pPr>
        <w:pStyle w:val="Heading1"/>
      </w:pPr>
      <w:r>
        <w:t>12. Student Login Guide</w:t>
      </w:r>
    </w:p>
    <w:p>
      <w:r>
        <w:t>Each student receives three items from the trainer:</w:t>
      </w:r>
    </w:p>
    <w:p>
      <w:pPr>
        <w:pStyle w:val="ListBullet"/>
      </w:pPr>
      <w:r>
        <w:t>Tenant username, e.g. student01@&lt;tenant-domain&gt;</w:t>
      </w:r>
    </w:p>
    <w:p>
      <w:pPr>
        <w:pStyle w:val="ListBullet"/>
      </w:pPr>
      <w:r>
        <w:t>Temporary password</w:t>
      </w:r>
    </w:p>
    <w:p>
      <w:pPr>
        <w:pStyle w:val="ListBullet"/>
      </w:pPr>
      <w:r>
        <w:t>Assigned resource group, e.g. rg-cdg-s01-day01</w:t>
      </w:r>
    </w:p>
    <w:p>
      <w:r>
        <w:t>Student steps:</w:t>
      </w:r>
    </w:p>
    <w:p>
      <w:r>
        <w:rPr>
          <w:b/>
        </w:rPr>
        <w:t xml:space="preserve">1. </w:t>
      </w:r>
      <w:r>
        <w:t>Open https://portal.azure.com in a browser.</w:t>
      </w:r>
    </w:p>
    <w:p>
      <w:r>
        <w:rPr>
          <w:b/>
        </w:rPr>
        <w:t xml:space="preserve">2. </w:t>
      </w:r>
      <w:r>
        <w:t>Sign in using the tenant account provided by the trainer.</w:t>
      </w:r>
    </w:p>
    <w:p>
      <w:r>
        <w:rPr>
          <w:b/>
        </w:rPr>
        <w:t xml:space="preserve">3. </w:t>
      </w:r>
      <w:r>
        <w:t>Complete the password change/MFA flow if required by the organization.</w:t>
      </w:r>
    </w:p>
    <w:p>
      <w:r>
        <w:rPr>
          <w:b/>
        </w:rPr>
        <w:t xml:space="preserve">4. </w:t>
      </w:r>
      <w:r>
        <w:t>Use the Directory + subscriptions control if necessary to confirm the correct tenant/subscription.</w:t>
      </w:r>
    </w:p>
    <w:p>
      <w:r>
        <w:rPr>
          <w:b/>
        </w:rPr>
        <w:t xml:space="preserve">5. </w:t>
      </w:r>
      <w:r>
        <w:t>Search for Resource groups.</w:t>
      </w:r>
    </w:p>
    <w:p>
      <w:r>
        <w:rPr>
          <w:b/>
        </w:rPr>
        <w:t xml:space="preserve">6. </w:t>
      </w:r>
      <w:r>
        <w:t>Open only the resource group assigned to you.</w:t>
      </w:r>
    </w:p>
    <w:tbl>
      <w:tblPr>
        <w:tblW w:type="auto" w:w="0"/>
        <w:jc w:val="center"/>
        <w:tblLayout w:type="autofit"/>
        <w:tblLook w:firstColumn="1" w:firstRow="1" w:lastColumn="0" w:lastRow="0" w:noHBand="0" w:noVBand="1" w:val="04A0"/>
      </w:tblPr>
      <w:tblGrid>
        <w:gridCol w:w="10368"/>
      </w:tblGrid>
      <w:tr>
        <w:tc>
          <w:tcPr>
            <w:tcW w:type="dxa" w:w="10368"/>
            <w:shd w:fill="D9EAD3"/>
          </w:tcPr>
          <w:p>
            <w:pPr>
              <w:spacing w:after="0"/>
            </w:pPr>
            <w:r>
              <w:rPr>
                <w:b/>
                <w:color w:val="17365D"/>
              </w:rPr>
              <w:t xml:space="preserve">Student rule: </w:t>
            </w:r>
            <w:r>
              <w:t>Do not create a new Azure subscription and do not enter a personal debit/credit card. All labs use the centrally provided subscription.</w:t>
            </w:r>
          </w:p>
        </w:tc>
      </w:tr>
    </w:tbl>
    <w:p/>
    <w:p>
      <w:pPr>
        <w:pStyle w:val="Heading1"/>
      </w:pPr>
      <w:r>
        <w:t>13. Student Validation</w:t>
      </w:r>
    </w:p>
    <w:p>
      <w:r>
        <w:t>Before starting the lab, verify:</w:t>
      </w:r>
    </w:p>
    <w:p>
      <w:pPr>
        <w:pStyle w:val="CodeBlock"/>
        <w:shd w:fill="F3F6F9"/>
      </w:pPr>
      <w:r>
        <w:rPr>
          <w:rFonts w:ascii="Consolas" w:hAnsi="Consolas"/>
          <w:sz w:val="18"/>
        </w:rPr>
        <w:t>Subscription: &lt;central training subscription&gt;</w:t>
        <w:br/>
        <w:t>Resource Group: rg-cdg-sNN-day01</w:t>
        <w:br/>
        <w:t>Role on Resource Group: Contributor</w:t>
      </w:r>
    </w:p>
    <w:p>
      <w:r>
        <w:t>If the student cannot see the assigned resource group, stop and contact the trainer. Do not create a separate personal subscription.</w:t>
      </w:r>
    </w:p>
    <w:p>
      <w:pPr>
        <w:pStyle w:val="Heading1"/>
      </w:pPr>
      <w:r>
        <w:t>14. Day 1 Lab 1 – Explore the Azure Portal</w:t>
      </w:r>
    </w:p>
    <w:p>
      <w:r>
        <w:t>Objective: become comfortable with Azure navigation without creating resources.</w:t>
      </w:r>
    </w:p>
    <w:p>
      <w:pPr>
        <w:pStyle w:val="ListNumber"/>
      </w:pPr>
      <w:r>
        <w:t>Search for Resource groups.</w:t>
      </w:r>
    </w:p>
    <w:p>
      <w:pPr>
        <w:pStyle w:val="ListNumber"/>
      </w:pPr>
      <w:r>
        <w:t>Search for App Services.</w:t>
      </w:r>
    </w:p>
    <w:p>
      <w:pPr>
        <w:pStyle w:val="ListNumber"/>
      </w:pPr>
      <w:r>
        <w:t>Search for Azure Monitor.</w:t>
      </w:r>
    </w:p>
    <w:p>
      <w:pPr>
        <w:pStyle w:val="ListNumber"/>
      </w:pPr>
      <w:r>
        <w:t>Open Subscriptions and identify the central training subscription.</w:t>
      </w:r>
    </w:p>
    <w:p>
      <w:pPr>
        <w:pStyle w:val="ListNumber"/>
      </w:pPr>
      <w:r>
        <w:t>Return to the assigned resource group.</w:t>
      </w:r>
    </w:p>
    <w:p>
      <w:pPr>
        <w:pStyle w:val="Heading1"/>
      </w:pPr>
      <w:r>
        <w:t>15. Day 1 Lab 2 – Verify Azure CLI with Cloud Shell</w:t>
      </w:r>
    </w:p>
    <w:p>
      <w:r>
        <w:t>Open Azure Cloud Shell and choose Bash. If Cloud Shell requires storage configuration and the organization has not prepared it, the trainer may demonstrate CLI locally instead.</w:t>
      </w:r>
    </w:p>
    <w:p>
      <w:pPr>
        <w:pStyle w:val="CodeBlock"/>
        <w:shd w:fill="F3F6F9"/>
      </w:pPr>
      <w:r>
        <w:rPr>
          <w:rFonts w:ascii="Consolas" w:hAnsi="Consolas"/>
          <w:sz w:val="18"/>
        </w:rPr>
        <w:t>az account show</w:t>
        <w:br/>
        <w:t>az account list --output table</w:t>
        <w:br/>
        <w:t>az group list --output table</w:t>
      </w:r>
    </w:p>
    <w:p>
      <w:r>
        <w:t>Confirm your assigned resource group appears in the list.</w:t>
      </w:r>
    </w:p>
    <w:p>
      <w:pPr>
        <w:pStyle w:val="Heading1"/>
      </w:pPr>
      <w:r>
        <w:t>16. Day 1 Lab 3 – Create an Azure App Service</w:t>
      </w:r>
    </w:p>
    <w:p>
      <w:r>
        <w:t>Create the application only inside your assigned resource group.</w:t>
      </w:r>
    </w:p>
    <w:tbl>
      <w:tblPr>
        <w:tblStyle w:val="TableGrid"/>
        <w:tblW w:type="auto" w:w="0"/>
        <w:tblLook w:firstColumn="1" w:firstRow="1" w:lastColumn="0" w:lastRow="0" w:noHBand="0" w:noVBand="1" w:val="04A0"/>
      </w:tblPr>
      <w:tblGrid>
        <w:gridCol w:w="5184"/>
        <w:gridCol w:w="5184"/>
      </w:tblGrid>
      <w:tr>
        <w:tc>
          <w:tcPr>
            <w:tcW w:type="dxa" w:w="5184"/>
            <w:vAlign w:val="center"/>
            <w:shd w:fill="2F5597"/>
          </w:tcPr>
          <w:p>
            <w:r/>
            <w:r>
              <w:rPr>
                <w:rFonts w:ascii="Aptos" w:hAnsi="Aptos"/>
                <w:b/>
                <w:color w:val="FFFFFF"/>
                <w:sz w:val="19"/>
              </w:rPr>
              <w:t>Setting</w:t>
            </w:r>
          </w:p>
        </w:tc>
        <w:tc>
          <w:tcPr>
            <w:tcW w:type="dxa" w:w="5184"/>
            <w:vAlign w:val="center"/>
            <w:shd w:fill="2F5597"/>
          </w:tcPr>
          <w:p>
            <w:r/>
            <w:r>
              <w:rPr>
                <w:rFonts w:ascii="Aptos" w:hAnsi="Aptos"/>
                <w:b/>
                <w:color w:val="FFFFFF"/>
                <w:sz w:val="19"/>
              </w:rPr>
              <w:t>Student Value</w:t>
            </w:r>
          </w:p>
        </w:tc>
      </w:tr>
      <w:tr>
        <w:tc>
          <w:tcPr>
            <w:tcW w:type="dxa" w:w="5184"/>
            <w:vAlign w:val="center"/>
          </w:tcPr>
          <w:p>
            <w:r/>
            <w:r>
              <w:rPr>
                <w:rFonts w:ascii="Aptos" w:hAnsi="Aptos"/>
                <w:b/>
                <w:sz w:val="19"/>
              </w:rPr>
              <w:t>Subscription</w:t>
            </w:r>
          </w:p>
        </w:tc>
        <w:tc>
          <w:tcPr>
            <w:tcW w:type="dxa" w:w="5184"/>
            <w:vAlign w:val="center"/>
          </w:tcPr>
          <w:p>
            <w:r/>
            <w:r>
              <w:rPr>
                <w:rFonts w:ascii="Aptos" w:hAnsi="Aptos"/>
                <w:b w:val="0"/>
                <w:sz w:val="19"/>
              </w:rPr>
              <w:t>Central training subscription</w:t>
            </w:r>
          </w:p>
        </w:tc>
      </w:tr>
      <w:tr>
        <w:tc>
          <w:tcPr>
            <w:tcW w:type="dxa" w:w="5184"/>
            <w:vAlign w:val="center"/>
          </w:tcPr>
          <w:p>
            <w:r/>
            <w:r>
              <w:rPr>
                <w:rFonts w:ascii="Aptos" w:hAnsi="Aptos"/>
                <w:b/>
                <w:sz w:val="19"/>
              </w:rPr>
              <w:t>Resource Group</w:t>
            </w:r>
          </w:p>
        </w:tc>
        <w:tc>
          <w:tcPr>
            <w:tcW w:type="dxa" w:w="5184"/>
            <w:vAlign w:val="center"/>
          </w:tcPr>
          <w:p>
            <w:r/>
            <w:r>
              <w:rPr>
                <w:rFonts w:ascii="Aptos" w:hAnsi="Aptos"/>
                <w:b w:val="0"/>
                <w:sz w:val="19"/>
              </w:rPr>
              <w:t>Your assigned rg-cdg-sNN-day01</w:t>
            </w:r>
          </w:p>
        </w:tc>
      </w:tr>
      <w:tr>
        <w:tc>
          <w:tcPr>
            <w:tcW w:type="dxa" w:w="5184"/>
            <w:vAlign w:val="center"/>
          </w:tcPr>
          <w:p>
            <w:r/>
            <w:r>
              <w:rPr>
                <w:rFonts w:ascii="Aptos" w:hAnsi="Aptos"/>
                <w:b/>
                <w:sz w:val="19"/>
              </w:rPr>
              <w:t>Web App Name</w:t>
            </w:r>
          </w:p>
        </w:tc>
        <w:tc>
          <w:tcPr>
            <w:tcW w:type="dxa" w:w="5184"/>
            <w:vAlign w:val="center"/>
          </w:tcPr>
          <w:p>
            <w:r/>
            <w:r>
              <w:rPr>
                <w:rFonts w:ascii="Aptos" w:hAnsi="Aptos"/>
                <w:b w:val="0"/>
                <w:sz w:val="19"/>
              </w:rPr>
              <w:t>app-cdg-sNN-d01-&lt;unique-number&gt;</w:t>
            </w:r>
          </w:p>
        </w:tc>
      </w:tr>
      <w:tr>
        <w:tc>
          <w:tcPr>
            <w:tcW w:type="dxa" w:w="5184"/>
            <w:vAlign w:val="center"/>
          </w:tcPr>
          <w:p>
            <w:r/>
            <w:r>
              <w:rPr>
                <w:rFonts w:ascii="Aptos" w:hAnsi="Aptos"/>
                <w:b/>
                <w:sz w:val="19"/>
              </w:rPr>
              <w:t>Publish</w:t>
            </w:r>
          </w:p>
        </w:tc>
        <w:tc>
          <w:tcPr>
            <w:tcW w:type="dxa" w:w="5184"/>
            <w:vAlign w:val="center"/>
          </w:tcPr>
          <w:p>
            <w:r/>
            <w:r>
              <w:rPr>
                <w:rFonts w:ascii="Aptos" w:hAnsi="Aptos"/>
                <w:b w:val="0"/>
                <w:sz w:val="19"/>
              </w:rPr>
              <w:t>Code</w:t>
            </w:r>
          </w:p>
        </w:tc>
      </w:tr>
      <w:tr>
        <w:tc>
          <w:tcPr>
            <w:tcW w:type="dxa" w:w="5184"/>
            <w:vAlign w:val="center"/>
          </w:tcPr>
          <w:p>
            <w:r/>
            <w:r>
              <w:rPr>
                <w:rFonts w:ascii="Aptos" w:hAnsi="Aptos"/>
                <w:b/>
                <w:sz w:val="19"/>
              </w:rPr>
              <w:t>Operating System</w:t>
            </w:r>
          </w:p>
        </w:tc>
        <w:tc>
          <w:tcPr>
            <w:tcW w:type="dxa" w:w="5184"/>
            <w:vAlign w:val="center"/>
          </w:tcPr>
          <w:p>
            <w:r/>
            <w:r>
              <w:rPr>
                <w:rFonts w:ascii="Aptos" w:hAnsi="Aptos"/>
                <w:b w:val="0"/>
                <w:sz w:val="19"/>
              </w:rPr>
              <w:t>Linux or trainer-specified option</w:t>
            </w:r>
          </w:p>
        </w:tc>
      </w:tr>
      <w:tr>
        <w:tc>
          <w:tcPr>
            <w:tcW w:type="dxa" w:w="5184"/>
            <w:vAlign w:val="center"/>
          </w:tcPr>
          <w:p>
            <w:r/>
            <w:r>
              <w:rPr>
                <w:rFonts w:ascii="Aptos" w:hAnsi="Aptos"/>
                <w:b/>
                <w:sz w:val="19"/>
              </w:rPr>
              <w:t>Region</w:t>
            </w:r>
          </w:p>
        </w:tc>
        <w:tc>
          <w:tcPr>
            <w:tcW w:type="dxa" w:w="5184"/>
            <w:vAlign w:val="center"/>
          </w:tcPr>
          <w:p>
            <w:r/>
            <w:r>
              <w:rPr>
                <w:rFonts w:ascii="Aptos" w:hAnsi="Aptos"/>
                <w:b w:val="0"/>
                <w:sz w:val="19"/>
              </w:rPr>
              <w:t>Trainer-selected region</w:t>
            </w:r>
          </w:p>
        </w:tc>
      </w:tr>
      <w:tr>
        <w:tc>
          <w:tcPr>
            <w:tcW w:type="dxa" w:w="5184"/>
            <w:vAlign w:val="center"/>
          </w:tcPr>
          <w:p>
            <w:r/>
            <w:r>
              <w:rPr>
                <w:rFonts w:ascii="Aptos" w:hAnsi="Aptos"/>
                <w:b/>
                <w:sz w:val="19"/>
              </w:rPr>
              <w:t>App Service Plan</w:t>
            </w:r>
          </w:p>
        </w:tc>
        <w:tc>
          <w:tcPr>
            <w:tcW w:type="dxa" w:w="5184"/>
            <w:vAlign w:val="center"/>
          </w:tcPr>
          <w:p>
            <w:r/>
            <w:r>
              <w:rPr>
                <w:rFonts w:ascii="Aptos" w:hAnsi="Aptos"/>
                <w:b w:val="0"/>
                <w:sz w:val="19"/>
              </w:rPr>
              <w:t>asp-cdg-sNN-d01</w:t>
            </w:r>
          </w:p>
        </w:tc>
      </w:tr>
      <w:tr>
        <w:tc>
          <w:tcPr>
            <w:tcW w:type="dxa" w:w="5184"/>
            <w:vAlign w:val="center"/>
          </w:tcPr>
          <w:p>
            <w:r/>
            <w:r>
              <w:rPr>
                <w:rFonts w:ascii="Aptos" w:hAnsi="Aptos"/>
                <w:b/>
                <w:sz w:val="19"/>
              </w:rPr>
              <w:t>Pricing tier</w:t>
            </w:r>
          </w:p>
        </w:tc>
        <w:tc>
          <w:tcPr>
            <w:tcW w:type="dxa" w:w="5184"/>
            <w:vAlign w:val="center"/>
          </w:tcPr>
          <w:p>
            <w:r/>
            <w:r>
              <w:rPr>
                <w:rFonts w:ascii="Aptos" w:hAnsi="Aptos"/>
                <w:b w:val="0"/>
                <w:sz w:val="19"/>
              </w:rPr>
              <w:t>Trainer-approved low-cost tier</w:t>
            </w:r>
          </w:p>
        </w:tc>
      </w:tr>
    </w:tbl>
    <w:p>
      <w:r>
        <w:t>Portal path: App Services → Create → Web App → complete the settings → Review + create → Create.</w:t>
      </w:r>
    </w:p>
    <w:p>
      <w:pPr>
        <w:pStyle w:val="Heading1"/>
      </w:pPr>
      <w:r>
        <w:t>17. Day 1 Lab 4 – Open and Test the Web App</w:t>
      </w:r>
    </w:p>
    <w:p>
      <w:pPr>
        <w:pStyle w:val="ListNumber"/>
      </w:pPr>
      <w:r>
        <w:t>Open your App Service.</w:t>
      </w:r>
    </w:p>
    <w:p>
      <w:pPr>
        <w:pStyle w:val="ListNumber"/>
      </w:pPr>
      <w:r>
        <w:t>Select Overview.</w:t>
      </w:r>
    </w:p>
    <w:p>
      <w:pPr>
        <w:pStyle w:val="ListNumber"/>
      </w:pPr>
      <w:r>
        <w:t>Open the Default Domain.</w:t>
      </w:r>
    </w:p>
    <w:p>
      <w:pPr>
        <w:pStyle w:val="ListNumber"/>
      </w:pPr>
      <w:r>
        <w:t>Verify the site loads.</w:t>
      </w:r>
    </w:p>
    <w:p>
      <w:pPr>
        <w:pStyle w:val="ListNumber"/>
      </w:pPr>
      <w:r>
        <w:t>Refresh the page several times to generate request traffic.</w:t>
      </w:r>
    </w:p>
    <w:p>
      <w:pPr>
        <w:pStyle w:val="Heading1"/>
      </w:pPr>
      <w:r>
        <w:t>18. Day 1 Lab 5 – Application Insights / Monitoring</w:t>
      </w:r>
    </w:p>
    <w:p>
      <w:r>
        <w:t>Where the selected runtime/tier supports the required integration, enable or inspect Application Insights. Then review monitoring information.</w:t>
      </w:r>
    </w:p>
    <w:p>
      <w:pPr>
        <w:pStyle w:val="ListBullet"/>
      </w:pPr>
      <w:r>
        <w:t>Requests</w:t>
      </w:r>
    </w:p>
    <w:p>
      <w:pPr>
        <w:pStyle w:val="ListBullet"/>
      </w:pPr>
      <w:r>
        <w:t>Failures</w:t>
      </w:r>
    </w:p>
    <w:p>
      <w:pPr>
        <w:pStyle w:val="ListBullet"/>
      </w:pPr>
      <w:r>
        <w:t>Response time</w:t>
      </w:r>
    </w:p>
    <w:p>
      <w:pPr>
        <w:pStyle w:val="ListBullet"/>
      </w:pPr>
      <w:r>
        <w:t>Availability/health views where available</w:t>
      </w:r>
    </w:p>
    <w:p>
      <w:pPr>
        <w:pStyle w:val="ListBullet"/>
      </w:pPr>
      <w:r>
        <w:t>Logs / diagnostic views</w:t>
      </w:r>
    </w:p>
    <w:p>
      <w:r>
        <w:t>Also explore App Service → Monitoring → Metrics.</w:t>
      </w:r>
    </w:p>
    <w:p>
      <w:pPr>
        <w:pStyle w:val="Heading1"/>
      </w:pPr>
      <w:r>
        <w:t>19. Day 1 Lab 6 – Scale Up and Scale Out</w:t>
      </w:r>
    </w:p>
    <w:p>
      <w:r>
        <w:t>Explain and demonstrate the difference:</w:t>
      </w:r>
    </w:p>
    <w:p>
      <w:pPr>
        <w:pStyle w:val="CodeBlock"/>
        <w:shd w:fill="F3F6F9"/>
      </w:pPr>
      <w:r>
        <w:rPr>
          <w:rFonts w:ascii="Consolas" w:hAnsi="Consolas"/>
          <w:sz w:val="18"/>
        </w:rPr>
        <w:t>Scale Up   = move to a larger / more capable compute tier</w:t>
        <w:br/>
        <w:t>Scale Out  = increase the number of instances</w:t>
        <w:br/>
        <w:br/>
        <w:t>Manual scaling can be performed when supported by the selected App Service plan.</w:t>
        <w:br/>
        <w:t>Autoscale availability depends on the pricing tier and configuration.</w:t>
      </w:r>
    </w:p>
    <w:tbl>
      <w:tblPr>
        <w:tblW w:type="auto" w:w="0"/>
        <w:jc w:val="center"/>
        <w:tblLayout w:type="autofit"/>
        <w:tblLook w:firstColumn="1" w:firstRow="1" w:lastColumn="0" w:lastRow="0" w:noHBand="0" w:noVBand="1" w:val="04A0"/>
      </w:tblPr>
      <w:tblGrid>
        <w:gridCol w:w="10368"/>
      </w:tblGrid>
      <w:tr>
        <w:tc>
          <w:tcPr>
            <w:tcW w:type="dxa" w:w="10368"/>
            <w:shd w:fill="FFF2CC"/>
          </w:tcPr>
          <w:p>
            <w:pPr>
              <w:spacing w:after="0"/>
            </w:pPr>
            <w:r>
              <w:rPr>
                <w:b/>
                <w:color w:val="17365D"/>
              </w:rPr>
              <w:t xml:space="preserve">Cost caution: </w:t>
            </w:r>
            <w:r>
              <w:t>Do not leave higher-cost tiers or multiple instances running after the demonstration. Return to the trainer-approved configuration.</w:t>
            </w:r>
          </w:p>
        </w:tc>
      </w:tr>
    </w:tbl>
    <w:p/>
    <w:p>
      <w:pPr>
        <w:pStyle w:val="Heading1"/>
      </w:pPr>
      <w:r>
        <w:t>20. Day 1 Lab 7 – Tags</w:t>
      </w:r>
    </w:p>
    <w:p>
      <w:r>
        <w:t>Add these tags to your resource group or selected resources:</w:t>
      </w:r>
    </w:p>
    <w:p>
      <w:pPr>
        <w:pStyle w:val="CodeBlock"/>
        <w:shd w:fill="F3F6F9"/>
      </w:pPr>
      <w:r>
        <w:rPr>
          <w:rFonts w:ascii="Consolas" w:hAnsi="Consolas"/>
          <w:sz w:val="18"/>
        </w:rPr>
        <w:t>Environment = Training</w:t>
        <w:br/>
        <w:t>Course      = CloudDataGenAI</w:t>
        <w:br/>
        <w:t>Day         = Day01</w:t>
        <w:br/>
        <w:t>Student     = S01   (use your own student number)</w:t>
      </w:r>
    </w:p>
    <w:p>
      <w:pPr>
        <w:pStyle w:val="Heading1"/>
      </w:pPr>
      <w:r>
        <w:t>21. Day 1 CLI Practice</w:t>
      </w:r>
    </w:p>
    <w:p>
      <w:pPr>
        <w:pStyle w:val="CodeBlock"/>
        <w:shd w:fill="F3F6F9"/>
      </w:pPr>
      <w:r>
        <w:rPr>
          <w:rFonts w:ascii="Consolas" w:hAnsi="Consolas"/>
          <w:sz w:val="18"/>
        </w:rPr>
        <w:t>az group list --output table</w:t>
        <w:br/>
        <w:br/>
        <w:t>az webapp list --output table</w:t>
        <w:br/>
        <w:br/>
        <w:t>az resource list \</w:t>
        <w:br/>
        <w:t xml:space="preserve">  --resource-group rg-cdg-sNN-day01 \</w:t>
        <w:br/>
        <w:t xml:space="preserve">  --output table</w:t>
      </w:r>
    </w:p>
    <w:p>
      <w:r>
        <w:t>Replace sNN with your assigned student number.</w:t>
      </w:r>
    </w:p>
    <w:p>
      <w:r>
        <w:br w:type="page"/>
      </w:r>
    </w:p>
    <w:p>
      <w:pPr>
        <w:pStyle w:val="Heading1"/>
      </w:pPr>
      <w:r>
        <w:t>22. Day 1 Practical Challenge</w:t>
      </w:r>
    </w:p>
    <w:p>
      <w:r>
        <w:t>Without following the trainer click-by-click, demonstrate the following using your assigned tenant account:</w:t>
      </w:r>
    </w:p>
    <w:p>
      <w:pPr>
        <w:pStyle w:val="ListBullet"/>
      </w:pPr>
      <w:r>
        <w:t>Open the correct tenant and central subscription.</w:t>
      </w:r>
    </w:p>
    <w:p>
      <w:pPr>
        <w:pStyle w:val="ListBullet"/>
      </w:pPr>
      <w:r>
        <w:t>Open your assigned resource group.</w:t>
      </w:r>
    </w:p>
    <w:p>
      <w:pPr>
        <w:pStyle w:val="ListBullet"/>
      </w:pPr>
      <w:r>
        <w:t>Create an App Service Plan and Web App.</w:t>
      </w:r>
    </w:p>
    <w:p>
      <w:pPr>
        <w:pStyle w:val="ListBullet"/>
      </w:pPr>
      <w:r>
        <w:t>Open the Web App URL.</w:t>
      </w:r>
    </w:p>
    <w:p>
      <w:pPr>
        <w:pStyle w:val="ListBullet"/>
      </w:pPr>
      <w:r>
        <w:t>View basic monitoring metrics.</w:t>
      </w:r>
    </w:p>
    <w:p>
      <w:pPr>
        <w:pStyle w:val="ListBullet"/>
      </w:pPr>
      <w:r>
        <w:t>Add the required tags.</w:t>
      </w:r>
    </w:p>
    <w:p>
      <w:pPr>
        <w:pStyle w:val="ListBullet"/>
      </w:pPr>
      <w:r>
        <w:t>Use Azure CLI to list resources in your own resource group.</w:t>
      </w:r>
    </w:p>
    <w:p>
      <w:pPr>
        <w:pStyle w:val="Heading1"/>
      </w:pPr>
      <w:r>
        <w:t>23. Student Troubleshooting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r/>
            <w:r>
              <w:rPr>
                <w:rFonts w:ascii="Aptos" w:hAnsi="Aptos"/>
                <w:b/>
                <w:color w:val="FFFFFF"/>
                <w:sz w:val="18"/>
              </w:rPr>
              <w:t>Problem</w:t>
            </w:r>
          </w:p>
        </w:tc>
        <w:tc>
          <w:tcPr>
            <w:tcW w:type="dxa" w:w="3456"/>
            <w:vAlign w:val="center"/>
            <w:shd w:fill="17365D"/>
          </w:tcPr>
          <w:p>
            <w:r/>
            <w:r>
              <w:rPr>
                <w:rFonts w:ascii="Aptos" w:hAnsi="Aptos"/>
                <w:b/>
                <w:color w:val="FFFFFF"/>
                <w:sz w:val="18"/>
              </w:rPr>
              <w:t>Likely Cause</w:t>
            </w:r>
          </w:p>
        </w:tc>
        <w:tc>
          <w:tcPr>
            <w:tcW w:type="dxa" w:w="3456"/>
            <w:vAlign w:val="center"/>
            <w:shd w:fill="17365D"/>
          </w:tcPr>
          <w:p>
            <w:r/>
            <w:r>
              <w:rPr>
                <w:rFonts w:ascii="Aptos" w:hAnsi="Aptos"/>
                <w:b/>
                <w:color w:val="FFFFFF"/>
                <w:sz w:val="18"/>
              </w:rPr>
              <w:t>Action</w:t>
            </w:r>
          </w:p>
        </w:tc>
      </w:tr>
      <w:tr>
        <w:tc>
          <w:tcPr>
            <w:tcW w:type="dxa" w:w="3456"/>
            <w:vAlign w:val="center"/>
          </w:tcPr>
          <w:p>
            <w:r/>
            <w:r>
              <w:rPr>
                <w:rFonts w:ascii="Aptos" w:hAnsi="Aptos"/>
                <w:b/>
                <w:sz w:val="17"/>
              </w:rPr>
              <w:t>Cannot see subscription</w:t>
            </w:r>
          </w:p>
        </w:tc>
        <w:tc>
          <w:tcPr>
            <w:tcW w:type="dxa" w:w="3456"/>
            <w:vAlign w:val="center"/>
          </w:tcPr>
          <w:p>
            <w:r/>
            <w:r>
              <w:rPr>
                <w:rFonts w:ascii="Aptos" w:hAnsi="Aptos"/>
                <w:b w:val="0"/>
                <w:sz w:val="17"/>
              </w:rPr>
              <w:t>Wrong tenant/directory or account</w:t>
            </w:r>
          </w:p>
        </w:tc>
        <w:tc>
          <w:tcPr>
            <w:tcW w:type="dxa" w:w="3456"/>
            <w:vAlign w:val="center"/>
          </w:tcPr>
          <w:p>
            <w:r/>
            <w:r>
              <w:rPr>
                <w:rFonts w:ascii="Aptos" w:hAnsi="Aptos"/>
                <w:b w:val="0"/>
                <w:sz w:val="17"/>
              </w:rPr>
              <w:t>Switch directory; sign out/in with trainer-provided account.</w:t>
            </w:r>
          </w:p>
        </w:tc>
      </w:tr>
      <w:tr>
        <w:tc>
          <w:tcPr>
            <w:tcW w:type="dxa" w:w="3456"/>
            <w:vAlign w:val="center"/>
          </w:tcPr>
          <w:p>
            <w:r/>
            <w:r>
              <w:rPr>
                <w:rFonts w:ascii="Aptos" w:hAnsi="Aptos"/>
                <w:b/>
                <w:sz w:val="17"/>
              </w:rPr>
              <w:t>Cannot see assigned RG</w:t>
            </w:r>
          </w:p>
        </w:tc>
        <w:tc>
          <w:tcPr>
            <w:tcW w:type="dxa" w:w="3456"/>
            <w:vAlign w:val="center"/>
          </w:tcPr>
          <w:p>
            <w:r/>
            <w:r>
              <w:rPr>
                <w:rFonts w:ascii="Aptos" w:hAnsi="Aptos"/>
                <w:b w:val="0"/>
                <w:sz w:val="17"/>
              </w:rPr>
              <w:t>RBAC assignment not present/propagated</w:t>
            </w:r>
          </w:p>
        </w:tc>
        <w:tc>
          <w:tcPr>
            <w:tcW w:type="dxa" w:w="3456"/>
            <w:vAlign w:val="center"/>
          </w:tcPr>
          <w:p>
            <w:r/>
            <w:r>
              <w:rPr>
                <w:rFonts w:ascii="Aptos" w:hAnsi="Aptos"/>
                <w:b w:val="0"/>
                <w:sz w:val="17"/>
              </w:rPr>
              <w:t>Trainer checks IAM assignment and waits briefly for propagation.</w:t>
            </w:r>
          </w:p>
        </w:tc>
      </w:tr>
      <w:tr>
        <w:tc>
          <w:tcPr>
            <w:tcW w:type="dxa" w:w="3456"/>
            <w:vAlign w:val="center"/>
          </w:tcPr>
          <w:p>
            <w:r/>
            <w:r>
              <w:rPr>
                <w:rFonts w:ascii="Aptos" w:hAnsi="Aptos"/>
                <w:b/>
                <w:sz w:val="17"/>
              </w:rPr>
              <w:t>Authorization failed</w:t>
            </w:r>
          </w:p>
        </w:tc>
        <w:tc>
          <w:tcPr>
            <w:tcW w:type="dxa" w:w="3456"/>
            <w:vAlign w:val="center"/>
          </w:tcPr>
          <w:p>
            <w:r/>
            <w:r>
              <w:rPr>
                <w:rFonts w:ascii="Aptos" w:hAnsi="Aptos"/>
                <w:b w:val="0"/>
                <w:sz w:val="17"/>
              </w:rPr>
              <w:t>Resource created outside assigned RG or insufficient role</w:t>
            </w:r>
          </w:p>
        </w:tc>
        <w:tc>
          <w:tcPr>
            <w:tcW w:type="dxa" w:w="3456"/>
            <w:vAlign w:val="center"/>
          </w:tcPr>
          <w:p>
            <w:r/>
            <w:r>
              <w:rPr>
                <w:rFonts w:ascii="Aptos" w:hAnsi="Aptos"/>
                <w:b w:val="0"/>
                <w:sz w:val="17"/>
              </w:rPr>
              <w:t>Use only your assigned RG; trainer verifies Contributor role.</w:t>
            </w:r>
          </w:p>
        </w:tc>
      </w:tr>
      <w:tr>
        <w:tc>
          <w:tcPr>
            <w:tcW w:type="dxa" w:w="3456"/>
            <w:vAlign w:val="center"/>
          </w:tcPr>
          <w:p>
            <w:r/>
            <w:r>
              <w:rPr>
                <w:rFonts w:ascii="Aptos" w:hAnsi="Aptos"/>
                <w:b/>
                <w:sz w:val="17"/>
              </w:rPr>
              <w:t>Web App name unavailable</w:t>
            </w:r>
          </w:p>
        </w:tc>
        <w:tc>
          <w:tcPr>
            <w:tcW w:type="dxa" w:w="3456"/>
            <w:vAlign w:val="center"/>
          </w:tcPr>
          <w:p>
            <w:r/>
            <w:r>
              <w:rPr>
                <w:rFonts w:ascii="Aptos" w:hAnsi="Aptos"/>
                <w:b w:val="0"/>
                <w:sz w:val="17"/>
              </w:rPr>
              <w:t>Name must be unique</w:t>
            </w:r>
          </w:p>
        </w:tc>
        <w:tc>
          <w:tcPr>
            <w:tcW w:type="dxa" w:w="3456"/>
            <w:vAlign w:val="center"/>
          </w:tcPr>
          <w:p>
            <w:r/>
            <w:r>
              <w:rPr>
                <w:rFonts w:ascii="Aptos" w:hAnsi="Aptos"/>
                <w:b w:val="0"/>
                <w:sz w:val="17"/>
              </w:rPr>
              <w:t>Append a random 4-digit suffix.</w:t>
            </w:r>
          </w:p>
        </w:tc>
      </w:tr>
      <w:tr>
        <w:tc>
          <w:tcPr>
            <w:tcW w:type="dxa" w:w="3456"/>
            <w:vAlign w:val="center"/>
          </w:tcPr>
          <w:p>
            <w:r/>
            <w:r>
              <w:rPr>
                <w:rFonts w:ascii="Aptos" w:hAnsi="Aptos"/>
                <w:b/>
                <w:sz w:val="17"/>
              </w:rPr>
              <w:t>Region/SKU unavailable</w:t>
            </w:r>
          </w:p>
        </w:tc>
        <w:tc>
          <w:tcPr>
            <w:tcW w:type="dxa" w:w="3456"/>
            <w:vAlign w:val="center"/>
          </w:tcPr>
          <w:p>
            <w:r/>
            <w:r>
              <w:rPr>
                <w:rFonts w:ascii="Aptos" w:hAnsi="Aptos"/>
                <w:b w:val="0"/>
                <w:sz w:val="17"/>
              </w:rPr>
              <w:t>Policy, quota or regional availability</w:t>
            </w:r>
          </w:p>
        </w:tc>
        <w:tc>
          <w:tcPr>
            <w:tcW w:type="dxa" w:w="3456"/>
            <w:vAlign w:val="center"/>
          </w:tcPr>
          <w:p>
            <w:r/>
            <w:r>
              <w:rPr>
                <w:rFonts w:ascii="Aptos" w:hAnsi="Aptos"/>
                <w:b w:val="0"/>
                <w:sz w:val="17"/>
              </w:rPr>
              <w:t>Use trainer-approved alternate region/SKU.</w:t>
            </w:r>
          </w:p>
        </w:tc>
      </w:tr>
      <w:tr>
        <w:tc>
          <w:tcPr>
            <w:tcW w:type="dxa" w:w="3456"/>
            <w:vAlign w:val="center"/>
          </w:tcPr>
          <w:p>
            <w:r/>
            <w:r>
              <w:rPr>
                <w:rFonts w:ascii="Aptos" w:hAnsi="Aptos"/>
                <w:b/>
                <w:sz w:val="17"/>
              </w:rPr>
              <w:t>Autoscale option unavailable</w:t>
            </w:r>
          </w:p>
        </w:tc>
        <w:tc>
          <w:tcPr>
            <w:tcW w:type="dxa" w:w="3456"/>
            <w:vAlign w:val="center"/>
          </w:tcPr>
          <w:p>
            <w:r/>
            <w:r>
              <w:rPr>
                <w:rFonts w:ascii="Aptos" w:hAnsi="Aptos"/>
                <w:b w:val="0"/>
                <w:sz w:val="17"/>
              </w:rPr>
              <w:t>Pricing tier does not support requested feature</w:t>
            </w:r>
          </w:p>
        </w:tc>
        <w:tc>
          <w:tcPr>
            <w:tcW w:type="dxa" w:w="3456"/>
            <w:vAlign w:val="center"/>
          </w:tcPr>
          <w:p>
            <w:r/>
            <w:r>
              <w:rPr>
                <w:rFonts w:ascii="Aptos" w:hAnsi="Aptos"/>
                <w:b w:val="0"/>
                <w:sz w:val="17"/>
              </w:rPr>
              <w:t>Trainer demonstrates concept or approved tier; do not upgrade independently.</w:t>
            </w:r>
          </w:p>
        </w:tc>
      </w:tr>
      <w:tr>
        <w:tc>
          <w:tcPr>
            <w:tcW w:type="dxa" w:w="3456"/>
            <w:vAlign w:val="center"/>
          </w:tcPr>
          <w:p>
            <w:r/>
            <w:r>
              <w:rPr>
                <w:rFonts w:ascii="Aptos" w:hAnsi="Aptos"/>
                <w:b/>
                <w:sz w:val="17"/>
              </w:rPr>
              <w:t>Deployment fails</w:t>
            </w:r>
          </w:p>
        </w:tc>
        <w:tc>
          <w:tcPr>
            <w:tcW w:type="dxa" w:w="3456"/>
            <w:vAlign w:val="center"/>
          </w:tcPr>
          <w:p>
            <w:r/>
            <w:r>
              <w:rPr>
                <w:rFonts w:ascii="Aptos" w:hAnsi="Aptos"/>
                <w:b w:val="0"/>
                <w:sz w:val="17"/>
              </w:rPr>
              <w:t>Policy/quota/provider issue</w:t>
            </w:r>
          </w:p>
        </w:tc>
        <w:tc>
          <w:tcPr>
            <w:tcW w:type="dxa" w:w="3456"/>
            <w:vAlign w:val="center"/>
          </w:tcPr>
          <w:p>
            <w:r/>
            <w:r>
              <w:rPr>
                <w:rFonts w:ascii="Aptos" w:hAnsi="Aptos"/>
                <w:b w:val="0"/>
                <w:sz w:val="17"/>
              </w:rPr>
              <w:t>Capture error message and share with trainer.</w:t>
            </w:r>
          </w:p>
        </w:tc>
      </w:tr>
    </w:tbl>
    <w:p>
      <w:pPr>
        <w:pStyle w:val="Heading1"/>
      </w:pPr>
      <w:r>
        <w:t>24. Lab Governance Rules for Students</w:t>
      </w:r>
    </w:p>
    <w:p>
      <w:pPr>
        <w:pStyle w:val="ListBullet"/>
      </w:pPr>
      <w:r>
        <w:t>Use only the tenant identity provided by the trainer.</w:t>
      </w:r>
    </w:p>
    <w:p>
      <w:pPr>
        <w:pStyle w:val="ListBullet"/>
      </w:pPr>
      <w:r>
        <w:t>Do not add a personal debit/credit card.</w:t>
      </w:r>
    </w:p>
    <w:p>
      <w:pPr>
        <w:pStyle w:val="ListBullet"/>
      </w:pPr>
      <w:r>
        <w:t>Do not create new subscriptions.</w:t>
      </w:r>
    </w:p>
    <w:p>
      <w:pPr>
        <w:pStyle w:val="ListBullet"/>
      </w:pPr>
      <w:r>
        <w:t>Do not change subscription-level IAM, policies or budgets.</w:t>
      </w:r>
    </w:p>
    <w:p>
      <w:pPr>
        <w:pStyle w:val="ListBullet"/>
      </w:pPr>
      <w:r>
        <w:t>Do not grant access to another student.</w:t>
      </w:r>
    </w:p>
    <w:p>
      <w:pPr>
        <w:pStyle w:val="ListBullet"/>
      </w:pPr>
      <w:r>
        <w:t>Do not create resources outside your assigned resource group.</w:t>
      </w:r>
    </w:p>
    <w:p>
      <w:pPr>
        <w:pStyle w:val="ListBullet"/>
      </w:pPr>
      <w:r>
        <w:t>Do not select expensive SKUs unless the trainer explicitly instructs you.</w:t>
      </w:r>
    </w:p>
    <w:p>
      <w:pPr>
        <w:pStyle w:val="ListBullet"/>
      </w:pPr>
      <w:r>
        <w:t>Delete or scale down resources when instructed.</w:t>
      </w:r>
    </w:p>
    <w:p>
      <w:pPr>
        <w:pStyle w:val="ListBullet"/>
      </w:pPr>
      <w:r>
        <w:t>Never store passwords or secrets in Git repositories or notebook source code.</w:t>
      </w:r>
    </w:p>
    <w:p>
      <w:pPr>
        <w:pStyle w:val="Heading1"/>
      </w:pPr>
      <w:r>
        <w:t>25. Trainer Dashboard / Tracking Sheet</w:t>
      </w:r>
    </w:p>
    <w:p>
      <w:r>
        <w:t>The trainer should maintain a simple mapping:</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2F5597"/>
          </w:tcPr>
          <w:p>
            <w:r/>
            <w:r>
              <w:rPr>
                <w:rFonts w:ascii="Aptos" w:hAnsi="Aptos"/>
                <w:b/>
                <w:color w:val="FFFFFF"/>
                <w:sz w:val="19"/>
              </w:rPr>
              <w:t>Student</w:t>
            </w:r>
          </w:p>
        </w:tc>
        <w:tc>
          <w:tcPr>
            <w:tcW w:type="dxa" w:w="2592"/>
            <w:vAlign w:val="center"/>
            <w:shd w:fill="2F5597"/>
          </w:tcPr>
          <w:p>
            <w:r/>
            <w:r>
              <w:rPr>
                <w:rFonts w:ascii="Aptos" w:hAnsi="Aptos"/>
                <w:b/>
                <w:color w:val="FFFFFF"/>
                <w:sz w:val="19"/>
              </w:rPr>
              <w:t>Tenant User</w:t>
            </w:r>
          </w:p>
        </w:tc>
        <w:tc>
          <w:tcPr>
            <w:tcW w:type="dxa" w:w="2592"/>
            <w:vAlign w:val="center"/>
            <w:shd w:fill="2F5597"/>
          </w:tcPr>
          <w:p>
            <w:r/>
            <w:r>
              <w:rPr>
                <w:rFonts w:ascii="Aptos" w:hAnsi="Aptos"/>
                <w:b/>
                <w:color w:val="FFFFFF"/>
                <w:sz w:val="19"/>
              </w:rPr>
              <w:t>Resource Group</w:t>
            </w:r>
          </w:p>
        </w:tc>
        <w:tc>
          <w:tcPr>
            <w:tcW w:type="dxa" w:w="2592"/>
            <w:vAlign w:val="center"/>
            <w:shd w:fill="2F5597"/>
          </w:tcPr>
          <w:p>
            <w:r/>
            <w:r>
              <w:rPr>
                <w:rFonts w:ascii="Aptos" w:hAnsi="Aptos"/>
                <w:b/>
                <w:color w:val="FFFFFF"/>
                <w:sz w:val="19"/>
              </w:rPr>
              <w:t>Status</w:t>
            </w:r>
          </w:p>
        </w:tc>
      </w:tr>
      <w:tr>
        <w:tc>
          <w:tcPr>
            <w:tcW w:type="dxa" w:w="2592"/>
            <w:vAlign w:val="center"/>
          </w:tcPr>
          <w:p>
            <w:r/>
            <w:r>
              <w:rPr>
                <w:rFonts w:ascii="Aptos" w:hAnsi="Aptos"/>
                <w:b w:val="0"/>
                <w:sz w:val="17"/>
              </w:rPr>
              <w:t>Student 01</w:t>
            </w:r>
          </w:p>
        </w:tc>
        <w:tc>
          <w:tcPr>
            <w:tcW w:type="dxa" w:w="2592"/>
            <w:vAlign w:val="center"/>
          </w:tcPr>
          <w:p>
            <w:r/>
            <w:r>
              <w:rPr>
                <w:rFonts w:ascii="Aptos" w:hAnsi="Aptos"/>
                <w:b w:val="0"/>
                <w:sz w:val="17"/>
              </w:rPr>
              <w:t>student01@&lt;tenant-domain&gt;</w:t>
            </w:r>
          </w:p>
        </w:tc>
        <w:tc>
          <w:tcPr>
            <w:tcW w:type="dxa" w:w="2592"/>
            <w:vAlign w:val="center"/>
          </w:tcPr>
          <w:p>
            <w:r/>
            <w:r>
              <w:rPr>
                <w:rFonts w:ascii="Aptos" w:hAnsi="Aptos"/>
                <w:b w:val="0"/>
                <w:sz w:val="17"/>
              </w:rPr>
              <w:t>rg-cdg-s01-day01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02</w:t>
            </w:r>
          </w:p>
        </w:tc>
        <w:tc>
          <w:tcPr>
            <w:tcW w:type="dxa" w:w="2592"/>
            <w:vAlign w:val="center"/>
          </w:tcPr>
          <w:p>
            <w:r/>
            <w:r>
              <w:rPr>
                <w:rFonts w:ascii="Aptos" w:hAnsi="Aptos"/>
                <w:b w:val="0"/>
                <w:sz w:val="17"/>
              </w:rPr>
              <w:t>student02@&lt;tenant-domain&gt;</w:t>
            </w:r>
          </w:p>
        </w:tc>
        <w:tc>
          <w:tcPr>
            <w:tcW w:type="dxa" w:w="2592"/>
            <w:vAlign w:val="center"/>
          </w:tcPr>
          <w:p>
            <w:r/>
            <w:r>
              <w:rPr>
                <w:rFonts w:ascii="Aptos" w:hAnsi="Aptos"/>
                <w:b w:val="0"/>
                <w:sz w:val="17"/>
              </w:rPr>
              <w:t>rg-cdg-s02-day01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03</w:t>
            </w:r>
          </w:p>
        </w:tc>
        <w:tc>
          <w:tcPr>
            <w:tcW w:type="dxa" w:w="2592"/>
            <w:vAlign w:val="center"/>
          </w:tcPr>
          <w:p>
            <w:r/>
            <w:r>
              <w:rPr>
                <w:rFonts w:ascii="Aptos" w:hAnsi="Aptos"/>
                <w:b w:val="0"/>
                <w:sz w:val="17"/>
              </w:rPr>
              <w:t>student03@&lt;tenant-domain&gt;</w:t>
            </w:r>
          </w:p>
        </w:tc>
        <w:tc>
          <w:tcPr>
            <w:tcW w:type="dxa" w:w="2592"/>
            <w:vAlign w:val="center"/>
          </w:tcPr>
          <w:p>
            <w:r/>
            <w:r>
              <w:rPr>
                <w:rFonts w:ascii="Aptos" w:hAnsi="Aptos"/>
                <w:b w:val="0"/>
                <w:sz w:val="17"/>
              </w:rPr>
              <w:t>rg-cdg-s03-day01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04</w:t>
            </w:r>
          </w:p>
        </w:tc>
        <w:tc>
          <w:tcPr>
            <w:tcW w:type="dxa" w:w="2592"/>
            <w:vAlign w:val="center"/>
          </w:tcPr>
          <w:p>
            <w:r/>
            <w:r>
              <w:rPr>
                <w:rFonts w:ascii="Aptos" w:hAnsi="Aptos"/>
                <w:b w:val="0"/>
                <w:sz w:val="17"/>
              </w:rPr>
              <w:t>student04@&lt;tenant-domain&gt;</w:t>
            </w:r>
          </w:p>
        </w:tc>
        <w:tc>
          <w:tcPr>
            <w:tcW w:type="dxa" w:w="2592"/>
            <w:vAlign w:val="center"/>
          </w:tcPr>
          <w:p>
            <w:r/>
            <w:r>
              <w:rPr>
                <w:rFonts w:ascii="Aptos" w:hAnsi="Aptos"/>
                <w:b w:val="0"/>
                <w:sz w:val="17"/>
              </w:rPr>
              <w:t>rg-cdg-s04-day01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05</w:t>
            </w:r>
          </w:p>
        </w:tc>
        <w:tc>
          <w:tcPr>
            <w:tcW w:type="dxa" w:w="2592"/>
            <w:vAlign w:val="center"/>
          </w:tcPr>
          <w:p>
            <w:r/>
            <w:r>
              <w:rPr>
                <w:rFonts w:ascii="Aptos" w:hAnsi="Aptos"/>
                <w:b w:val="0"/>
                <w:sz w:val="17"/>
              </w:rPr>
              <w:t>student05@&lt;tenant-domain&gt;</w:t>
            </w:r>
          </w:p>
        </w:tc>
        <w:tc>
          <w:tcPr>
            <w:tcW w:type="dxa" w:w="2592"/>
            <w:vAlign w:val="center"/>
          </w:tcPr>
          <w:p>
            <w:r/>
            <w:r>
              <w:rPr>
                <w:rFonts w:ascii="Aptos" w:hAnsi="Aptos"/>
                <w:b w:val="0"/>
                <w:sz w:val="17"/>
              </w:rPr>
              <w:t>rg-cdg-s05-day01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06</w:t>
            </w:r>
          </w:p>
        </w:tc>
        <w:tc>
          <w:tcPr>
            <w:tcW w:type="dxa" w:w="2592"/>
            <w:vAlign w:val="center"/>
          </w:tcPr>
          <w:p>
            <w:r/>
            <w:r>
              <w:rPr>
                <w:rFonts w:ascii="Aptos" w:hAnsi="Aptos"/>
                <w:b w:val="0"/>
                <w:sz w:val="17"/>
              </w:rPr>
              <w:t>student06@&lt;tenant-domain&gt;</w:t>
            </w:r>
          </w:p>
        </w:tc>
        <w:tc>
          <w:tcPr>
            <w:tcW w:type="dxa" w:w="2592"/>
            <w:vAlign w:val="center"/>
          </w:tcPr>
          <w:p>
            <w:r/>
            <w:r>
              <w:rPr>
                <w:rFonts w:ascii="Aptos" w:hAnsi="Aptos"/>
                <w:b w:val="0"/>
                <w:sz w:val="17"/>
              </w:rPr>
              <w:t>rg-cdg-s06-day01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07</w:t>
            </w:r>
          </w:p>
        </w:tc>
        <w:tc>
          <w:tcPr>
            <w:tcW w:type="dxa" w:w="2592"/>
            <w:vAlign w:val="center"/>
          </w:tcPr>
          <w:p>
            <w:r/>
            <w:r>
              <w:rPr>
                <w:rFonts w:ascii="Aptos" w:hAnsi="Aptos"/>
                <w:b w:val="0"/>
                <w:sz w:val="17"/>
              </w:rPr>
              <w:t>student07@&lt;tenant-domain&gt;</w:t>
            </w:r>
          </w:p>
        </w:tc>
        <w:tc>
          <w:tcPr>
            <w:tcW w:type="dxa" w:w="2592"/>
            <w:vAlign w:val="center"/>
          </w:tcPr>
          <w:p>
            <w:r/>
            <w:r>
              <w:rPr>
                <w:rFonts w:ascii="Aptos" w:hAnsi="Aptos"/>
                <w:b w:val="0"/>
                <w:sz w:val="17"/>
              </w:rPr>
              <w:t>rg-cdg-s07-day01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08</w:t>
            </w:r>
          </w:p>
        </w:tc>
        <w:tc>
          <w:tcPr>
            <w:tcW w:type="dxa" w:w="2592"/>
            <w:vAlign w:val="center"/>
          </w:tcPr>
          <w:p>
            <w:r/>
            <w:r>
              <w:rPr>
                <w:rFonts w:ascii="Aptos" w:hAnsi="Aptos"/>
                <w:b w:val="0"/>
                <w:sz w:val="17"/>
              </w:rPr>
              <w:t>student08@&lt;tenant-domain&gt;</w:t>
            </w:r>
          </w:p>
        </w:tc>
        <w:tc>
          <w:tcPr>
            <w:tcW w:type="dxa" w:w="2592"/>
            <w:vAlign w:val="center"/>
          </w:tcPr>
          <w:p>
            <w:r/>
            <w:r>
              <w:rPr>
                <w:rFonts w:ascii="Aptos" w:hAnsi="Aptos"/>
                <w:b w:val="0"/>
                <w:sz w:val="17"/>
              </w:rPr>
              <w:t>rg-cdg-s08-day01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09</w:t>
            </w:r>
          </w:p>
        </w:tc>
        <w:tc>
          <w:tcPr>
            <w:tcW w:type="dxa" w:w="2592"/>
            <w:vAlign w:val="center"/>
          </w:tcPr>
          <w:p>
            <w:r/>
            <w:r>
              <w:rPr>
                <w:rFonts w:ascii="Aptos" w:hAnsi="Aptos"/>
                <w:b w:val="0"/>
                <w:sz w:val="17"/>
              </w:rPr>
              <w:t>student09@&lt;tenant-domain&gt;</w:t>
            </w:r>
          </w:p>
        </w:tc>
        <w:tc>
          <w:tcPr>
            <w:tcW w:type="dxa" w:w="2592"/>
            <w:vAlign w:val="center"/>
          </w:tcPr>
          <w:p>
            <w:r/>
            <w:r>
              <w:rPr>
                <w:rFonts w:ascii="Aptos" w:hAnsi="Aptos"/>
                <w:b w:val="0"/>
                <w:sz w:val="17"/>
              </w:rPr>
              <w:t>rg-cdg-s09-day01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10</w:t>
            </w:r>
          </w:p>
        </w:tc>
        <w:tc>
          <w:tcPr>
            <w:tcW w:type="dxa" w:w="2592"/>
            <w:vAlign w:val="center"/>
          </w:tcPr>
          <w:p>
            <w:r/>
            <w:r>
              <w:rPr>
                <w:rFonts w:ascii="Aptos" w:hAnsi="Aptos"/>
                <w:b w:val="0"/>
                <w:sz w:val="17"/>
              </w:rPr>
              <w:t>student10@&lt;tenant-domain&gt;</w:t>
            </w:r>
          </w:p>
        </w:tc>
        <w:tc>
          <w:tcPr>
            <w:tcW w:type="dxa" w:w="2592"/>
            <w:vAlign w:val="center"/>
          </w:tcPr>
          <w:p>
            <w:r/>
            <w:r>
              <w:rPr>
                <w:rFonts w:ascii="Aptos" w:hAnsi="Aptos"/>
                <w:b w:val="0"/>
                <w:sz w:val="17"/>
              </w:rPr>
              <w:t>rg-cdg-s10-day01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11</w:t>
            </w:r>
          </w:p>
        </w:tc>
        <w:tc>
          <w:tcPr>
            <w:tcW w:type="dxa" w:w="2592"/>
            <w:vAlign w:val="center"/>
          </w:tcPr>
          <w:p>
            <w:r/>
            <w:r>
              <w:rPr>
                <w:rFonts w:ascii="Aptos" w:hAnsi="Aptos"/>
                <w:b w:val="0"/>
                <w:sz w:val="17"/>
              </w:rPr>
              <w:t>student11@&lt;tenant-domain&gt;</w:t>
            </w:r>
          </w:p>
        </w:tc>
        <w:tc>
          <w:tcPr>
            <w:tcW w:type="dxa" w:w="2592"/>
            <w:vAlign w:val="center"/>
          </w:tcPr>
          <w:p>
            <w:r/>
            <w:r>
              <w:rPr>
                <w:rFonts w:ascii="Aptos" w:hAnsi="Aptos"/>
                <w:b w:val="0"/>
                <w:sz w:val="17"/>
              </w:rPr>
              <w:t>rg-cdg-s11-day01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12</w:t>
            </w:r>
          </w:p>
        </w:tc>
        <w:tc>
          <w:tcPr>
            <w:tcW w:type="dxa" w:w="2592"/>
            <w:vAlign w:val="center"/>
          </w:tcPr>
          <w:p>
            <w:r/>
            <w:r>
              <w:rPr>
                <w:rFonts w:ascii="Aptos" w:hAnsi="Aptos"/>
                <w:b w:val="0"/>
                <w:sz w:val="17"/>
              </w:rPr>
              <w:t>student12@&lt;tenant-domain&gt;</w:t>
            </w:r>
          </w:p>
        </w:tc>
        <w:tc>
          <w:tcPr>
            <w:tcW w:type="dxa" w:w="2592"/>
            <w:vAlign w:val="center"/>
          </w:tcPr>
          <w:p>
            <w:r/>
            <w:r>
              <w:rPr>
                <w:rFonts w:ascii="Aptos" w:hAnsi="Aptos"/>
                <w:b w:val="0"/>
                <w:sz w:val="17"/>
              </w:rPr>
              <w:t>rg-cdg-s12-day01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13</w:t>
            </w:r>
          </w:p>
        </w:tc>
        <w:tc>
          <w:tcPr>
            <w:tcW w:type="dxa" w:w="2592"/>
            <w:vAlign w:val="center"/>
          </w:tcPr>
          <w:p>
            <w:r/>
            <w:r>
              <w:rPr>
                <w:rFonts w:ascii="Aptos" w:hAnsi="Aptos"/>
                <w:b w:val="0"/>
                <w:sz w:val="17"/>
              </w:rPr>
              <w:t>student13@&lt;tenant-domain&gt;</w:t>
            </w:r>
          </w:p>
        </w:tc>
        <w:tc>
          <w:tcPr>
            <w:tcW w:type="dxa" w:w="2592"/>
            <w:vAlign w:val="center"/>
          </w:tcPr>
          <w:p>
            <w:r/>
            <w:r>
              <w:rPr>
                <w:rFonts w:ascii="Aptos" w:hAnsi="Aptos"/>
                <w:b w:val="0"/>
                <w:sz w:val="17"/>
              </w:rPr>
              <w:t>rg-cdg-s13-day01</w:t>
            </w:r>
          </w:p>
        </w:tc>
        <w:tc>
          <w:tcPr>
            <w:tcW w:type="dxa" w:w="2592"/>
            <w:vAlign w:val="center"/>
          </w:tcPr>
          <w:p>
            <w:r/>
            <w:r>
              <w:rPr>
                <w:rFonts w:ascii="Aptos" w:hAnsi="Aptos"/>
                <w:b w:val="0"/>
                <w:sz w:val="17"/>
              </w:rPr>
              <w:t>Ready / Issue</w:t>
            </w:r>
          </w:p>
        </w:tc>
      </w:tr>
      <w:tr>
        <w:tc>
          <w:tcPr>
            <w:tcW w:type="dxa" w:w="2592"/>
            <w:vAlign w:val="center"/>
          </w:tcPr>
          <w:p>
            <w:r/>
            <w:r>
              <w:rPr>
                <w:rFonts w:ascii="Aptos" w:hAnsi="Aptos"/>
                <w:b w:val="0"/>
                <w:sz w:val="17"/>
              </w:rPr>
              <w:t>Student 14</w:t>
            </w:r>
          </w:p>
        </w:tc>
        <w:tc>
          <w:tcPr>
            <w:tcW w:type="dxa" w:w="2592"/>
            <w:vAlign w:val="center"/>
          </w:tcPr>
          <w:p>
            <w:r/>
            <w:r>
              <w:rPr>
                <w:rFonts w:ascii="Aptos" w:hAnsi="Aptos"/>
                <w:b w:val="0"/>
                <w:sz w:val="17"/>
              </w:rPr>
              <w:t>student14@&lt;tenant-domain&gt;</w:t>
            </w:r>
          </w:p>
        </w:tc>
        <w:tc>
          <w:tcPr>
            <w:tcW w:type="dxa" w:w="2592"/>
            <w:vAlign w:val="center"/>
          </w:tcPr>
          <w:p>
            <w:r/>
            <w:r>
              <w:rPr>
                <w:rFonts w:ascii="Aptos" w:hAnsi="Aptos"/>
                <w:b w:val="0"/>
                <w:sz w:val="17"/>
              </w:rPr>
              <w:t>rg-cdg-s14-day01</w:t>
            </w:r>
          </w:p>
        </w:tc>
        <w:tc>
          <w:tcPr>
            <w:tcW w:type="dxa" w:w="2592"/>
            <w:vAlign w:val="center"/>
          </w:tcPr>
          <w:p>
            <w:r/>
            <w:r>
              <w:rPr>
                <w:rFonts w:ascii="Aptos" w:hAnsi="Aptos"/>
                <w:b w:val="0"/>
                <w:sz w:val="17"/>
              </w:rPr>
              <w:t>Ready / Issue</w:t>
            </w:r>
          </w:p>
        </w:tc>
      </w:tr>
    </w:tbl>
    <w:p>
      <w:pPr>
        <w:pStyle w:val="Heading1"/>
      </w:pPr>
      <w:r>
        <w:t>26. End-of-Day Cleanup Options</w:t>
      </w:r>
    </w:p>
    <w:p>
      <w:r>
        <w:t>Choose one of these models before the class starts:</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17365D"/>
          </w:tcPr>
          <w:p>
            <w:r/>
            <w:r>
              <w:rPr>
                <w:rFonts w:ascii="Aptos" w:hAnsi="Aptos"/>
                <w:b/>
                <w:color w:val="FFFFFF"/>
                <w:sz w:val="19"/>
              </w:rPr>
              <w:t>Model</w:t>
            </w:r>
          </w:p>
        </w:tc>
        <w:tc>
          <w:tcPr>
            <w:tcW w:type="dxa" w:w="3456"/>
            <w:vAlign w:val="center"/>
            <w:shd w:fill="17365D"/>
          </w:tcPr>
          <w:p>
            <w:r/>
            <w:r>
              <w:rPr>
                <w:rFonts w:ascii="Aptos" w:hAnsi="Aptos"/>
                <w:b/>
                <w:color w:val="FFFFFF"/>
                <w:sz w:val="19"/>
              </w:rPr>
              <w:t>When to use</w:t>
            </w:r>
          </w:p>
        </w:tc>
        <w:tc>
          <w:tcPr>
            <w:tcW w:type="dxa" w:w="3456"/>
            <w:vAlign w:val="center"/>
            <w:shd w:fill="17365D"/>
          </w:tcPr>
          <w:p>
            <w:r/>
            <w:r>
              <w:rPr>
                <w:rFonts w:ascii="Aptos" w:hAnsi="Aptos"/>
                <w:b/>
                <w:color w:val="FFFFFF"/>
                <w:sz w:val="19"/>
              </w:rPr>
              <w:t>Action</w:t>
            </w:r>
          </w:p>
        </w:tc>
      </w:tr>
      <w:tr>
        <w:tc>
          <w:tcPr>
            <w:tcW w:type="dxa" w:w="3456"/>
            <w:vAlign w:val="center"/>
          </w:tcPr>
          <w:p>
            <w:r/>
            <w:r>
              <w:rPr>
                <w:rFonts w:ascii="Aptos" w:hAnsi="Aptos"/>
                <w:b/>
                <w:sz w:val="17"/>
              </w:rPr>
              <w:t>Keep RG for Day 2</w:t>
            </w:r>
          </w:p>
        </w:tc>
        <w:tc>
          <w:tcPr>
            <w:tcW w:type="dxa" w:w="3456"/>
            <w:vAlign w:val="center"/>
          </w:tcPr>
          <w:p>
            <w:r/>
            <w:r>
              <w:rPr>
                <w:rFonts w:ascii="Aptos" w:hAnsi="Aptos"/>
                <w:b w:val="0"/>
                <w:sz w:val="17"/>
              </w:rPr>
              <w:t>If the same RG and resources are intentionally reused</w:t>
            </w:r>
          </w:p>
        </w:tc>
        <w:tc>
          <w:tcPr>
            <w:tcW w:type="dxa" w:w="3456"/>
            <w:vAlign w:val="center"/>
          </w:tcPr>
          <w:p>
            <w:r/>
            <w:r>
              <w:rPr>
                <w:rFonts w:ascii="Aptos" w:hAnsi="Aptos"/>
                <w:b w:val="0"/>
                <w:sz w:val="17"/>
              </w:rPr>
              <w:t>Scale down/stop paid resources and retain only what is needed.</w:t>
            </w:r>
          </w:p>
        </w:tc>
      </w:tr>
      <w:tr>
        <w:tc>
          <w:tcPr>
            <w:tcW w:type="dxa" w:w="3456"/>
            <w:vAlign w:val="center"/>
          </w:tcPr>
          <w:p>
            <w:r/>
            <w:r>
              <w:rPr>
                <w:rFonts w:ascii="Aptos" w:hAnsi="Aptos"/>
                <w:b/>
                <w:sz w:val="17"/>
              </w:rPr>
              <w:t>Delete Day 1 resources only</w:t>
            </w:r>
          </w:p>
        </w:tc>
        <w:tc>
          <w:tcPr>
            <w:tcW w:type="dxa" w:w="3456"/>
            <w:vAlign w:val="center"/>
          </w:tcPr>
          <w:p>
            <w:r/>
            <w:r>
              <w:rPr>
                <w:rFonts w:ascii="Aptos" w:hAnsi="Aptos"/>
                <w:b w:val="0"/>
                <w:sz w:val="17"/>
              </w:rPr>
              <w:t>If RG is reused but App Service is not</w:t>
            </w:r>
          </w:p>
        </w:tc>
        <w:tc>
          <w:tcPr>
            <w:tcW w:type="dxa" w:w="3456"/>
            <w:vAlign w:val="center"/>
          </w:tcPr>
          <w:p>
            <w:r/>
            <w:r>
              <w:rPr>
                <w:rFonts w:ascii="Aptos" w:hAnsi="Aptos"/>
                <w:b w:val="0"/>
                <w:sz w:val="17"/>
              </w:rPr>
              <w:t>Delete App Service resources after validation.</w:t>
            </w:r>
          </w:p>
        </w:tc>
      </w:tr>
      <w:tr>
        <w:tc>
          <w:tcPr>
            <w:tcW w:type="dxa" w:w="3456"/>
            <w:vAlign w:val="center"/>
          </w:tcPr>
          <w:p>
            <w:r/>
            <w:r>
              <w:rPr>
                <w:rFonts w:ascii="Aptos" w:hAnsi="Aptos"/>
                <w:b/>
                <w:sz w:val="17"/>
              </w:rPr>
              <w:t>Delete whole Day 1 RG</w:t>
            </w:r>
          </w:p>
        </w:tc>
        <w:tc>
          <w:tcPr>
            <w:tcW w:type="dxa" w:w="3456"/>
            <w:vAlign w:val="center"/>
          </w:tcPr>
          <w:p>
            <w:r/>
            <w:r>
              <w:rPr>
                <w:rFonts w:ascii="Aptos" w:hAnsi="Aptos"/>
                <w:b w:val="0"/>
                <w:sz w:val="17"/>
              </w:rPr>
              <w:t>Cleanest model when every day has its own RG</w:t>
            </w:r>
          </w:p>
        </w:tc>
        <w:tc>
          <w:tcPr>
            <w:tcW w:type="dxa" w:w="3456"/>
            <w:vAlign w:val="center"/>
          </w:tcPr>
          <w:p>
            <w:r/>
            <w:r>
              <w:rPr>
                <w:rFonts w:ascii="Aptos" w:hAnsi="Aptos"/>
                <w:b w:val="0"/>
                <w:sz w:val="17"/>
              </w:rPr>
              <w:t>Admin/student deletes rg-cdg-sNN-day01 after trainer approval.</w:t>
            </w:r>
          </w:p>
        </w:tc>
      </w:tr>
    </w:tbl>
    <w:p>
      <w:pPr>
        <w:pStyle w:val="Heading1"/>
      </w:pPr>
      <w:r>
        <w:t>27. Recommended Setup for the Full 45-Day Program</w:t>
      </w:r>
    </w:p>
    <w:p>
      <w:r>
        <w:t>For a long-running Cloud-Data-GenAI program, do not create a completely separate subscription per student. A practical model is one centrally controlled tenant/subscription with per-student isolation and tighter controls. For high-cost shared services such as Databricks, AI services, or certain data platforms, the trainer may later choose shared workspaces with controlled user access rather than 14 fully independent expensive environments.</w:t>
      </w:r>
    </w:p>
    <w:p>
      <w:pPr>
        <w:pStyle w:val="CodeBlock"/>
        <w:shd w:fill="F3F6F9"/>
      </w:pPr>
      <w:r>
        <w:rPr>
          <w:rFonts w:ascii="Consolas" w:hAnsi="Consolas"/>
          <w:sz w:val="18"/>
        </w:rPr>
        <w:t>Tenant</w:t>
        <w:br/>
        <w:t>└── Subscription</w:t>
        <w:br/>
        <w:t xml:space="preserve">    ├── Student resource groups (14)</w:t>
        <w:br/>
        <w:t xml:space="preserve">    │   ├── low-cost individual labs</w:t>
        <w:br/>
        <w:t xml:space="preserve">    │   └── student-owned disposable resources</w:t>
        <w:br/>
        <w:t xml:space="preserve">    │</w:t>
        <w:br/>
        <w:t xml:space="preserve">    └── Shared training resource groups</w:t>
        <w:br/>
        <w:t xml:space="preserve">        ├── shared datasets</w:t>
        <w:br/>
        <w:t xml:space="preserve">        ├── shared monitoring</w:t>
        <w:br/>
        <w:t xml:space="preserve">        ├── selected Databricks / AI services</w:t>
        <w:br/>
        <w:t xml:space="preserve">        └── trainer-managed common infrastructure</w:t>
      </w:r>
    </w:p>
    <w:p>
      <w:pPr>
        <w:pStyle w:val="Heading1"/>
      </w:pPr>
      <w:r>
        <w:t>28. Day 1 Completion Checklist</w:t>
      </w:r>
    </w:p>
    <w:p>
      <w:r>
        <w:rPr>
          <w:b/>
        </w:rPr>
        <w:t xml:space="preserve">☐ </w:t>
      </w:r>
      <w:r>
        <w:t>Student signed in with tenant account.</w:t>
      </w:r>
    </w:p>
    <w:p>
      <w:r>
        <w:rPr>
          <w:b/>
        </w:rPr>
        <w:t xml:space="preserve">☐ </w:t>
      </w:r>
      <w:r>
        <w:t>Central Azure subscription visible.</w:t>
      </w:r>
    </w:p>
    <w:p>
      <w:r>
        <w:rPr>
          <w:b/>
        </w:rPr>
        <w:t xml:space="preserve">☐ </w:t>
      </w:r>
      <w:r>
        <w:t>Assigned resource group visible.</w:t>
      </w:r>
    </w:p>
    <w:p>
      <w:r>
        <w:rPr>
          <w:b/>
        </w:rPr>
        <w:t xml:space="preserve">☐ </w:t>
      </w:r>
      <w:r>
        <w:t>Student confirmed Contributor access.</w:t>
      </w:r>
    </w:p>
    <w:p>
      <w:r>
        <w:rPr>
          <w:b/>
        </w:rPr>
        <w:t xml:space="preserve">☐ </w:t>
      </w:r>
      <w:r>
        <w:t>Web App created successfully.</w:t>
      </w:r>
    </w:p>
    <w:p>
      <w:r>
        <w:rPr>
          <w:b/>
        </w:rPr>
        <w:t xml:space="preserve">☐ </w:t>
      </w:r>
      <w:r>
        <w:t>Default domain opened successfully.</w:t>
      </w:r>
    </w:p>
    <w:p>
      <w:r>
        <w:rPr>
          <w:b/>
        </w:rPr>
        <w:t xml:space="preserve">☐ </w:t>
      </w:r>
      <w:r>
        <w:t>Monitoring/metrics explored.</w:t>
      </w:r>
    </w:p>
    <w:p>
      <w:r>
        <w:rPr>
          <w:b/>
        </w:rPr>
        <w:t xml:space="preserve">☐ </w:t>
      </w:r>
      <w:r>
        <w:t>Scale concepts understood.</w:t>
      </w:r>
    </w:p>
    <w:p>
      <w:r>
        <w:rPr>
          <w:b/>
        </w:rPr>
        <w:t xml:space="preserve">☐ </w:t>
      </w:r>
      <w:r>
        <w:t>Tags added.</w:t>
      </w:r>
    </w:p>
    <w:p>
      <w:r>
        <w:rPr>
          <w:b/>
        </w:rPr>
        <w:t xml:space="preserve">☐ </w:t>
      </w:r>
      <w:r>
        <w:t>CLI commands executed.</w:t>
      </w:r>
    </w:p>
    <w:p>
      <w:r>
        <w:rPr>
          <w:b/>
        </w:rPr>
        <w:t xml:space="preserve">☐ </w:t>
      </w:r>
      <w:r>
        <w:t>Cleanup performed or resources left only with trainer approval.</w:t>
      </w:r>
    </w:p>
    <w:p>
      <w:pPr>
        <w:pStyle w:val="Heading1"/>
      </w:pPr>
      <w:r>
        <w:t>29. Key Takeaway</w:t>
      </w:r>
    </w:p>
    <w:tbl>
      <w:tblPr>
        <w:tblW w:type="auto" w:w="0"/>
        <w:jc w:val="center"/>
        <w:tblLayout w:type="autofit"/>
        <w:tblLook w:firstColumn="1" w:firstRow="1" w:lastColumn="0" w:lastRow="0" w:noHBand="0" w:noVBand="1" w:val="04A0"/>
      </w:tblPr>
      <w:tblGrid>
        <w:gridCol w:w="10368"/>
      </w:tblGrid>
      <w:tr>
        <w:tc>
          <w:tcPr>
            <w:tcW w:type="dxa" w:w="10368"/>
            <w:shd w:fill="D9EAD3"/>
          </w:tcPr>
          <w:p>
            <w:pPr>
              <w:spacing w:after="0"/>
            </w:pPr>
            <w:r>
              <w:rPr>
                <w:b/>
                <w:color w:val="17365D"/>
              </w:rPr>
              <w:t xml:space="preserve">Batch operating model: </w:t>
            </w:r>
            <w:r>
              <w:t>The 14 learners do not need 14 personal Azure subscriptions. They need 14 tenant identities and controlled access to centrally funded Azure resources. Per-student resource groups + scoped RBAC gives the trainer visibility, cost control and isolation while allowing each learner to perform hands-on labs independently.</w:t>
            </w:r>
          </w:p>
        </w:tc>
      </w:tr>
    </w:tbl>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Day 1 Azure Lab Guide • 14 Students • Shared Tenant &amp; Subscription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