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 Data GenAI Training - Day 2 Trainer Explanation Notes</w:t>
      </w:r>
    </w:p>
    <w:p>
      <w:pPr>
        <w:jc w:val="center"/>
      </w:pPr>
      <w:r>
        <w:rPr>
          <w:color w:val="505050"/>
          <w:sz w:val="24"/>
        </w:rPr>
        <w:t>Instructor speaking notes with examples, analogies, questions and troubleshooting</w:t>
      </w:r>
    </w:p>
    <w:p/>
    <w:p>
      <w:pPr>
        <w:pStyle w:val="Heading1"/>
      </w:pPr>
      <w:r>
        <w:t>1. How to introduce Day 2</w:t>
      </w:r>
    </w:p>
    <w:p>
      <w:r>
        <w:t>Start by saying: "Yesterday we created the Azure foundation. Today we learn how Azure resources communicate securely. Networking is the backbone of every Azure application, data platform and GenAI solution."</w:t>
      </w:r>
    </w:p>
    <w:p>
      <w:r>
        <w:t>Day 2 is not only about creating a VNet. The real outcome is that students should understand how address spaces, subnets, NICs, public IPs, private IPs, VMs and App Services work together.</w:t>
      </w:r>
    </w:p>
    <w:p>
      <w:pPr>
        <w:pStyle w:val="Heading1"/>
      </w:pPr>
      <w:r>
        <w:t>2. Simple analogy for Virtual Network</w:t>
      </w:r>
    </w:p>
    <w:p>
      <w:r>
        <w:t>Explain VNet as a private gated campus. The campus has buildings, rooms, security gates and internal roads. The internet is outside the campus. Azure VNet provides the campus boundary for cloud resources.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40"/>
            </w:pPr>
            <w:r/>
            <w:r>
              <w:rPr>
                <w:b/>
                <w:color w:val="FFFFFF"/>
              </w:rPr>
              <w:t>Azure Concept</w:t>
            </w:r>
          </w:p>
        </w:tc>
        <w:tc>
          <w:tcPr>
            <w:tcW w:type="dxa" w:w="3168"/>
            <w:shd w:fill="1F4E79"/>
          </w:tcPr>
          <w:p>
            <w:pPr>
              <w:spacing w:after="40"/>
            </w:pPr>
            <w:r/>
            <w:r>
              <w:rPr>
                <w:b/>
                <w:color w:val="FFFFFF"/>
              </w:rPr>
              <w:t>Analogy</w:t>
            </w:r>
          </w:p>
        </w:tc>
        <w:tc>
          <w:tcPr>
            <w:tcW w:type="dxa" w:w="4608"/>
            <w:shd w:fill="1F4E79"/>
          </w:tcPr>
          <w:p>
            <w:pPr>
              <w:spacing w:after="40"/>
            </w:pPr>
            <w:r/>
            <w:r>
              <w:rPr>
                <w:b/>
                <w:color w:val="FFFFFF"/>
              </w:rPr>
              <w:t>What students should remember</w:t>
            </w:r>
          </w:p>
        </w:tc>
      </w:tr>
      <w:tr>
        <w:tc>
          <w:tcPr>
            <w:tcW w:type="dxa" w:w="2160"/>
            <w:vAlign w:val="top"/>
          </w:tcPr>
          <w:p>
            <w:pPr>
              <w:spacing w:after="40"/>
            </w:pPr>
            <w:r/>
            <w:r>
              <w:rPr>
                <w:b w:val="0"/>
              </w:rPr>
              <w:t>VNet</w:t>
            </w:r>
          </w:p>
        </w:tc>
        <w:tc>
          <w:tcPr>
            <w:tcW w:type="dxa" w:w="3168"/>
            <w:vAlign w:val="top"/>
          </w:tcPr>
          <w:p>
            <w:pPr>
              <w:spacing w:after="40"/>
            </w:pPr>
            <w:r/>
            <w:r>
              <w:rPr>
                <w:b w:val="0"/>
              </w:rPr>
              <w:t>Private campus</w:t>
            </w:r>
          </w:p>
        </w:tc>
        <w:tc>
          <w:tcPr>
            <w:tcW w:type="dxa" w:w="4608"/>
            <w:vAlign w:val="top"/>
          </w:tcPr>
          <w:p>
            <w:pPr>
              <w:spacing w:after="40"/>
            </w:pPr>
            <w:r/>
            <w:r>
              <w:rPr>
                <w:b w:val="0"/>
              </w:rPr>
              <w:t>A private network boundary in Azure.</w:t>
            </w:r>
          </w:p>
        </w:tc>
      </w:tr>
      <w:tr>
        <w:tc>
          <w:tcPr>
            <w:tcW w:type="dxa" w:w="2160"/>
            <w:vAlign w:val="top"/>
          </w:tcPr>
          <w:p>
            <w:pPr>
              <w:spacing w:after="40"/>
            </w:pPr>
            <w:r/>
            <w:r>
              <w:rPr>
                <w:b w:val="0"/>
              </w:rPr>
              <w:t>Subnet</w:t>
            </w:r>
          </w:p>
        </w:tc>
        <w:tc>
          <w:tcPr>
            <w:tcW w:type="dxa" w:w="3168"/>
            <w:vAlign w:val="top"/>
          </w:tcPr>
          <w:p>
            <w:pPr>
              <w:spacing w:after="40"/>
            </w:pPr>
            <w:r/>
            <w:r>
              <w:rPr>
                <w:b w:val="0"/>
              </w:rPr>
              <w:t>Building/zone inside campus</w:t>
            </w:r>
          </w:p>
        </w:tc>
        <w:tc>
          <w:tcPr>
            <w:tcW w:type="dxa" w:w="4608"/>
            <w:vAlign w:val="top"/>
          </w:tcPr>
          <w:p>
            <w:pPr>
              <w:spacing w:after="40"/>
            </w:pPr>
            <w:r/>
            <w:r>
              <w:rPr>
                <w:b w:val="0"/>
              </w:rPr>
              <w:t>Segmentation for different workloads.</w:t>
            </w:r>
          </w:p>
        </w:tc>
      </w:tr>
      <w:tr>
        <w:tc>
          <w:tcPr>
            <w:tcW w:type="dxa" w:w="2160"/>
            <w:vAlign w:val="top"/>
          </w:tcPr>
          <w:p>
            <w:pPr>
              <w:spacing w:after="40"/>
            </w:pPr>
            <w:r/>
            <w:r>
              <w:rPr>
                <w:b w:val="0"/>
              </w:rPr>
              <w:t>NSG</w:t>
            </w:r>
          </w:p>
        </w:tc>
        <w:tc>
          <w:tcPr>
            <w:tcW w:type="dxa" w:w="3168"/>
            <w:vAlign w:val="top"/>
          </w:tcPr>
          <w:p>
            <w:pPr>
              <w:spacing w:after="40"/>
            </w:pPr>
            <w:r/>
            <w:r>
              <w:rPr>
                <w:b w:val="0"/>
              </w:rPr>
              <w:t>Security guard/checkpoint</w:t>
            </w:r>
          </w:p>
        </w:tc>
        <w:tc>
          <w:tcPr>
            <w:tcW w:type="dxa" w:w="4608"/>
            <w:vAlign w:val="top"/>
          </w:tcPr>
          <w:p>
            <w:pPr>
              <w:spacing w:after="40"/>
            </w:pPr>
            <w:r/>
            <w:r>
              <w:rPr>
                <w:b w:val="0"/>
              </w:rPr>
              <w:t>Allows or denies network traffic.</w:t>
            </w:r>
          </w:p>
        </w:tc>
      </w:tr>
      <w:tr>
        <w:tc>
          <w:tcPr>
            <w:tcW w:type="dxa" w:w="2160"/>
            <w:vAlign w:val="top"/>
          </w:tcPr>
          <w:p>
            <w:pPr>
              <w:spacing w:after="40"/>
            </w:pPr>
            <w:r/>
            <w:r>
              <w:rPr>
                <w:b w:val="0"/>
              </w:rPr>
              <w:t>Private IP</w:t>
            </w:r>
          </w:p>
        </w:tc>
        <w:tc>
          <w:tcPr>
            <w:tcW w:type="dxa" w:w="3168"/>
            <w:vAlign w:val="top"/>
          </w:tcPr>
          <w:p>
            <w:pPr>
              <w:spacing w:after="40"/>
            </w:pPr>
            <w:r/>
            <w:r>
              <w:rPr>
                <w:b w:val="0"/>
              </w:rPr>
              <w:t>Internal room number</w:t>
            </w:r>
          </w:p>
        </w:tc>
        <w:tc>
          <w:tcPr>
            <w:tcW w:type="dxa" w:w="4608"/>
            <w:vAlign w:val="top"/>
          </w:tcPr>
          <w:p>
            <w:pPr>
              <w:spacing w:after="40"/>
            </w:pPr>
            <w:r/>
            <w:r>
              <w:rPr>
                <w:b w:val="0"/>
              </w:rPr>
              <w:t>Used inside VNet.</w:t>
            </w:r>
          </w:p>
        </w:tc>
      </w:tr>
      <w:tr>
        <w:tc>
          <w:tcPr>
            <w:tcW w:type="dxa" w:w="2160"/>
            <w:vAlign w:val="top"/>
          </w:tcPr>
          <w:p>
            <w:pPr>
              <w:spacing w:after="40"/>
            </w:pPr>
            <w:r/>
            <w:r>
              <w:rPr>
                <w:b w:val="0"/>
              </w:rPr>
              <w:t>Public IP</w:t>
            </w:r>
          </w:p>
        </w:tc>
        <w:tc>
          <w:tcPr>
            <w:tcW w:type="dxa" w:w="3168"/>
            <w:vAlign w:val="top"/>
          </w:tcPr>
          <w:p>
            <w:pPr>
              <w:spacing w:after="40"/>
            </w:pPr>
            <w:r/>
            <w:r>
              <w:rPr>
                <w:b w:val="0"/>
              </w:rPr>
              <w:t>Public contact number</w:t>
            </w:r>
          </w:p>
        </w:tc>
        <w:tc>
          <w:tcPr>
            <w:tcW w:type="dxa" w:w="4608"/>
            <w:vAlign w:val="top"/>
          </w:tcPr>
          <w:p>
            <w:pPr>
              <w:spacing w:after="40"/>
            </w:pPr>
            <w:r/>
            <w:r>
              <w:rPr>
                <w:b w:val="0"/>
              </w:rPr>
              <w:t>Used from internet.</w:t>
            </w:r>
          </w:p>
        </w:tc>
      </w:tr>
      <w:tr>
        <w:tc>
          <w:tcPr>
            <w:tcW w:type="dxa" w:w="2160"/>
            <w:vAlign w:val="top"/>
          </w:tcPr>
          <w:p>
            <w:pPr>
              <w:spacing w:after="40"/>
            </w:pPr>
            <w:r/>
            <w:r>
              <w:rPr>
                <w:b w:val="0"/>
              </w:rPr>
              <w:t>NIC</w:t>
            </w:r>
          </w:p>
        </w:tc>
        <w:tc>
          <w:tcPr>
            <w:tcW w:type="dxa" w:w="3168"/>
            <w:vAlign w:val="top"/>
          </w:tcPr>
          <w:p>
            <w:pPr>
              <w:spacing w:after="40"/>
            </w:pPr>
            <w:r/>
            <w:r>
              <w:rPr>
                <w:b w:val="0"/>
              </w:rPr>
              <w:t>Network card of a machine</w:t>
            </w:r>
          </w:p>
        </w:tc>
        <w:tc>
          <w:tcPr>
            <w:tcW w:type="dxa" w:w="4608"/>
            <w:vAlign w:val="top"/>
          </w:tcPr>
          <w:p>
            <w:pPr>
              <w:spacing w:after="40"/>
            </w:pPr>
            <w:r/>
            <w:r>
              <w:rPr>
                <w:b w:val="0"/>
              </w:rPr>
              <w:t>Connects a VM to a subnet.</w:t>
            </w:r>
          </w:p>
        </w:tc>
      </w:tr>
    </w:tbl>
    <w:p/>
    <w:p>
      <w:pPr>
        <w:pStyle w:val="Heading1"/>
      </w:pPr>
      <w:r>
        <w:t>3. Teaching script for CIDR and subnets</w:t>
      </w:r>
    </w:p>
    <w:p>
      <w:r>
        <w:t>Do not over-teach binary subnetting on Day 2. Explain CIDR practically: 10.20.0.0/16 is a large private address block. 10.20.1.0/24 is a smaller slice reserved for a specific purpose.</w:t>
      </w:r>
    </w:p>
    <w:p>
      <w:r>
        <w:t>Example: If a company has web, app and database tiers, we do not put everything in one big open network. We create separate subnets so access can be controlled and audited.</w:t>
      </w:r>
    </w:p>
    <w:p>
      <w:pPr>
        <w:pStyle w:val="CodeBlock"/>
      </w:pPr>
      <w:r>
        <w:t>vnet-student01: 10.20.0.0/16</w:t>
        <w:br/>
        <w:t xml:space="preserve">  subnet-web: 10.20.1.0/24</w:t>
        <w:br/>
        <w:t xml:space="preserve">  subnet-app: 10.20.2.0/24</w:t>
        <w:br/>
        <w:t xml:space="preserve">  subnet-vm:  10.20.3.0/24</w:t>
      </w:r>
    </w:p>
    <w:p>
      <w:pPr>
        <w:pStyle w:val="Heading1"/>
      </w:pPr>
      <w:r>
        <w:t>4. Authentication vs Authorization refresher</w:t>
      </w:r>
    </w:p>
    <w:p>
      <w:r>
        <w:t>Use this before the labs: Signing in as student01 proves identity. Seeing only rg-student01 proves authorization. This links Entra ID and Azure RBAC in a practical way.</w:t>
      </w:r>
    </w:p>
    <w:p>
      <w:r>
        <w:t>Question to ask students: "If student01 can log in but cannot create a VNet, is that authentication failure or authorization failure?" Expected answer: authorization/RBAC issue.</w:t>
      </w:r>
    </w:p>
    <w:p>
      <w:pPr>
        <w:pStyle w:val="Heading1"/>
      </w:pPr>
      <w:r>
        <w:t>5. How to explain private IP and public IP</w:t>
      </w:r>
    </w:p>
    <w:p>
      <w:r>
        <w:t>Use a house analogy. Private IP is like a room number inside a building; it makes sense only inside that private premises. Public IP is like the building address visible from outside.</w:t>
      </w:r>
    </w:p>
    <w:p>
      <w:r>
        <w:t>Common beginner confusion: A VM can have a private IP and no public IP. It can still communicate inside the VNet. Public IP is required only if we need internet-originated access such as SSH from outside.</w:t>
      </w:r>
    </w:p>
    <w:p>
      <w:pPr>
        <w:pStyle w:val="Heading1"/>
      </w:pPr>
      <w:r>
        <w:t>6. How to explain NICs</w:t>
      </w:r>
    </w:p>
    <w:p>
      <w:r>
        <w:t>Every Azure VM connects to the network through a Network Interface Card. The NIC is where private IP configuration, subnet association and sometimes NSG association become visible. If a VM has two NICs, it can participate in multiple network paths, but multiple NICs are an advanced scenario and should be demo-only for beginners.</w:t>
      </w:r>
    </w:p>
    <w:p>
      <w:pPr>
        <w:pStyle w:val="Heading1"/>
      </w:pPr>
      <w:r>
        <w:t>7. How to explain NSG rules</w:t>
      </w:r>
    </w:p>
    <w:p>
      <w:r>
        <w:t>NSG is like a firewall rule table. It evaluates source, destination, port and protocol. For Day 2, show inbound SSH 22 and HTTP 80 only. Emphasize that opening all ports to the internet is unsafe.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tcPr>
          <w:p>
            <w:pPr>
              <w:spacing w:after="40"/>
            </w:pPr>
            <w:r/>
            <w:r>
              <w:rPr>
                <w:b/>
                <w:color w:val="FFFFFF"/>
              </w:rPr>
              <w:t>Rule</w:t>
            </w:r>
          </w:p>
        </w:tc>
        <w:tc>
          <w:tcPr>
            <w:tcW w:type="dxa" w:w="3600"/>
            <w:shd w:fill="1F4E79"/>
          </w:tcPr>
          <w:p>
            <w:pPr>
              <w:spacing w:after="40"/>
            </w:pPr>
            <w:r/>
            <w:r>
              <w:rPr>
                <w:b/>
                <w:color w:val="FFFFFF"/>
              </w:rPr>
              <w:t>Meaning</w:t>
            </w:r>
          </w:p>
        </w:tc>
        <w:tc>
          <w:tcPr>
            <w:tcW w:type="dxa" w:w="4320"/>
            <w:shd w:fill="1F4E79"/>
          </w:tcPr>
          <w:p>
            <w:pPr>
              <w:spacing w:after="40"/>
            </w:pPr>
            <w:r/>
            <w:r>
              <w:rPr>
                <w:b/>
                <w:color w:val="FFFFFF"/>
              </w:rPr>
              <w:t>Safe training advice</w:t>
            </w:r>
          </w:p>
        </w:tc>
      </w:tr>
      <w:tr>
        <w:tc>
          <w:tcPr>
            <w:tcW w:type="dxa" w:w="2160"/>
            <w:vAlign w:val="top"/>
          </w:tcPr>
          <w:p>
            <w:pPr>
              <w:spacing w:after="40"/>
            </w:pPr>
            <w:r/>
            <w:r>
              <w:rPr>
                <w:b w:val="0"/>
              </w:rPr>
              <w:t>Allow SSH 22</w:t>
            </w:r>
          </w:p>
        </w:tc>
        <w:tc>
          <w:tcPr>
            <w:tcW w:type="dxa" w:w="3600"/>
            <w:vAlign w:val="top"/>
          </w:tcPr>
          <w:p>
            <w:pPr>
              <w:spacing w:after="40"/>
            </w:pPr>
            <w:r/>
            <w:r>
              <w:rPr>
                <w:b w:val="0"/>
              </w:rPr>
              <w:t>Allows Linux admin login.</w:t>
            </w:r>
          </w:p>
        </w:tc>
        <w:tc>
          <w:tcPr>
            <w:tcW w:type="dxa" w:w="4320"/>
            <w:vAlign w:val="top"/>
          </w:tcPr>
          <w:p>
            <w:pPr>
              <w:spacing w:after="40"/>
            </w:pPr>
            <w:r/>
            <w:r>
              <w:rPr>
                <w:b w:val="0"/>
              </w:rPr>
              <w:t>Restrict source IP where possible.</w:t>
            </w:r>
          </w:p>
        </w:tc>
      </w:tr>
      <w:tr>
        <w:tc>
          <w:tcPr>
            <w:tcW w:type="dxa" w:w="2160"/>
            <w:vAlign w:val="top"/>
          </w:tcPr>
          <w:p>
            <w:pPr>
              <w:spacing w:after="40"/>
            </w:pPr>
            <w:r/>
            <w:r>
              <w:rPr>
                <w:b w:val="0"/>
              </w:rPr>
              <w:t>Allow HTTP 80</w:t>
            </w:r>
          </w:p>
        </w:tc>
        <w:tc>
          <w:tcPr>
            <w:tcW w:type="dxa" w:w="3600"/>
            <w:vAlign w:val="top"/>
          </w:tcPr>
          <w:p>
            <w:pPr>
              <w:spacing w:after="40"/>
            </w:pPr>
            <w:r/>
            <w:r>
              <w:rPr>
                <w:b w:val="0"/>
              </w:rPr>
              <w:t>Allows browser test to NGINX.</w:t>
            </w:r>
          </w:p>
        </w:tc>
        <w:tc>
          <w:tcPr>
            <w:tcW w:type="dxa" w:w="4320"/>
            <w:vAlign w:val="top"/>
          </w:tcPr>
          <w:p>
            <w:pPr>
              <w:spacing w:after="40"/>
            </w:pPr>
            <w:r/>
            <w:r>
              <w:rPr>
                <w:b w:val="0"/>
              </w:rPr>
              <w:t>Use temporarily and remove later.</w:t>
            </w:r>
          </w:p>
        </w:tc>
      </w:tr>
      <w:tr>
        <w:tc>
          <w:tcPr>
            <w:tcW w:type="dxa" w:w="2160"/>
            <w:vAlign w:val="top"/>
          </w:tcPr>
          <w:p>
            <w:pPr>
              <w:spacing w:after="40"/>
            </w:pPr>
            <w:r/>
            <w:r>
              <w:rPr>
                <w:b w:val="0"/>
              </w:rPr>
              <w:t>Deny all inbound</w:t>
            </w:r>
          </w:p>
        </w:tc>
        <w:tc>
          <w:tcPr>
            <w:tcW w:type="dxa" w:w="3600"/>
            <w:vAlign w:val="top"/>
          </w:tcPr>
          <w:p>
            <w:pPr>
              <w:spacing w:after="40"/>
            </w:pPr>
            <w:r/>
            <w:r>
              <w:rPr>
                <w:b w:val="0"/>
              </w:rPr>
              <w:t>Default protection.</w:t>
            </w:r>
          </w:p>
        </w:tc>
        <w:tc>
          <w:tcPr>
            <w:tcW w:type="dxa" w:w="4320"/>
            <w:vAlign w:val="top"/>
          </w:tcPr>
          <w:p>
            <w:pPr>
              <w:spacing w:after="40"/>
            </w:pPr>
            <w:r/>
            <w:r>
              <w:rPr>
                <w:b w:val="0"/>
              </w:rPr>
              <w:t>Keep as the baseline.</w:t>
            </w:r>
          </w:p>
        </w:tc>
      </w:tr>
    </w:tbl>
    <w:p/>
    <w:p>
      <w:pPr>
        <w:pStyle w:val="Heading1"/>
      </w:pPr>
      <w:r>
        <w:t>8. VM creation teaching points</w:t>
      </w:r>
    </w:p>
    <w:p>
      <w:r>
        <w:t>Explain that a VM is IaaS. Students manage OS updates, runtime, firewall, disks and cost. Contrast this with App Service, which is PaaS and hides most OS management.</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tcPr>
          <w:p>
            <w:pPr>
              <w:spacing w:after="40"/>
            </w:pPr>
            <w:r/>
            <w:r>
              <w:rPr>
                <w:b/>
                <w:color w:val="FFFFFF"/>
              </w:rPr>
              <w:t>Topic</w:t>
            </w:r>
          </w:p>
        </w:tc>
        <w:tc>
          <w:tcPr>
            <w:tcW w:type="dxa" w:w="3744"/>
            <w:shd w:fill="1F4E79"/>
          </w:tcPr>
          <w:p>
            <w:pPr>
              <w:spacing w:after="40"/>
            </w:pPr>
            <w:r/>
            <w:r>
              <w:rPr>
                <w:b/>
                <w:color w:val="FFFFFF"/>
              </w:rPr>
              <w:t>VM</w:t>
            </w:r>
          </w:p>
        </w:tc>
        <w:tc>
          <w:tcPr>
            <w:tcW w:type="dxa" w:w="3744"/>
            <w:shd w:fill="1F4E79"/>
          </w:tcPr>
          <w:p>
            <w:pPr>
              <w:spacing w:after="40"/>
            </w:pPr>
            <w:r/>
            <w:r>
              <w:rPr>
                <w:b/>
                <w:color w:val="FFFFFF"/>
              </w:rPr>
              <w:t>App Service</w:t>
            </w:r>
          </w:p>
        </w:tc>
      </w:tr>
      <w:tr>
        <w:tc>
          <w:tcPr>
            <w:tcW w:type="dxa" w:w="2016"/>
            <w:vAlign w:val="top"/>
          </w:tcPr>
          <w:p>
            <w:pPr>
              <w:spacing w:after="40"/>
            </w:pPr>
            <w:r/>
            <w:r>
              <w:rPr>
                <w:b w:val="0"/>
              </w:rPr>
              <w:t>Model</w:t>
            </w:r>
          </w:p>
        </w:tc>
        <w:tc>
          <w:tcPr>
            <w:tcW w:type="dxa" w:w="3744"/>
            <w:vAlign w:val="top"/>
          </w:tcPr>
          <w:p>
            <w:pPr>
              <w:spacing w:after="40"/>
            </w:pPr>
            <w:r/>
            <w:r>
              <w:rPr>
                <w:b w:val="0"/>
              </w:rPr>
              <w:t>IaaS</w:t>
            </w:r>
          </w:p>
        </w:tc>
        <w:tc>
          <w:tcPr>
            <w:tcW w:type="dxa" w:w="3744"/>
            <w:vAlign w:val="top"/>
          </w:tcPr>
          <w:p>
            <w:pPr>
              <w:spacing w:after="40"/>
            </w:pPr>
            <w:r/>
            <w:r>
              <w:rPr>
                <w:b w:val="0"/>
              </w:rPr>
              <w:t>PaaS</w:t>
            </w:r>
          </w:p>
        </w:tc>
      </w:tr>
      <w:tr>
        <w:tc>
          <w:tcPr>
            <w:tcW w:type="dxa" w:w="2016"/>
            <w:vAlign w:val="top"/>
          </w:tcPr>
          <w:p>
            <w:pPr>
              <w:spacing w:after="40"/>
            </w:pPr>
            <w:r/>
            <w:r>
              <w:rPr>
                <w:b w:val="0"/>
              </w:rPr>
              <w:t>OS access</w:t>
            </w:r>
          </w:p>
        </w:tc>
        <w:tc>
          <w:tcPr>
            <w:tcW w:type="dxa" w:w="3744"/>
            <w:vAlign w:val="top"/>
          </w:tcPr>
          <w:p>
            <w:pPr>
              <w:spacing w:after="40"/>
            </w:pPr>
            <w:r/>
            <w:r>
              <w:rPr>
                <w:b w:val="0"/>
              </w:rPr>
              <w:t>Full OS access</w:t>
            </w:r>
          </w:p>
        </w:tc>
        <w:tc>
          <w:tcPr>
            <w:tcW w:type="dxa" w:w="3744"/>
            <w:vAlign w:val="top"/>
          </w:tcPr>
          <w:p>
            <w:pPr>
              <w:spacing w:after="40"/>
            </w:pPr>
            <w:r/>
            <w:r>
              <w:rPr>
                <w:b w:val="0"/>
              </w:rPr>
              <w:t>Limited platform access</w:t>
            </w:r>
          </w:p>
        </w:tc>
      </w:tr>
      <w:tr>
        <w:tc>
          <w:tcPr>
            <w:tcW w:type="dxa" w:w="2016"/>
            <w:vAlign w:val="top"/>
          </w:tcPr>
          <w:p>
            <w:pPr>
              <w:spacing w:after="40"/>
            </w:pPr>
            <w:r/>
            <w:r>
              <w:rPr>
                <w:b w:val="0"/>
              </w:rPr>
              <w:t>Scaling</w:t>
            </w:r>
          </w:p>
        </w:tc>
        <w:tc>
          <w:tcPr>
            <w:tcW w:type="dxa" w:w="3744"/>
            <w:vAlign w:val="top"/>
          </w:tcPr>
          <w:p>
            <w:pPr>
              <w:spacing w:after="40"/>
            </w:pPr>
            <w:r/>
            <w:r>
              <w:rPr>
                <w:b w:val="0"/>
              </w:rPr>
              <w:t>Manual/VMSS/availability sets</w:t>
            </w:r>
          </w:p>
        </w:tc>
        <w:tc>
          <w:tcPr>
            <w:tcW w:type="dxa" w:w="3744"/>
            <w:vAlign w:val="top"/>
          </w:tcPr>
          <w:p>
            <w:pPr>
              <w:spacing w:after="40"/>
            </w:pPr>
            <w:r/>
            <w:r>
              <w:rPr>
                <w:b w:val="0"/>
              </w:rPr>
              <w:t>App Service Plan scaling</w:t>
            </w:r>
          </w:p>
        </w:tc>
      </w:tr>
      <w:tr>
        <w:tc>
          <w:tcPr>
            <w:tcW w:type="dxa" w:w="2016"/>
            <w:vAlign w:val="top"/>
          </w:tcPr>
          <w:p>
            <w:pPr>
              <w:spacing w:after="40"/>
            </w:pPr>
            <w:r/>
            <w:r>
              <w:rPr>
                <w:b w:val="0"/>
              </w:rPr>
              <w:t>Use case</w:t>
            </w:r>
          </w:p>
        </w:tc>
        <w:tc>
          <w:tcPr>
            <w:tcW w:type="dxa" w:w="3744"/>
            <w:vAlign w:val="top"/>
          </w:tcPr>
          <w:p>
            <w:pPr>
              <w:spacing w:after="40"/>
            </w:pPr>
            <w:r/>
            <w:r>
              <w:rPr>
                <w:b w:val="0"/>
              </w:rPr>
              <w:t>Custom server workloads</w:t>
            </w:r>
          </w:p>
        </w:tc>
        <w:tc>
          <w:tcPr>
            <w:tcW w:type="dxa" w:w="3744"/>
            <w:vAlign w:val="top"/>
          </w:tcPr>
          <w:p>
            <w:pPr>
              <w:spacing w:after="40"/>
            </w:pPr>
            <w:r/>
            <w:r>
              <w:rPr>
                <w:b w:val="0"/>
              </w:rPr>
              <w:t>Web apps and APIs</w:t>
            </w:r>
          </w:p>
        </w:tc>
      </w:tr>
    </w:tbl>
    <w:p/>
    <w:p>
      <w:pPr>
        <w:pStyle w:val="Heading1"/>
      </w:pPr>
      <w:r>
        <w:t>9. Custom Script Extension explanation</w:t>
      </w:r>
    </w:p>
    <w:p>
      <w:r>
        <w:t>Say: "Manual SSH is useful for learning, but production teams automate setup. Custom Script Extension is a simple way to run installation/configuration commands on a VM after deployment."</w:t>
      </w:r>
    </w:p>
    <w:p>
      <w:r>
        <w:t>Demo expected result: NGINX is installed and a simple HTML page appears. This proves that automation can configure a server consistently.</w:t>
      </w:r>
    </w:p>
    <w:p>
      <w:pPr>
        <w:pStyle w:val="Heading1"/>
      </w:pPr>
      <w:r>
        <w:t>10. App Service and VNet Integration explanation</w:t>
      </w:r>
    </w:p>
    <w:p>
      <w:r>
        <w:t>This is the most important conceptual bridge in the practical exercise. App Service is not placed directly inside your VNet like a VM. VNet Integration allows outbound calls from App Service into the VNet. It is used when a web app must call private APIs, databases or services hosted inside the VNet.</w:t>
      </w:r>
    </w:p>
    <w:p>
      <w:r>
        <w:t>Example: A web app running in App Service calls http://10.20.3.4, where 10.20.3.4 is the private IP of a VM running NGINX. The VM does not need a public IP for this internal call.</w:t>
      </w:r>
    </w:p>
    <w:p>
      <w:pPr>
        <w:pStyle w:val="Heading1"/>
      </w:pPr>
      <w:r>
        <w:t>11. Availability sets and downtime</w:t>
      </w:r>
    </w:p>
    <w:p>
      <w:r>
        <w:t>Explain the difference between planned and unplanned downtime. Planned downtime can happen during maintenance. Unplanned downtime can happen due to hardware failure. Availability sets spread multiple VMs across fault and update domains to reduce risk.</w:t>
      </w:r>
    </w:p>
    <w:p>
      <w:r>
        <w:t>Ask: "If a business-critical app has only one VM, what happens if the underlying host fails?" Expected answer: downtime. Then introduce at least two VMs behind a load balancer or VM scale set as a more resilient pattern.</w:t>
      </w:r>
    </w:p>
    <w:p>
      <w:pPr>
        <w:pStyle w:val="Heading1"/>
      </w:pPr>
      <w:r>
        <w:t>12. Troubleshooting notes for trainer</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tcPr>
          <w:p>
            <w:pPr>
              <w:spacing w:after="40"/>
            </w:pPr>
            <w:r/>
            <w:r>
              <w:rPr>
                <w:b/>
                <w:color w:val="FFFFFF"/>
              </w:rPr>
              <w:t>Issue</w:t>
            </w:r>
          </w:p>
        </w:tc>
        <w:tc>
          <w:tcPr>
            <w:tcW w:type="dxa" w:w="3600"/>
            <w:shd w:fill="1F4E79"/>
          </w:tcPr>
          <w:p>
            <w:pPr>
              <w:spacing w:after="40"/>
            </w:pPr>
            <w:r/>
            <w:r>
              <w:rPr>
                <w:b/>
                <w:color w:val="FFFFFF"/>
              </w:rPr>
              <w:t>Likely reason</w:t>
            </w:r>
          </w:p>
        </w:tc>
        <w:tc>
          <w:tcPr>
            <w:tcW w:type="dxa" w:w="4320"/>
            <w:shd w:fill="1F4E79"/>
          </w:tcPr>
          <w:p>
            <w:pPr>
              <w:spacing w:after="40"/>
            </w:pPr>
            <w:r/>
            <w:r>
              <w:rPr>
                <w:b/>
                <w:color w:val="FFFFFF"/>
              </w:rPr>
              <w:t>Fix</w:t>
            </w:r>
          </w:p>
        </w:tc>
      </w:tr>
      <w:tr>
        <w:tc>
          <w:tcPr>
            <w:tcW w:type="dxa" w:w="2448"/>
            <w:vAlign w:val="top"/>
          </w:tcPr>
          <w:p>
            <w:pPr>
              <w:spacing w:after="40"/>
            </w:pPr>
            <w:r/>
            <w:r>
              <w:rPr>
                <w:b w:val="0"/>
              </w:rPr>
              <w:t>Student cannot see resource group</w:t>
            </w:r>
          </w:p>
        </w:tc>
        <w:tc>
          <w:tcPr>
            <w:tcW w:type="dxa" w:w="3600"/>
            <w:vAlign w:val="top"/>
          </w:tcPr>
          <w:p>
            <w:pPr>
              <w:spacing w:after="40"/>
            </w:pPr>
            <w:r/>
            <w:r>
              <w:rPr>
                <w:b w:val="0"/>
              </w:rPr>
              <w:t>RBAC assignment missing or wrong directory.</w:t>
            </w:r>
          </w:p>
        </w:tc>
        <w:tc>
          <w:tcPr>
            <w:tcW w:type="dxa" w:w="4320"/>
            <w:vAlign w:val="top"/>
          </w:tcPr>
          <w:p>
            <w:pPr>
              <w:spacing w:after="40"/>
            </w:pPr>
            <w:r/>
            <w:r>
              <w:rPr>
                <w:b w:val="0"/>
              </w:rPr>
              <w:t>Verify user, resource group scope and role assignment.</w:t>
            </w:r>
          </w:p>
        </w:tc>
      </w:tr>
      <w:tr>
        <w:tc>
          <w:tcPr>
            <w:tcW w:type="dxa" w:w="2448"/>
            <w:vAlign w:val="top"/>
          </w:tcPr>
          <w:p>
            <w:pPr>
              <w:spacing w:after="40"/>
            </w:pPr>
            <w:r/>
            <w:r>
              <w:rPr>
                <w:b w:val="0"/>
              </w:rPr>
              <w:t>Cannot create VM due to quota</w:t>
            </w:r>
          </w:p>
        </w:tc>
        <w:tc>
          <w:tcPr>
            <w:tcW w:type="dxa" w:w="3600"/>
            <w:vAlign w:val="top"/>
          </w:tcPr>
          <w:p>
            <w:pPr>
              <w:spacing w:after="40"/>
            </w:pPr>
            <w:r/>
            <w:r>
              <w:rPr>
                <w:b w:val="0"/>
              </w:rPr>
              <w:t>Regional quota/size unavailable.</w:t>
            </w:r>
          </w:p>
        </w:tc>
        <w:tc>
          <w:tcPr>
            <w:tcW w:type="dxa" w:w="4320"/>
            <w:vAlign w:val="top"/>
          </w:tcPr>
          <w:p>
            <w:pPr>
              <w:spacing w:after="40"/>
            </w:pPr>
            <w:r/>
            <w:r>
              <w:rPr>
                <w:b w:val="0"/>
              </w:rPr>
              <w:t>Use smaller size or different region.</w:t>
            </w:r>
          </w:p>
        </w:tc>
      </w:tr>
      <w:tr>
        <w:tc>
          <w:tcPr>
            <w:tcW w:type="dxa" w:w="2448"/>
            <w:vAlign w:val="top"/>
          </w:tcPr>
          <w:p>
            <w:pPr>
              <w:spacing w:after="40"/>
            </w:pPr>
            <w:r/>
            <w:r>
              <w:rPr>
                <w:b w:val="0"/>
              </w:rPr>
              <w:t>SSH fails</w:t>
            </w:r>
          </w:p>
        </w:tc>
        <w:tc>
          <w:tcPr>
            <w:tcW w:type="dxa" w:w="3600"/>
            <w:vAlign w:val="top"/>
          </w:tcPr>
          <w:p>
            <w:pPr>
              <w:spacing w:after="40"/>
            </w:pPr>
            <w:r/>
            <w:r>
              <w:rPr>
                <w:b w:val="0"/>
              </w:rPr>
              <w:t>NSG, wrong public IP, VM not running, username mismatch.</w:t>
            </w:r>
          </w:p>
        </w:tc>
        <w:tc>
          <w:tcPr>
            <w:tcW w:type="dxa" w:w="4320"/>
            <w:vAlign w:val="top"/>
          </w:tcPr>
          <w:p>
            <w:pPr>
              <w:spacing w:after="40"/>
            </w:pPr>
            <w:r/>
            <w:r>
              <w:rPr>
                <w:b w:val="0"/>
              </w:rPr>
              <w:t>Check VM Overview, Networking and reset connection details.</w:t>
            </w:r>
          </w:p>
        </w:tc>
      </w:tr>
      <w:tr>
        <w:tc>
          <w:tcPr>
            <w:tcW w:type="dxa" w:w="2448"/>
            <w:vAlign w:val="top"/>
          </w:tcPr>
          <w:p>
            <w:pPr>
              <w:spacing w:after="40"/>
            </w:pPr>
            <w:r/>
            <w:r>
              <w:rPr>
                <w:b w:val="0"/>
              </w:rPr>
              <w:t>NGINX page not opening</w:t>
            </w:r>
          </w:p>
        </w:tc>
        <w:tc>
          <w:tcPr>
            <w:tcW w:type="dxa" w:w="3600"/>
            <w:vAlign w:val="top"/>
          </w:tcPr>
          <w:p>
            <w:pPr>
              <w:spacing w:after="40"/>
            </w:pPr>
            <w:r/>
            <w:r>
              <w:rPr>
                <w:b w:val="0"/>
              </w:rPr>
              <w:t>HTTP 80 not allowed or extension failed.</w:t>
            </w:r>
          </w:p>
        </w:tc>
        <w:tc>
          <w:tcPr>
            <w:tcW w:type="dxa" w:w="4320"/>
            <w:vAlign w:val="top"/>
          </w:tcPr>
          <w:p>
            <w:pPr>
              <w:spacing w:after="40"/>
            </w:pPr>
            <w:r/>
            <w:r>
              <w:rPr>
                <w:b w:val="0"/>
              </w:rPr>
              <w:t>Open NSG 80 temporarily and check extension status.</w:t>
            </w:r>
          </w:p>
        </w:tc>
      </w:tr>
      <w:tr>
        <w:tc>
          <w:tcPr>
            <w:tcW w:type="dxa" w:w="2448"/>
            <w:vAlign w:val="top"/>
          </w:tcPr>
          <w:p>
            <w:pPr>
              <w:spacing w:after="40"/>
            </w:pPr>
            <w:r/>
            <w:r>
              <w:rPr>
                <w:b w:val="0"/>
              </w:rPr>
              <w:t>App Service VNet Integration unavailable</w:t>
            </w:r>
          </w:p>
        </w:tc>
        <w:tc>
          <w:tcPr>
            <w:tcW w:type="dxa" w:w="3600"/>
            <w:vAlign w:val="top"/>
          </w:tcPr>
          <w:p>
            <w:pPr>
              <w:spacing w:after="40"/>
            </w:pPr>
            <w:r/>
            <w:r>
              <w:rPr>
                <w:b w:val="0"/>
              </w:rPr>
              <w:t>Unsupported App Service Plan tier or subnet issue.</w:t>
            </w:r>
          </w:p>
        </w:tc>
        <w:tc>
          <w:tcPr>
            <w:tcW w:type="dxa" w:w="4320"/>
            <w:vAlign w:val="top"/>
          </w:tcPr>
          <w:p>
            <w:pPr>
              <w:spacing w:after="40"/>
            </w:pPr>
            <w:r/>
            <w:r>
              <w:rPr>
                <w:b w:val="0"/>
              </w:rPr>
              <w:t>Use supported tier and delegated integration subnet.</w:t>
            </w:r>
          </w:p>
        </w:tc>
      </w:tr>
    </w:tbl>
    <w:p/>
    <w:p>
      <w:pPr>
        <w:pStyle w:val="Heading1"/>
      </w:pPr>
      <w:r>
        <w:t>13. End-of-day recap script</w:t>
      </w:r>
    </w:p>
    <w:p>
      <w:r>
        <w:t>Close the day by saying: "Today you built the network foundation. In real projects, nothing is deployed randomly. We design address spaces, place workloads into subnets, control traffic with NSGs, automate VM setup, and connect PaaS apps to private networks. The same networking foundation will be reused when we build data, DevOps, Databricks and GenAI architectures."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