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Setting Up a Training Tenant &amp; Subscription for 14 Students</w:t>
      </w:r>
    </w:p>
    <w:p>
      <w:pPr>
        <w:spacing w:after="160" w:before="0"/>
      </w:pPr>
      <w:r>
        <w:rPr>
          <w:b w:val="false"/>
          <w:bCs w:val="false"/>
          <w:i/>
          <w:iCs/>
          <w:color w:val="595959"/>
          <w:sz w:val="22"/>
          <w:szCs w:val="22"/>
        </w:rPr>
        <w:t xml:space="preserve">A step-by-step guide using one centrally managed Microsoft Entra tenant and one Azure subscription. Updated for the current Azure portal / Microsoft Entra admin center UI (August 2026), with screenshot placeholders for each key step.</w:t>
      </w:r>
    </w:p>
    <w:p>
      <w:pPr>
        <w:spacing w:after="160" w:before="0"/>
      </w:pPr>
      <w:r>
        <w:rPr>
          <w:b w:val="false"/>
          <w:bCs w:val="false"/>
          <w:i w:val="false"/>
          <w:iCs w:val="false"/>
          <w:sz w:val="22"/>
          <w:szCs w:val="22"/>
        </w:rPr>
        <w:t xml:space="preserve">Yes. Below is the cleanest way to set this up from scratch for 14 students using one centrally managed Microsoft Entra tenant and one Azure subscription.</w:t>
      </w:r>
    </w:p>
    <w:p>
      <w:pPr>
        <w:spacing w:after="160"/>
      </w:pPr>
      <w:r>
        <w:rPr>
          <w:sz w:val="22"/>
          <w:szCs w:val="22"/>
        </w:rPr>
        <w:t xml:space="preserve">The key point first: </w:t>
      </w:r>
      <w:r>
        <w:rPr>
          <w:b/>
          <w:bCs/>
          <w:sz w:val="22"/>
          <w:szCs w:val="22"/>
        </w:rPr>
        <w:t xml:space="preserve">the tenant is for identities; the Azure subscription is for billing/resources.</w:t>
      </w:r>
      <w:r>
        <w:rPr>
          <w:sz w:val="22"/>
          <w:szCs w:val="22"/>
        </w:rPr>
        <w:t xml:space="preserve"> So you will create the tenant, create 14 student users inside it, then make sure the training subscription is associated with that tenant, create one resource group per student, and assign each student Contributor only to their own resource group.</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Microsoft Entra ID identity management now lives primarily in its own admin center at entra.microsoft.com, separate from the classic Azure portal (portal.azure.com). Both work side by side — you can still reach every Entra screen by searching "Microsoft Entra ID" from the Azure portal's top search bar — but Microsoft's own documentation now points to entra.microsoft.com first. Screens, menu names, and the navigation paths below are otherwise unchanged.</w:t>
            </w:r>
          </w:p>
        </w:tc>
      </w:tr>
    </w:tbl>
    <w:p>
      <w:pPr>
        <w:spacing w:after="160" w:before="160"/>
      </w:pPr>
      <w:r>
        <w:rPr>
          <w:b w:val="false"/>
          <w:bCs w:val="false"/>
          <w:i w:val="false"/>
          <w:iCs w:val="false"/>
          <w:sz w:val="22"/>
          <w:szCs w:val="22"/>
        </w:rPr>
        <w:t xml:space="preserve">Microsoft's current guidance says a new workforce tenant is created from Microsoft Entra ID → Overview → Manage tenants → Create, choosing Microsoft Entra ID rather than B2C.</w:t>
      </w:r>
    </w:p>
    <w:p>
      <w:pPr>
        <w:pStyle w:val="Heading1"/>
        <w:spacing w:after="160" w:before="320"/>
      </w:pPr>
      <w:r>
        <w:t xml:space="preserve">Step 1 — Confirm you have a paid Azure subscription</w:t>
      </w:r>
    </w:p>
    <w:p>
      <w:pPr>
        <w:spacing w:after="160" w:before="0"/>
      </w:pPr>
      <w:r>
        <w:rPr>
          <w:b w:val="false"/>
          <w:bCs w:val="false"/>
          <w:i w:val="false"/>
          <w:iCs w:val="false"/>
          <w:sz w:val="22"/>
          <w:szCs w:val="22"/>
        </w:rPr>
        <w:t xml:space="preserve">Before creating the tenant, sign in to the Azure portal with the account that owns or administers the subscription you plan to use for training.</w:t>
      </w:r>
    </w:p>
    <w:p>
      <w:pPr>
        <w:spacing w:after="60" w:before="0"/>
      </w:pPr>
      <w:r>
        <w:rPr>
          <w:b/>
          <w:bCs/>
          <w:i w:val="false"/>
          <w:iCs w:val="false"/>
          <w:sz w:val="22"/>
          <w:szCs w:val="22"/>
        </w:rPr>
        <w:t xml:space="preserve">Check:</w:t>
      </w:r>
    </w:p>
    <w:p>
      <w:pPr>
        <w:spacing w:after="160"/>
      </w:pPr>
      <w:r>
        <w:rPr>
          <w:b/>
          <w:bCs/>
          <w:color w:val="1F4E78"/>
          <w:sz w:val="22"/>
          <w:szCs w:val="22"/>
        </w:rPr>
        <w:t xml:space="preserve">Azure Portal  →  Subscriptions  →  Select your subscription</w:t>
      </w:r>
    </w:p>
    <w:p>
      <w:pPr>
        <w:spacing w:after="160" w:before="0"/>
      </w:pPr>
      <w:r>
        <w:rPr>
          <w:b w:val="false"/>
          <w:bCs w:val="false"/>
          <w:i w:val="false"/>
          <w:iCs w:val="false"/>
          <w:sz w:val="22"/>
          <w:szCs w:val="22"/>
        </w:rPr>
        <w:t xml:space="preserve">Make sure the subscription status is Active.</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 — Subscriptions list showing status = Active</w:t>
            </w:r>
          </w:p>
        </w:tc>
      </w:tr>
    </w:tbl>
    <w:p>
      <w:pPr>
        <w:spacing w:after="160" w:before="160"/>
      </w:pPr>
      <w:r>
        <w:rPr>
          <w:b w:val="false"/>
          <w:bCs w:val="false"/>
          <w:i w:val="false"/>
          <w:iCs w:val="false"/>
          <w:sz w:val="22"/>
          <w:szCs w:val="22"/>
        </w:rPr>
        <w:t xml:space="preserve">This matters because Microsoft currently states that creating an additional workforce tenant is generally available to paid customers with the necessary billing/ARM permissions; trial/free tenants may not be able to create additional workforce tenants.</w:t>
      </w:r>
    </w:p>
    <w:p>
      <w:pPr>
        <w:pBdr>
          <w:bottom w:val="single" w:color="AAAAAA" w:sz="6" w:space="1"/>
        </w:pBdr>
        <w:spacing w:after="200" w:before="200"/>
      </w:pPr>
    </w:p>
    <w:p>
      <w:pPr>
        <w:pStyle w:val="Heading1"/>
        <w:spacing w:after="160" w:before="320"/>
      </w:pPr>
      <w:r>
        <w:t xml:space="preserve">Step 2 — Create the Microsoft Entra tenant</w:t>
      </w:r>
    </w:p>
    <w:p>
      <w:pPr>
        <w:spacing w:after="60" w:before="0"/>
      </w:pPr>
      <w:r>
        <w:rPr>
          <w:b/>
          <w:bCs/>
          <w:i w:val="false"/>
          <w:iCs w:val="false"/>
          <w:sz w:val="22"/>
          <w:szCs w:val="22"/>
        </w:rPr>
        <w:t xml:space="preserve">Go to:</w:t>
      </w:r>
    </w:p>
    <w:p>
      <w:pPr>
        <w:spacing w:after="160" w:before="0"/>
      </w:pPr>
      <w:r>
        <w:rPr>
          <w:b w:val="false"/>
          <w:bCs w:val="false"/>
          <w:i w:val="false"/>
          <w:iCs w:val="false"/>
          <w:sz w:val="22"/>
          <w:szCs w:val="22"/>
        </w:rPr>
        <w:t xml:space="preserve">https://portal.azure.com — or go directly to https://entra.microsoft.com, the dedicated Microsoft Entra admin center.</w:t>
      </w:r>
    </w:p>
    <w:p>
      <w:pPr>
        <w:spacing w:after="60" w:before="0"/>
      </w:pPr>
      <w:r>
        <w:rPr>
          <w:b/>
          <w:bCs/>
          <w:i w:val="false"/>
          <w:iCs w:val="false"/>
          <w:sz w:val="22"/>
          <w:szCs w:val="22"/>
        </w:rPr>
        <w:t xml:space="preserve">Then:</w:t>
      </w:r>
    </w:p>
    <w:p>
      <w:pPr>
        <w:spacing w:after="160"/>
      </w:pPr>
      <w:r>
        <w:rPr>
          <w:b/>
          <w:bCs/>
          <w:color w:val="1F4E78"/>
          <w:sz w:val="22"/>
          <w:szCs w:val="22"/>
        </w:rPr>
        <w:t xml:space="preserve">Microsoft Entra ID  →  Overview  →  Manage tenants  →  Create</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As of mid-2026, the Create wizard opens on a new screen — "Choose a configuration for your tenant" — with Governed Workforce pre-selected as the recommended option, alongside Workforce (legacy) and External. For a training lab, pick Workforce (legacy). Governed Workforce adds extra prerequisites you don't need here: it requires Tenant Contributor permissions on a Microsoft Customer Agreement (MCA) subscription (Enterprise Agreement subscriptions aren't supported), and a default governance policy template configured in your home tenant, or the governance relationship simply won't be established. None of that is needed for a self-contained student lab tenant.</w:t>
            </w:r>
          </w:p>
        </w:tc>
      </w:tr>
    </w:tbl>
    <w:p>
      <w:pPr>
        <w:spacing w:after="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438400"/>
                    </a:xfrm>
                    <a:prstGeom prst="rect">
                      <a:avLst/>
                    </a:prstGeom>
                  </pic:spPr>
                </pic:pic>
              </a:graphicData>
            </a:graphic>
          </wp:inline>
        </w:drawing>
      </w:r>
    </w:p>
    <w:p>
      <w:pPr>
        <w:spacing w:after="160"/>
        <w:jc w:val="center"/>
      </w:pPr>
      <w:r>
        <w:rPr>
          <w:i/>
          <w:iCs/>
          <w:color w:val="595959"/>
          <w:sz w:val="18"/>
          <w:szCs w:val="18"/>
        </w:rPr>
        <w:t xml:space="preserve">Actual screen: "Choose a configuration for your tenant" — select Workforce (legacy) for a training lab, then Continue.</w:t>
      </w:r>
    </w:p>
    <w:p>
      <w:pPr>
        <w:spacing w:after="60" w:before="160"/>
      </w:pPr>
      <w:r>
        <w:rPr>
          <w:b/>
          <w:bCs/>
          <w:i w:val="false"/>
          <w:iCs w:val="false"/>
          <w:sz w:val="22"/>
          <w:szCs w:val="22"/>
        </w:rPr>
        <w:t xml:space="preserve">Choose:</w:t>
      </w:r>
    </w:p>
    <w:p>
      <w:pPr>
        <w:spacing w:after="160" w:before="0"/>
      </w:pPr>
      <w:r>
        <w:rPr>
          <w:b w:val="false"/>
          <w:bCs w:val="false"/>
          <w:i w:val="false"/>
          <w:iCs w:val="false"/>
          <w:sz w:val="22"/>
          <w:szCs w:val="22"/>
        </w:rPr>
        <w:t xml:space="preserve">Workforce (legacy)  →  Continue</w:t>
      </w:r>
    </w:p>
    <w:p>
      <w:pPr>
        <w:spacing w:after="160" w:before="0"/>
      </w:pPr>
      <w:r>
        <w:rPr>
          <w:b w:val="false"/>
          <w:bCs w:val="false"/>
          <w:i w:val="false"/>
          <w:iCs w:val="false"/>
          <w:sz w:val="22"/>
          <w:szCs w:val="22"/>
        </w:rPr>
        <w:t xml:space="preserve">Do not choose B2C/External for this training setup — you need a normal workforce tenant for internal student accounts.</w:t>
      </w:r>
    </w:p>
    <w:p>
      <w:pPr>
        <w:spacing w:after="60" w:before="160"/>
      </w:pPr>
      <w:r>
        <w:rPr>
          <w:b/>
          <w:bCs/>
          <w:i w:val="false"/>
          <w:iCs w:val="false"/>
          <w:sz w:val="22"/>
          <w:szCs w:val="22"/>
        </w:rPr>
        <w:t xml:space="preserve">On the Basics tab, enter:</w:t>
      </w:r>
    </w:p>
    <w:p>
      <w:pPr>
        <w:spacing w:after="0" w:before="0"/>
      </w:pPr>
      <w:r>
        <w:rPr>
          <w:b/>
          <w:bCs/>
          <w:i w:val="false"/>
          <w:iCs w:val="false"/>
          <w:sz w:val="22"/>
          <w:szCs w:val="22"/>
        </w:rPr>
        <w:t xml:space="preserve">Tenant name:</w:t>
      </w:r>
    </w:p>
    <w:p>
      <w:pPr>
        <w:spacing w:after="160" w:before="0"/>
      </w:pPr>
      <w:r>
        <w:rPr>
          <w:b w:val="false"/>
          <w:bCs w:val="false"/>
          <w:i w:val="false"/>
          <w:iCs w:val="false"/>
          <w:sz w:val="22"/>
          <w:szCs w:val="22"/>
        </w:rPr>
        <w:t xml:space="preserve">Cloud Data GenAI Training</w:t>
      </w:r>
    </w:p>
    <w:p>
      <w:pPr>
        <w:spacing w:after="0" w:before="0"/>
      </w:pPr>
      <w:r>
        <w:rPr>
          <w:b/>
          <w:bCs/>
          <w:i w:val="false"/>
          <w:iCs w:val="false"/>
          <w:sz w:val="22"/>
          <w:szCs w:val="22"/>
        </w:rPr>
        <w:t xml:space="preserve">Domain name:</w:t>
      </w:r>
    </w:p>
    <w:p>
      <w:pPr>
        <w:spacing w:after="160" w:before="0"/>
      </w:pPr>
      <w:r>
        <w:rPr>
          <w:b w:val="false"/>
          <w:bCs w:val="false"/>
          <w:i w:val="false"/>
          <w:iCs w:val="false"/>
          <w:sz w:val="22"/>
          <w:szCs w:val="22"/>
        </w:rPr>
        <w:t xml:space="preserve">cloudgenaitraining26</w:t>
      </w:r>
    </w:p>
    <w:p>
      <w:pPr>
        <w:spacing w:after="0" w:before="0"/>
      </w:pPr>
      <w:r>
        <w:rPr>
          <w:b/>
          <w:bCs/>
          <w:i w:val="false"/>
          <w:iCs w:val="false"/>
          <w:sz w:val="22"/>
          <w:szCs w:val="22"/>
        </w:rPr>
        <w:t xml:space="preserve">Country/Region:</w:t>
      </w:r>
    </w:p>
    <w:p>
      <w:pPr>
        <w:spacing w:after="160" w:before="0"/>
      </w:pPr>
      <w:r>
        <w:rPr>
          <w:b w:val="false"/>
          <w:bCs w:val="false"/>
          <w:i w:val="false"/>
          <w:iCs w:val="false"/>
          <w:sz w:val="22"/>
          <w:szCs w:val="22"/>
        </w:rPr>
        <w:t xml:space="preserve">India (or your current selection)</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The Basics tab now also includes a required Subscription field directly on this screen — this wasn't there before. Select your training subscription here (this is the subscription that will host the Microsoft Entra ID Free billing asset for the tenant). Selecting it now effectively pre-links the tenant and subscription, which is what Step 10 later confirms — so pay attention here and pick the correct training subscription, not a personal/other one.</w:t>
            </w:r>
          </w:p>
        </w:tc>
      </w:tr>
    </w:tbl>
    <w:p>
      <w:pPr>
        <w:spacing w:after="60" w:before="120"/>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90775"/>
                    </a:xfrm>
                    <a:prstGeom prst="rect">
                      <a:avLst/>
                    </a:prstGeom>
                  </pic:spPr>
                </pic:pic>
              </a:graphicData>
            </a:graphic>
          </wp:inline>
        </w:drawing>
      </w:r>
    </w:p>
    <w:p>
      <w:pPr>
        <w:spacing w:after="160"/>
        <w:jc w:val="center"/>
      </w:pPr>
      <w:r>
        <w:rPr>
          <w:i/>
          <w:iCs/>
          <w:color w:val="595959"/>
          <w:sz w:val="18"/>
          <w:szCs w:val="18"/>
        </w:rPr>
        <w:t xml:space="preserve">Actual screen: "Create a new tenant" → Basics tab, showing Tenant name, Domain name, Country/Region, and the new required Subscription field.</w:t>
      </w:r>
    </w:p>
    <w:p>
      <w:pPr>
        <w:spacing w:after="160" w:before="160"/>
      </w:pPr>
      <w:r>
        <w:rPr>
          <w:b w:val="false"/>
          <w:bCs w:val="false"/>
          <w:i w:val="false"/>
          <w:iCs w:val="false"/>
          <w:sz w:val="22"/>
          <w:szCs w:val="22"/>
        </w:rPr>
        <w:t xml:space="preserve">Your resulting tenant domain will look like:</w:t>
      </w:r>
    </w:p>
    <w:p>
      <w:pPr>
        <w:spacing w:after="160" w:before="0"/>
      </w:pPr>
      <w:r>
        <w:rPr>
          <w:b/>
          <w:bCs/>
          <w:i w:val="false"/>
          <w:iCs w:val="false"/>
          <w:sz w:val="22"/>
          <w:szCs w:val="22"/>
        </w:rPr>
        <w:t xml:space="preserve">cloudgenaitraining26.onmicrosoft.com</w:t>
      </w:r>
    </w:p>
    <w:p>
      <w:pPr>
        <w:spacing w:after="160" w:before="0"/>
      </w:pPr>
      <w:r>
        <w:rPr>
          <w:b w:val="false"/>
          <w:bCs w:val="false"/>
          <w:i w:val="false"/>
          <w:iCs w:val="false"/>
          <w:sz w:val="22"/>
          <w:szCs w:val="22"/>
        </w:rPr>
        <w:t xml:space="preserve">The initial onmicrosoft.com domain is permanent, so choose the name carefully.</w:t>
      </w:r>
    </w:p>
    <w:p>
      <w:pPr>
        <w:spacing w:after="60" w:before="160"/>
      </w:pPr>
      <w:r>
        <w:rPr>
          <w:b/>
          <w:bCs/>
          <w:i w:val="false"/>
          <w:iCs w:val="false"/>
          <w:sz w:val="22"/>
          <w:szCs w:val="22"/>
        </w:rPr>
        <w:t xml:space="preserve">Then:</w:t>
      </w:r>
    </w:p>
    <w:p>
      <w:pPr>
        <w:spacing w:after="160"/>
      </w:pPr>
      <w:r>
        <w:rPr>
          <w:b/>
          <w:bCs/>
          <w:color w:val="1F4E78"/>
          <w:sz w:val="22"/>
          <w:szCs w:val="22"/>
        </w:rPr>
        <w:t xml:space="preserve">Review + Create  →  Create</w:t>
      </w:r>
    </w:p>
    <w:p>
      <w:pPr>
        <w:pBdr>
          <w:bottom w:val="single" w:color="AAAAAA" w:sz="6" w:space="1"/>
        </w:pBdr>
        <w:spacing w:after="200" w:before="200"/>
      </w:pPr>
    </w:p>
    <w:p>
      <w:pPr>
        <w:pStyle w:val="Heading1"/>
        <w:spacing w:after="160" w:before="320"/>
      </w:pPr>
      <w:r>
        <w:t xml:space="preserve">Step 3 — Switch into the new tenant</w:t>
      </w:r>
    </w:p>
    <w:p>
      <w:pPr>
        <w:spacing w:after="60" w:before="0"/>
      </w:pPr>
      <w:r>
        <w:rPr>
          <w:b/>
          <w:bCs/>
          <w:i w:val="false"/>
          <w:iCs w:val="false"/>
          <w:sz w:val="22"/>
          <w:szCs w:val="22"/>
        </w:rPr>
        <w:t xml:space="preserve">After creation:</w:t>
      </w:r>
    </w:p>
    <w:p>
      <w:pPr>
        <w:spacing w:after="160"/>
      </w:pPr>
      <w:r>
        <w:rPr>
          <w:b/>
          <w:bCs/>
          <w:color w:val="1F4E78"/>
          <w:sz w:val="22"/>
          <w:szCs w:val="22"/>
        </w:rPr>
        <w:t xml:space="preserve">Microsoft Entra ID  →  Manage tenants</w:t>
      </w:r>
    </w:p>
    <w:p>
      <w:pPr>
        <w:spacing w:after="60" w:before="0"/>
      </w:pPr>
      <w:r>
        <w:rPr>
          <w:b w:val="false"/>
          <w:bCs w:val="false"/>
          <w:i w:val="false"/>
          <w:iCs w:val="false"/>
          <w:sz w:val="22"/>
          <w:szCs w:val="22"/>
        </w:rPr>
        <w:t xml:space="preserve">Select your new tenant. Then choose:</w:t>
      </w:r>
    </w:p>
    <w:p>
      <w:pPr>
        <w:spacing w:after="160" w:before="0"/>
      </w:pPr>
      <w:r>
        <w:rPr>
          <w:b/>
          <w:bCs/>
          <w:i w:val="false"/>
          <w:iCs w:val="false"/>
          <w:sz w:val="22"/>
          <w:szCs w:val="22"/>
        </w:rPr>
        <w:t xml:space="preserve">Switch</w:t>
      </w:r>
    </w:p>
    <w:p>
      <w:pPr>
        <w:spacing w:after="160" w:before="0"/>
      </w:pPr>
      <w:r>
        <w:rPr>
          <w:b w:val="false"/>
          <w:bCs w:val="false"/>
          <w:i w:val="false"/>
          <w:iCs w:val="false"/>
          <w:sz w:val="22"/>
          <w:szCs w:val="22"/>
        </w:rPr>
        <w:t xml:space="preserve">You should now see something similar to:</w:t>
      </w:r>
    </w:p>
    <w:p>
      <w:pPr>
        <w:spacing w:after="0" w:before="0"/>
      </w:pPr>
      <w:r>
        <w:rPr>
          <w:b w:val="false"/>
          <w:bCs w:val="false"/>
          <w:i w:val="false"/>
          <w:iCs w:val="false"/>
          <w:sz w:val="22"/>
          <w:szCs w:val="22"/>
        </w:rPr>
        <w:t xml:space="preserve">Tenant name: Cloud Data GenAI Training</w:t>
      </w:r>
    </w:p>
    <w:p>
      <w:pPr>
        <w:spacing w:after="0" w:before="0"/>
      </w:pPr>
      <w:r>
        <w:rPr>
          <w:b w:val="false"/>
          <w:bCs w:val="false"/>
          <w:i w:val="false"/>
          <w:iCs w:val="false"/>
          <w:sz w:val="22"/>
          <w:szCs w:val="22"/>
        </w:rPr>
        <w:t xml:space="preserve">Primary domain: cloudgenaitraining26.onmicrosoft.com</w:t>
      </w:r>
    </w:p>
    <w:p>
      <w:pPr>
        <w:spacing w:after="160" w:before="0"/>
      </w:pPr>
      <w:r>
        <w:rPr>
          <w:b w:val="false"/>
          <w:bCs w:val="false"/>
          <w:i w:val="false"/>
          <w:iCs w:val="false"/>
          <w:sz w:val="22"/>
          <w:szCs w:val="22"/>
        </w:rPr>
        <w:t xml:space="preserve">Tenant ID: xxxxxxxx-xxxx-xxxx-xxxx-xxxxxxxxxxxx</w:t>
      </w:r>
    </w:p>
    <w:p>
      <w:pPr>
        <w:spacing w:after="160" w:before="0"/>
      </w:pPr>
      <w:r>
        <w:rPr>
          <w:b w:val="false"/>
          <w:bCs w:val="false"/>
          <w:i w:val="false"/>
          <w:iCs w:val="false"/>
          <w:sz w:val="22"/>
          <w:szCs w:val="22"/>
        </w:rPr>
        <w:t xml:space="preserve">Save the Tenant Name, Tenant ID, and Primary Domain. You will need these later.</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3 — Tenant Overview page after switching, showing Tenant name / Primary domain / Tenant ID</w:t>
            </w:r>
          </w:p>
        </w:tc>
      </w:tr>
    </w:tbl>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Common error at this step: "Selected user account does not exist in tenant '&lt;name&gt;' and cannot access the application '...'. The account needs to be added as an external user in the tenant first." This means you're signed in with an account that was never added to this specific tenant — usually because the tenant was created under a different Microsoft account than the one you're currently signed in as. Fix it by either (a) signing out and back in with the account that actually created the tenant (it's the Global Administrator by default), or (b) having an existing admin in that tenant invite your account as a guest via Entra ID → Users → New user → Invite external user.</w:t>
            </w:r>
          </w:p>
        </w:tc>
      </w:tr>
    </w:tbl>
    <w:p>
      <w:pPr>
        <w:pBdr>
          <w:bottom w:val="single" w:color="AAAAAA" w:sz="6" w:space="1"/>
        </w:pBdr>
        <w:spacing w:after="200" w:before="200"/>
      </w:pPr>
    </w:p>
    <w:p>
      <w:pPr>
        <w:pStyle w:val="Heading1"/>
        <w:spacing w:after="160" w:before="320"/>
      </w:pPr>
      <w:r>
        <w:t xml:space="preserve">Step 4 — Understand what you currently have</w:t>
      </w:r>
    </w:p>
    <w:p>
      <w:pPr>
        <w:spacing w:after="160" w:before="0"/>
      </w:pPr>
      <w:r>
        <w:rPr>
          <w:b w:val="false"/>
          <w:bCs w:val="false"/>
          <w:i w:val="false"/>
          <w:iCs w:val="false"/>
          <w:sz w:val="22"/>
          <w:szCs w:val="22"/>
        </w:rPr>
        <w:t xml:space="preserve">At this point, the architecture looks like:</w:t>
      </w:r>
    </w:p>
    <w:p>
      <w:pPr>
        <w:spacing w:after="0" w:before="0"/>
      </w:pPr>
      <w:r>
        <w:rPr>
          <w:b w:val="false"/>
          <w:bCs w:val="false"/>
          <w:i w:val="false"/>
          <w:iCs w:val="false"/>
          <w:sz w:val="22"/>
          <w:szCs w:val="22"/>
        </w:rPr>
        <w:t xml:space="preserve">Your Microsoft Account</w:t>
      </w:r>
    </w:p>
    <w:p>
      <w:pPr>
        <w:spacing w:after="0" w:before="0"/>
      </w:pPr>
      <w:r>
        <w:rPr>
          <w:b w:val="false"/>
          <w:bCs w:val="false"/>
          <w:i w:val="false"/>
          <w:iCs w:val="false"/>
          <w:sz w:val="22"/>
          <w:szCs w:val="22"/>
        </w:rPr>
        <w:t xml:space="preserve">↓</w:t>
      </w:r>
    </w:p>
    <w:p>
      <w:pPr>
        <w:spacing w:after="0" w:before="0"/>
      </w:pPr>
      <w:r>
        <w:rPr>
          <w:b w:val="false"/>
          <w:bCs w:val="false"/>
          <w:i w:val="false"/>
          <w:iCs w:val="false"/>
          <w:sz w:val="22"/>
          <w:szCs w:val="22"/>
        </w:rPr>
        <w:t xml:space="preserve">Microsoft Entra Tenant — cloudgenaitraining26.onmicrosoft.com</w:t>
      </w:r>
    </w:p>
    <w:p>
      <w:pPr>
        <w:pStyle w:val="ListParagraph"/>
        <w:numPr>
          <w:ilvl w:val="0"/>
          <w:numId w:val="1"/>
        </w:numPr>
        <w:spacing w:after="80"/>
      </w:pPr>
      <w:r>
        <w:rPr>
          <w:sz w:val="22"/>
          <w:szCs w:val="22"/>
        </w:rPr>
        <w:t xml:space="preserve">No students yet</w:t>
      </w:r>
    </w:p>
    <w:p>
      <w:pPr>
        <w:pStyle w:val="ListParagraph"/>
        <w:numPr>
          <w:ilvl w:val="0"/>
          <w:numId w:val="1"/>
        </w:numPr>
        <w:spacing w:after="80"/>
      </w:pPr>
      <w:r>
        <w:rPr>
          <w:sz w:val="22"/>
          <w:szCs w:val="22"/>
        </w:rPr>
        <w:t xml:space="preserve">No training resources yet</w:t>
      </w:r>
    </w:p>
    <w:p>
      <w:pPr>
        <w:spacing w:after="160" w:before="120"/>
      </w:pPr>
      <w:r>
        <w:rPr>
          <w:b w:val="false"/>
          <w:bCs w:val="false"/>
          <w:i w:val="false"/>
          <w:iCs w:val="false"/>
          <w:sz w:val="22"/>
          <w:szCs w:val="22"/>
        </w:rPr>
        <w:t xml:space="preserve">The next step is to create the 14 users.</w:t>
      </w:r>
    </w:p>
    <w:p>
      <w:pPr>
        <w:pBdr>
          <w:bottom w:val="single" w:color="AAAAAA" w:sz="6" w:space="1"/>
        </w:pBdr>
        <w:spacing w:after="200" w:before="200"/>
      </w:pPr>
    </w:p>
    <w:p>
      <w:pPr>
        <w:pStyle w:val="Heading1"/>
        <w:spacing w:after="160" w:before="320"/>
      </w:pPr>
      <w:r>
        <w:t xml:space="preserve">Step 5 — Create Student 01 manually first</w:t>
      </w:r>
    </w:p>
    <w:p>
      <w:pPr>
        <w:spacing w:after="160" w:before="0"/>
      </w:pPr>
      <w:r>
        <w:rPr>
          <w:b w:val="false"/>
          <w:bCs w:val="false"/>
          <w:i w:val="false"/>
          <w:iCs w:val="false"/>
          <w:sz w:val="22"/>
          <w:szCs w:val="22"/>
        </w:rPr>
        <w:t xml:space="preserve">Before doing a bulk import, I recommend creating one account manually and testing it.</w:t>
      </w:r>
    </w:p>
    <w:p>
      <w:pPr>
        <w:spacing w:after="60" w:before="0"/>
      </w:pPr>
      <w:r>
        <w:rPr>
          <w:b/>
          <w:bCs/>
          <w:i w:val="false"/>
          <w:iCs w:val="false"/>
          <w:sz w:val="22"/>
          <w:szCs w:val="22"/>
        </w:rPr>
        <w:t xml:space="preserve">Go to:</w:t>
      </w:r>
    </w:p>
    <w:p>
      <w:pPr>
        <w:spacing w:after="160"/>
      </w:pPr>
      <w:r>
        <w:rPr>
          <w:b/>
          <w:bCs/>
          <w:color w:val="1F4E78"/>
          <w:sz w:val="22"/>
          <w:szCs w:val="22"/>
        </w:rPr>
        <w:t xml:space="preserve">Microsoft Entra ID  →  Users  →  All users  →  New user  →  Create new user</w:t>
      </w:r>
    </w:p>
    <w:p>
      <w:pPr>
        <w:spacing w:after="60" w:before="120"/>
      </w:pPr>
      <w:r>
        <w:rPr>
          <w:b/>
          <w:bCs/>
          <w:i w:val="false"/>
          <w:iCs w:val="false"/>
          <w:sz w:val="22"/>
          <w:szCs w:val="22"/>
        </w:rPr>
        <w:t xml:space="preserve">Enter:</w:t>
      </w:r>
    </w:p>
    <w:p>
      <w:pPr>
        <w:spacing w:after="0" w:before="0"/>
      </w:pPr>
      <w:r>
        <w:rPr>
          <w:b w:val="false"/>
          <w:bCs w:val="false"/>
          <w:i w:val="false"/>
          <w:iCs w:val="false"/>
          <w:sz w:val="22"/>
          <w:szCs w:val="22"/>
        </w:rPr>
        <w:t xml:space="preserve">User principal name: student01@cloudgenaitraining26.onmicrosoft.com</w:t>
      </w:r>
    </w:p>
    <w:p>
      <w:pPr>
        <w:spacing w:after="0" w:before="0"/>
      </w:pPr>
      <w:r>
        <w:rPr>
          <w:b w:val="false"/>
          <w:bCs w:val="false"/>
          <w:i w:val="false"/>
          <w:iCs w:val="false"/>
          <w:sz w:val="22"/>
          <w:szCs w:val="22"/>
        </w:rPr>
        <w:t xml:space="preserve">Display name: Student 01</w:t>
      </w:r>
    </w:p>
    <w:p>
      <w:pPr>
        <w:spacing w:after="0" w:before="0"/>
      </w:pPr>
      <w:r>
        <w:rPr>
          <w:b w:val="false"/>
          <w:bCs w:val="false"/>
          <w:i w:val="false"/>
          <w:iCs w:val="false"/>
          <w:sz w:val="22"/>
          <w:szCs w:val="22"/>
        </w:rPr>
        <w:t xml:space="preserve">Password: Auto-generate password</w:t>
      </w:r>
    </w:p>
    <w:p>
      <w:pPr>
        <w:spacing w:after="160" w:before="0"/>
      </w:pPr>
      <w:r>
        <w:rPr>
          <w:b w:val="false"/>
          <w:bCs w:val="false"/>
          <w:i w:val="false"/>
          <w:iCs w:val="false"/>
          <w:sz w:val="22"/>
          <w:szCs w:val="22"/>
        </w:rPr>
        <w:t xml:space="preserve">or create a temporary password that meets the tenant's current password requirements.</w:t>
      </w:r>
    </w:p>
    <w:p>
      <w:pPr>
        <w:spacing w:after="160" w:before="0"/>
      </w:pPr>
      <w:r>
        <w:rPr>
          <w:b/>
          <w:bCs/>
          <w:i w:val="false"/>
          <w:iCs w:val="false"/>
          <w:sz w:val="22"/>
          <w:szCs w:val="22"/>
        </w:rPr>
        <w:t xml:space="preserve">Enable: Require password change at next sign-in</w:t>
      </w:r>
    </w:p>
    <w:p>
      <w:pPr>
        <w:spacing w:after="160" w:before="0"/>
      </w:pPr>
      <w:r>
        <w:rPr>
          <w:b w:val="false"/>
          <w:bCs w:val="false"/>
          <w:i w:val="false"/>
          <w:iCs w:val="false"/>
          <w:sz w:val="22"/>
          <w:szCs w:val="22"/>
        </w:rPr>
        <w:t xml:space="preserve">if available/appropriate for your lab.</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5 — "Create new user" form with UPN, display name, and password settings</w:t>
            </w:r>
          </w:p>
        </w:tc>
      </w:tr>
    </w:tbl>
    <w:p>
      <w:pPr>
        <w:spacing w:after="60" w:before="160"/>
      </w:pPr>
      <w:r>
        <w:rPr>
          <w:b/>
          <w:bCs/>
          <w:i w:val="false"/>
          <w:iCs w:val="false"/>
          <w:sz w:val="22"/>
          <w:szCs w:val="22"/>
        </w:rPr>
        <w:t xml:space="preserve">Then click:</w:t>
      </w:r>
    </w:p>
    <w:p>
      <w:pPr>
        <w:spacing w:after="160" w:before="0"/>
      </w:pPr>
      <w:r>
        <w:rPr>
          <w:b w:val="false"/>
          <w:bCs w:val="false"/>
          <w:i w:val="false"/>
          <w:iCs w:val="false"/>
          <w:sz w:val="22"/>
          <w:szCs w:val="22"/>
        </w:rPr>
        <w:t xml:space="preserve">Review + Create</w:t>
      </w:r>
    </w:p>
    <w:p>
      <w:pPr>
        <w:pBdr>
          <w:bottom w:val="single" w:color="AAAAAA" w:sz="6" w:space="1"/>
        </w:pBdr>
        <w:spacing w:after="200" w:before="200"/>
      </w:pPr>
    </w:p>
    <w:p>
      <w:pPr>
        <w:pStyle w:val="Heading1"/>
        <w:spacing w:after="160" w:before="320"/>
      </w:pPr>
      <w:r>
        <w:t xml:space="preserve">Step 6 — Test Student 01 login</w:t>
      </w:r>
    </w:p>
    <w:p>
      <w:pPr>
        <w:spacing w:after="160" w:before="0"/>
      </w:pPr>
      <w:r>
        <w:rPr>
          <w:b w:val="false"/>
          <w:bCs w:val="false"/>
          <w:i w:val="false"/>
          <w:iCs w:val="false"/>
          <w:sz w:val="22"/>
          <w:szCs w:val="22"/>
        </w:rPr>
        <w:t xml:space="preserve">Open an Incognito/InPrivate browser.</w:t>
      </w:r>
    </w:p>
    <w:p>
      <w:pPr>
        <w:spacing w:after="160" w:before="0"/>
      </w:pPr>
      <w:r>
        <w:rPr>
          <w:b w:val="false"/>
          <w:bCs w:val="false"/>
          <w:i w:val="false"/>
          <w:iCs w:val="false"/>
          <w:sz w:val="22"/>
          <w:szCs w:val="22"/>
        </w:rPr>
        <w:t xml:space="preserve">Go to: https://portal.azure.com</w:t>
      </w:r>
    </w:p>
    <w:p>
      <w:pPr>
        <w:spacing w:after="160" w:before="0"/>
      </w:pPr>
      <w:r>
        <w:rPr>
          <w:b w:val="false"/>
          <w:bCs w:val="false"/>
          <w:i w:val="false"/>
          <w:iCs w:val="false"/>
          <w:sz w:val="22"/>
          <w:szCs w:val="22"/>
        </w:rPr>
        <w:t xml:space="preserve">Login as: student01@cloudgenaitraining26.onmicrosoft.com</w:t>
      </w:r>
    </w:p>
    <w:p>
      <w:pPr>
        <w:spacing w:after="160" w:before="0"/>
      </w:pPr>
      <w:r>
        <w:rPr>
          <w:b w:val="false"/>
          <w:bCs w:val="false"/>
          <w:i w:val="false"/>
          <w:iCs w:val="false"/>
          <w:sz w:val="22"/>
          <w:szCs w:val="22"/>
        </w:rPr>
        <w:t xml:space="preserve">Use the temporary password.</w:t>
      </w:r>
    </w:p>
    <w:p>
      <w:pPr>
        <w:spacing w:after="60" w:before="0"/>
      </w:pPr>
      <w:r>
        <w:rPr>
          <w:b w:val="false"/>
          <w:bCs w:val="false"/>
          <w:i w:val="false"/>
          <w:iCs w:val="false"/>
          <w:sz w:val="22"/>
          <w:szCs w:val="22"/>
        </w:rPr>
        <w:t xml:space="preserve">The student may be asked to:</w:t>
      </w:r>
    </w:p>
    <w:p>
      <w:pPr>
        <w:pStyle w:val="ListParagraph"/>
        <w:numPr>
          <w:ilvl w:val="0"/>
          <w:numId w:val="1"/>
        </w:numPr>
        <w:spacing w:after="80"/>
      </w:pPr>
      <w:r>
        <w:rPr>
          <w:sz w:val="22"/>
          <w:szCs w:val="22"/>
        </w:rPr>
        <w:t xml:space="preserve">Change password</w:t>
      </w:r>
    </w:p>
    <w:p>
      <w:pPr>
        <w:pStyle w:val="ListParagraph"/>
        <w:numPr>
          <w:ilvl w:val="0"/>
          <w:numId w:val="1"/>
        </w:numPr>
        <w:spacing w:after="80"/>
      </w:pPr>
      <w:r>
        <w:rPr>
          <w:sz w:val="22"/>
          <w:szCs w:val="22"/>
        </w:rPr>
        <w:t xml:space="preserve">Register MFA</w:t>
      </w:r>
    </w:p>
    <w:p>
      <w:pPr>
        <w:pStyle w:val="ListParagraph"/>
        <w:numPr>
          <w:ilvl w:val="0"/>
          <w:numId w:val="1"/>
        </w:numPr>
        <w:spacing w:after="80"/>
      </w:pPr>
      <w:r>
        <w:rPr>
          <w:sz w:val="22"/>
          <w:szCs w:val="22"/>
        </w:rPr>
        <w:t xml:space="preserve">Accept security information</w:t>
      </w:r>
    </w:p>
    <w:p>
      <w:pPr>
        <w:spacing w:after="160" w:before="60"/>
      </w:pPr>
      <w:r>
        <w:rPr>
          <w:b w:val="false"/>
          <w:bCs w:val="false"/>
          <w:i w:val="false"/>
          <w:iCs w:val="false"/>
          <w:sz w:val="22"/>
          <w:szCs w:val="22"/>
        </w:rPr>
        <w:t xml:space="preserve">depending on your tenant/security policies.</w:t>
      </w:r>
    </w:p>
    <w:p>
      <w:pPr>
        <w:spacing w:after="160" w:before="0"/>
      </w:pPr>
      <w:r>
        <w:rPr>
          <w:b w:val="false"/>
          <w:bCs w:val="false"/>
          <w:i w:val="false"/>
          <w:iCs w:val="false"/>
          <w:sz w:val="22"/>
          <w:szCs w:val="22"/>
        </w:rPr>
        <w:t xml:space="preserve">At this stage, the student can authenticate, but will probably not yet have access to Azure resources. That is expected.</w:t>
      </w:r>
    </w:p>
    <w:p>
      <w:pPr>
        <w:pBdr>
          <w:bottom w:val="single" w:color="AAAAAA" w:sz="6" w:space="1"/>
        </w:pBdr>
        <w:spacing w:after="200" w:before="200"/>
      </w:pPr>
    </w:p>
    <w:p>
      <w:pPr>
        <w:pStyle w:val="Heading1"/>
        <w:spacing w:after="160" w:before="320"/>
      </w:pPr>
      <w:r>
        <w:t xml:space="preserve">Step 7 — Create all 14 students using Bulk Create</w:t>
      </w:r>
    </w:p>
    <w:p>
      <w:pPr>
        <w:spacing w:after="160" w:before="0"/>
      </w:pPr>
      <w:r>
        <w:rPr>
          <w:b w:val="false"/>
          <w:bCs w:val="false"/>
          <w:i w:val="false"/>
          <w:iCs w:val="false"/>
          <w:sz w:val="22"/>
          <w:szCs w:val="22"/>
        </w:rPr>
        <w:t xml:space="preserve">For 14 users, bulk creation is much faster than manually creating all of them.</w:t>
      </w:r>
    </w:p>
    <w:p>
      <w:pPr>
        <w:spacing w:after="60" w:before="0"/>
      </w:pPr>
      <w:r>
        <w:rPr>
          <w:b w:val="false"/>
          <w:bCs w:val="false"/>
          <w:i w:val="false"/>
          <w:iCs w:val="false"/>
          <w:sz w:val="22"/>
          <w:szCs w:val="22"/>
        </w:rPr>
        <w:t xml:space="preserve">Microsoft Entra supports bulk creation through:</w:t>
      </w:r>
    </w:p>
    <w:p>
      <w:pPr>
        <w:spacing w:after="160"/>
      </w:pPr>
      <w:r>
        <w:rPr>
          <w:b/>
          <w:bCs/>
          <w:color w:val="1F4E78"/>
          <w:sz w:val="22"/>
          <w:szCs w:val="22"/>
        </w:rPr>
        <w:t xml:space="preserve">Entra ID  →  Users  →  Bulk create</w:t>
      </w:r>
    </w:p>
    <w:p>
      <w:pPr>
        <w:spacing w:after="160" w:before="0"/>
      </w:pPr>
      <w:r>
        <w:rPr>
          <w:b w:val="false"/>
          <w:bCs w:val="false"/>
          <w:i w:val="false"/>
          <w:iCs w:val="false"/>
          <w:sz w:val="22"/>
          <w:szCs w:val="22"/>
        </w:rPr>
        <w:t xml:space="preserve">and Microsoft currently requires at least the User Administrator role for bulk user creation.</w:t>
      </w:r>
    </w:p>
    <w:p>
      <w:pPr>
        <w:spacing w:after="60" w:before="160"/>
      </w:pPr>
      <w:r>
        <w:rPr>
          <w:b/>
          <w:bCs/>
          <w:i w:val="false"/>
          <w:iCs w:val="false"/>
          <w:sz w:val="22"/>
          <w:szCs w:val="22"/>
        </w:rPr>
        <w:t xml:space="preserve">Go to:</w:t>
      </w:r>
    </w:p>
    <w:p>
      <w:pPr>
        <w:spacing w:after="160"/>
      </w:pPr>
      <w:r>
        <w:rPr>
          <w:b/>
          <w:bCs/>
          <w:color w:val="1F4E78"/>
          <w:sz w:val="22"/>
          <w:szCs w:val="22"/>
        </w:rPr>
        <w:t xml:space="preserve">Microsoft Entra ID  →  Users  →  Bulk operations  →  Bulk create</w:t>
      </w:r>
    </w:p>
    <w:p>
      <w:pPr>
        <w:spacing w:after="60" w:before="0"/>
      </w:pPr>
      <w:r>
        <w:rPr>
          <w:b w:val="false"/>
          <w:bCs w:val="false"/>
          <w:i w:val="false"/>
          <w:iCs w:val="false"/>
          <w:sz w:val="22"/>
          <w:szCs w:val="22"/>
        </w:rPr>
        <w:t xml:space="preserve">Depending on the portal view, it may simply show:</w:t>
      </w:r>
    </w:p>
    <w:p>
      <w:pPr>
        <w:spacing w:after="160"/>
      </w:pPr>
      <w:r>
        <w:rPr>
          <w:b/>
          <w:bCs/>
          <w:color w:val="1F4E78"/>
          <w:sz w:val="22"/>
          <w:szCs w:val="22"/>
        </w:rPr>
        <w:t xml:space="preserve">Users  →  Bulk create</w:t>
      </w:r>
    </w:p>
    <w:p>
      <w:pPr>
        <w:spacing w:after="160" w:before="0"/>
      </w:pPr>
      <w:r>
        <w:rPr>
          <w:b w:val="false"/>
          <w:bCs w:val="false"/>
          <w:i w:val="false"/>
          <w:iCs w:val="false"/>
          <w:sz w:val="22"/>
          <w:szCs w:val="22"/>
        </w:rPr>
        <w:t xml:space="preserve">Download the CSV template.</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The downloaded CSV template now starts with a required first row containing the template version (for example version:v1.0). Keep that row exactly as downloaded — don't delete or edit it — and add your student rows starting from row 4. Removing or altering it will cause the upload to fail validation.</w:t>
            </w:r>
          </w:p>
        </w:tc>
      </w:tr>
    </w:tbl>
    <w:p>
      <w:pPr>
        <w:spacing w:after="60" w:before="160"/>
      </w:pPr>
      <w:r>
        <w:rPr>
          <w:b w:val="false"/>
          <w:bCs w:val="false"/>
          <w:i w:val="false"/>
          <w:iCs w:val="false"/>
          <w:sz w:val="22"/>
          <w:szCs w:val="22"/>
        </w:rPr>
        <w:t xml:space="preserve">Microsoft says the first four fields are required:</w:t>
      </w:r>
    </w:p>
    <w:p>
      <w:pPr>
        <w:pStyle w:val="ListParagraph"/>
        <w:numPr>
          <w:ilvl w:val="0"/>
          <w:numId w:val="1"/>
        </w:numPr>
        <w:spacing w:after="80"/>
      </w:pPr>
      <w:r>
        <w:rPr>
          <w:sz w:val="22"/>
          <w:szCs w:val="22"/>
        </w:rPr>
        <w:t xml:space="preserve">Name</w:t>
      </w:r>
    </w:p>
    <w:p>
      <w:pPr>
        <w:pStyle w:val="ListParagraph"/>
        <w:numPr>
          <w:ilvl w:val="0"/>
          <w:numId w:val="1"/>
        </w:numPr>
        <w:spacing w:after="80"/>
      </w:pPr>
      <w:r>
        <w:rPr>
          <w:sz w:val="22"/>
          <w:szCs w:val="22"/>
        </w:rPr>
        <w:t xml:space="preserve">User principal name</w:t>
      </w:r>
    </w:p>
    <w:p>
      <w:pPr>
        <w:pStyle w:val="ListParagraph"/>
        <w:numPr>
          <w:ilvl w:val="0"/>
          <w:numId w:val="1"/>
        </w:numPr>
        <w:spacing w:after="80"/>
      </w:pPr>
      <w:r>
        <w:rPr>
          <w:sz w:val="22"/>
          <w:szCs w:val="22"/>
        </w:rPr>
        <w:t xml:space="preserve">Initial password</w:t>
      </w:r>
    </w:p>
    <w:p>
      <w:pPr>
        <w:pStyle w:val="ListParagraph"/>
        <w:numPr>
          <w:ilvl w:val="0"/>
          <w:numId w:val="1"/>
        </w:numPr>
        <w:spacing w:after="80"/>
      </w:pPr>
      <w:r>
        <w:rPr>
          <w:sz w:val="22"/>
          <w:szCs w:val="22"/>
        </w:rPr>
        <w:t xml:space="preserve">Block sign in</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7 — "Bulk create" page with the Download template button and Upload panel</w:t>
            </w:r>
          </w:p>
        </w:tc>
      </w:tr>
    </w:tbl>
    <w:p>
      <w:pPr>
        <w:pBdr>
          <w:bottom w:val="single" w:color="AAAAAA" w:sz="6" w:space="1"/>
        </w:pBdr>
        <w:spacing w:after="200" w:before="200"/>
      </w:pPr>
    </w:p>
    <w:p>
      <w:pPr>
        <w:pStyle w:val="Heading1"/>
        <w:spacing w:after="160" w:before="320"/>
      </w:pPr>
      <w:r>
        <w:t xml:space="preserve">Step 8 — Prepare the 14-student CSV</w:t>
      </w:r>
    </w:p>
    <w:p>
      <w:pPr>
        <w:spacing w:after="160" w:before="0"/>
      </w:pPr>
      <w:r>
        <w:rPr>
          <w:b w:val="false"/>
          <w:bCs w:val="false"/>
          <w:i w:val="false"/>
          <w:iCs w:val="false"/>
          <w:sz w:val="22"/>
          <w:szCs w:val="22"/>
        </w:rPr>
        <w:t xml:space="preserve">Your CSV could conceptually look like this (columns: Name, User principal name, Initial password, Block sign in):</w:t>
      </w:r>
    </w:p>
    <w:p>
      <w:pPr>
        <w:spacing w:after="40" w:before="0"/>
      </w:pPr>
      <w:r>
        <w:rPr>
          <w:b w:val="false"/>
          <w:bCs w:val="false"/>
          <w:i w:val="false"/>
          <w:iCs w:val="false"/>
          <w:sz w:val="20"/>
          <w:szCs w:val="20"/>
        </w:rPr>
        <w:t xml:space="preserve">Student 01,student01@cloudgenaitraining26.onmicrosoft.com,Temp@Azure2601,No</w:t>
      </w:r>
    </w:p>
    <w:p>
      <w:pPr>
        <w:spacing w:after="40" w:before="0"/>
      </w:pPr>
      <w:r>
        <w:rPr>
          <w:b w:val="false"/>
          <w:bCs w:val="false"/>
          <w:i w:val="false"/>
          <w:iCs w:val="false"/>
          <w:sz w:val="20"/>
          <w:szCs w:val="20"/>
        </w:rPr>
        <w:t xml:space="preserve">Student 02,student02@cloudgenaitraining26.onmicrosoft.com,Temp@Azure2602,No</w:t>
      </w:r>
    </w:p>
    <w:p>
      <w:pPr>
        <w:spacing w:after="40" w:before="0"/>
      </w:pPr>
      <w:r>
        <w:rPr>
          <w:b w:val="false"/>
          <w:bCs w:val="false"/>
          <w:i w:val="false"/>
          <w:iCs w:val="false"/>
          <w:sz w:val="20"/>
          <w:szCs w:val="20"/>
        </w:rPr>
        <w:t xml:space="preserve">Student 03,student03@cloudgenaitraining26.onmicrosoft.com,Temp@Azure2603,No</w:t>
      </w:r>
    </w:p>
    <w:p>
      <w:pPr>
        <w:spacing w:after="40" w:before="0"/>
      </w:pPr>
      <w:r>
        <w:rPr>
          <w:b w:val="false"/>
          <w:bCs w:val="false"/>
          <w:i w:val="false"/>
          <w:iCs w:val="false"/>
          <w:sz w:val="20"/>
          <w:szCs w:val="20"/>
        </w:rPr>
        <w:t xml:space="preserve">Student 04,student04@cloudgenaitraining26.onmicrosoft.com,Temp@Azure2604,No</w:t>
      </w:r>
    </w:p>
    <w:p>
      <w:pPr>
        <w:spacing w:after="40" w:before="0"/>
      </w:pPr>
      <w:r>
        <w:rPr>
          <w:b w:val="false"/>
          <w:bCs w:val="false"/>
          <w:i w:val="false"/>
          <w:iCs w:val="false"/>
          <w:sz w:val="20"/>
          <w:szCs w:val="20"/>
        </w:rPr>
        <w:t xml:space="preserve">Student 05,student05@cloudgenaitraining26.onmicrosoft.com,Temp@Azure2605,No</w:t>
      </w:r>
    </w:p>
    <w:p>
      <w:pPr>
        <w:spacing w:after="40" w:before="0"/>
      </w:pPr>
      <w:r>
        <w:rPr>
          <w:b w:val="false"/>
          <w:bCs w:val="false"/>
          <w:i w:val="false"/>
          <w:iCs w:val="false"/>
          <w:sz w:val="20"/>
          <w:szCs w:val="20"/>
        </w:rPr>
        <w:t xml:space="preserve">Student 06,student06@cloudgenaitraining26.onmicrosoft.com,Temp@Azure2606,No</w:t>
      </w:r>
    </w:p>
    <w:p>
      <w:pPr>
        <w:spacing w:after="40" w:before="0"/>
      </w:pPr>
      <w:r>
        <w:rPr>
          <w:b w:val="false"/>
          <w:bCs w:val="false"/>
          <w:i w:val="false"/>
          <w:iCs w:val="false"/>
          <w:sz w:val="20"/>
          <w:szCs w:val="20"/>
        </w:rPr>
        <w:t xml:space="preserve">Student 07,student07@cloudgenaitraining26.onmicrosoft.com,Temp@Azure2607,No</w:t>
      </w:r>
    </w:p>
    <w:p>
      <w:pPr>
        <w:spacing w:after="40" w:before="0"/>
      </w:pPr>
      <w:r>
        <w:rPr>
          <w:b w:val="false"/>
          <w:bCs w:val="false"/>
          <w:i w:val="false"/>
          <w:iCs w:val="false"/>
          <w:sz w:val="20"/>
          <w:szCs w:val="20"/>
        </w:rPr>
        <w:t xml:space="preserve">Student 08,student08@cloudgenaitraining26.onmicrosoft.com,Temp@Azure2608,No</w:t>
      </w:r>
    </w:p>
    <w:p>
      <w:pPr>
        <w:spacing w:after="40" w:before="0"/>
      </w:pPr>
      <w:r>
        <w:rPr>
          <w:b w:val="false"/>
          <w:bCs w:val="false"/>
          <w:i w:val="false"/>
          <w:iCs w:val="false"/>
          <w:sz w:val="20"/>
          <w:szCs w:val="20"/>
        </w:rPr>
        <w:t xml:space="preserve">Student 09,student09@cloudgenaitraining26.onmicrosoft.com,Temp@Azure2609,No</w:t>
      </w:r>
    </w:p>
    <w:p>
      <w:pPr>
        <w:spacing w:after="40" w:before="0"/>
      </w:pPr>
      <w:r>
        <w:rPr>
          <w:b w:val="false"/>
          <w:bCs w:val="false"/>
          <w:i w:val="false"/>
          <w:iCs w:val="false"/>
          <w:sz w:val="20"/>
          <w:szCs w:val="20"/>
        </w:rPr>
        <w:t xml:space="preserve">Student 10,student10@cloudgenaitraining26.onmicrosoft.com,Temp@Azure2610,No</w:t>
      </w:r>
    </w:p>
    <w:p>
      <w:pPr>
        <w:spacing w:after="40" w:before="0"/>
      </w:pPr>
      <w:r>
        <w:rPr>
          <w:b w:val="false"/>
          <w:bCs w:val="false"/>
          <w:i w:val="false"/>
          <w:iCs w:val="false"/>
          <w:sz w:val="20"/>
          <w:szCs w:val="20"/>
        </w:rPr>
        <w:t xml:space="preserve">Student 11,student11@cloudgenaitraining26.onmicrosoft.com,Temp@Azure2611,No</w:t>
      </w:r>
    </w:p>
    <w:p>
      <w:pPr>
        <w:spacing w:after="40" w:before="0"/>
      </w:pPr>
      <w:r>
        <w:rPr>
          <w:b w:val="false"/>
          <w:bCs w:val="false"/>
          <w:i w:val="false"/>
          <w:iCs w:val="false"/>
          <w:sz w:val="20"/>
          <w:szCs w:val="20"/>
        </w:rPr>
        <w:t xml:space="preserve">Student 12,student12@cloudgenaitraining26.onmicrosoft.com,Temp@Azure2612,No</w:t>
      </w:r>
    </w:p>
    <w:p>
      <w:pPr>
        <w:spacing w:after="40" w:before="0"/>
      </w:pPr>
      <w:r>
        <w:rPr>
          <w:b w:val="false"/>
          <w:bCs w:val="false"/>
          <w:i w:val="false"/>
          <w:iCs w:val="false"/>
          <w:sz w:val="20"/>
          <w:szCs w:val="20"/>
        </w:rPr>
        <w:t xml:space="preserve">Student 13,student13@cloudgenaitraining26.onmicrosoft.com,Temp@Azure2613,No</w:t>
      </w:r>
    </w:p>
    <w:p>
      <w:pPr>
        <w:spacing w:after="40" w:before="0"/>
      </w:pPr>
      <w:r>
        <w:rPr>
          <w:b w:val="false"/>
          <w:bCs w:val="false"/>
          <w:i w:val="false"/>
          <w:iCs w:val="false"/>
          <w:sz w:val="20"/>
          <w:szCs w:val="20"/>
        </w:rPr>
        <w:t xml:space="preserve">Student 14,student14@cloudgenaitraining26.onmicrosoft.com,Temp@Azure2614,No</w:t>
      </w:r>
    </w:p>
    <w:p>
      <w:pPr>
        <w:spacing w:after="160" w:before="160"/>
      </w:pPr>
      <w:r>
        <w:rPr>
          <w:b w:val="false"/>
          <w:bCs w:val="false"/>
          <w:i w:val="false"/>
          <w:iCs w:val="false"/>
          <w:sz w:val="22"/>
          <w:szCs w:val="22"/>
        </w:rPr>
        <w:t xml:space="preserve">But important: use Microsoft's downloaded CSV template and preserve the exact column headers (and the version row noted above). Microsoft explicitly warns that the bulk file must match the provided template.</w:t>
      </w:r>
    </w:p>
    <w:p>
      <w:pPr>
        <w:spacing w:after="160" w:before="0"/>
      </w:pPr>
      <w:r>
        <w:rPr>
          <w:b w:val="false"/>
          <w:bCs w:val="false"/>
          <w:i w:val="false"/>
          <w:iCs w:val="false"/>
          <w:sz w:val="22"/>
          <w:szCs w:val="22"/>
        </w:rPr>
        <w:t xml:space="preserve">Also, I would not use the example passwords above in a real class. Generate strong unique temporary passwords and distribute them privately.</w:t>
      </w:r>
    </w:p>
    <w:p>
      <w:pPr>
        <w:pBdr>
          <w:bottom w:val="single" w:color="AAAAAA" w:sz="6" w:space="1"/>
        </w:pBdr>
        <w:spacing w:after="200" w:before="200"/>
      </w:pPr>
    </w:p>
    <w:p>
      <w:pPr>
        <w:pStyle w:val="Heading1"/>
        <w:spacing w:after="160" w:before="320"/>
      </w:pPr>
      <w:r>
        <w:t xml:space="preserve">Step 9 — Upload the CSV</w:t>
      </w:r>
    </w:p>
    <w:p>
      <w:pPr>
        <w:spacing w:after="60" w:before="0"/>
      </w:pPr>
      <w:r>
        <w:rPr>
          <w:b/>
          <w:bCs/>
          <w:i w:val="false"/>
          <w:iCs w:val="false"/>
          <w:sz w:val="22"/>
          <w:szCs w:val="22"/>
        </w:rPr>
        <w:t xml:space="preserve">Go back to:</w:t>
      </w:r>
    </w:p>
    <w:p>
      <w:pPr>
        <w:spacing w:after="160"/>
      </w:pPr>
      <w:r>
        <w:rPr>
          <w:b/>
          <w:bCs/>
          <w:color w:val="1F4E78"/>
          <w:sz w:val="22"/>
          <w:szCs w:val="22"/>
        </w:rPr>
        <w:t xml:space="preserve">Microsoft Entra ID  →  Users  →  Bulk create</w:t>
      </w:r>
    </w:p>
    <w:p>
      <w:pPr>
        <w:spacing w:after="160" w:before="0"/>
      </w:pPr>
      <w:r>
        <w:rPr>
          <w:b w:val="false"/>
          <w:bCs w:val="false"/>
          <w:i w:val="false"/>
          <w:iCs w:val="false"/>
          <w:sz w:val="22"/>
          <w:szCs w:val="22"/>
        </w:rPr>
        <w:t xml:space="preserve">Upload the CSV. Wait for: File uploaded successfully</w:t>
      </w:r>
    </w:p>
    <w:p>
      <w:pPr>
        <w:spacing w:after="160" w:before="0"/>
      </w:pPr>
      <w:r>
        <w:rPr>
          <w:b w:val="false"/>
          <w:bCs w:val="false"/>
          <w:i w:val="false"/>
          <w:iCs w:val="false"/>
          <w:sz w:val="22"/>
          <w:szCs w:val="22"/>
        </w:rPr>
        <w:t xml:space="preserve">Then: Submit</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9 — Bulk create job status showing "File uploaded successfully" / job progress</w:t>
            </w:r>
          </w:p>
        </w:tc>
      </w:tr>
    </w:tbl>
    <w:p>
      <w:pPr>
        <w:spacing w:after="60" w:before="160"/>
      </w:pPr>
      <w:r>
        <w:rPr>
          <w:b/>
          <w:bCs/>
          <w:i w:val="false"/>
          <w:iCs w:val="false"/>
          <w:sz w:val="22"/>
          <w:szCs w:val="22"/>
        </w:rPr>
        <w:t xml:space="preserve">After completion:</w:t>
      </w:r>
    </w:p>
    <w:p>
      <w:pPr>
        <w:spacing w:after="160"/>
      </w:pPr>
      <w:r>
        <w:rPr>
          <w:b/>
          <w:bCs/>
          <w:color w:val="1F4E78"/>
          <w:sz w:val="22"/>
          <w:szCs w:val="22"/>
        </w:rPr>
        <w:t xml:space="preserve">Microsoft Entra ID  →  Users  →  All users</w:t>
      </w:r>
    </w:p>
    <w:p>
      <w:pPr>
        <w:spacing w:after="160" w:before="0"/>
      </w:pPr>
      <w:r>
        <w:rPr>
          <w:b w:val="false"/>
          <w:bCs w:val="false"/>
          <w:i w:val="false"/>
          <w:iCs w:val="false"/>
          <w:sz w:val="22"/>
          <w:szCs w:val="22"/>
        </w:rPr>
        <w:t xml:space="preserve">Verify: Student 01 … Student 14</w:t>
      </w:r>
    </w:p>
    <w:p>
      <w:pPr>
        <w:spacing w:after="160" w:before="0"/>
      </w:pPr>
      <w:r>
        <w:rPr>
          <w:b w:val="false"/>
          <w:bCs w:val="false"/>
          <w:i w:val="false"/>
          <w:iCs w:val="false"/>
          <w:sz w:val="22"/>
          <w:szCs w:val="22"/>
        </w:rPr>
        <w:t xml:space="preserve">Microsoft notes that bulk-created internal users do not automatically receive invitation emails, so you need to share credentials yourself.</w:t>
      </w:r>
    </w:p>
    <w:p>
      <w:pPr>
        <w:pBdr>
          <w:bottom w:val="single" w:color="AAAAAA" w:sz="6" w:space="1"/>
        </w:pBdr>
        <w:spacing w:after="200" w:before="200"/>
      </w:pPr>
    </w:p>
    <w:p>
      <w:pPr>
        <w:pStyle w:val="Heading1"/>
        <w:spacing w:after="160" w:before="320"/>
      </w:pPr>
      <w:r>
        <w:t xml:space="preserve">Step 10 — Make the Azure subscription available in this tenant</w:t>
      </w:r>
    </w:p>
    <w:p>
      <w:pPr>
        <w:spacing w:after="160" w:before="0"/>
      </w:pPr>
      <w:r>
        <w:rPr>
          <w:b w:val="false"/>
          <w:bCs w:val="false"/>
          <w:i w:val="false"/>
          <w:iCs w:val="false"/>
          <w:sz w:val="22"/>
          <w:szCs w:val="22"/>
        </w:rPr>
        <w:t xml:space="preserve">This is the part that often causes confusion. You need:</w:t>
      </w:r>
    </w:p>
    <w:p>
      <w:pPr>
        <w:spacing w:after="160" w:before="0"/>
      </w:pPr>
      <w:r>
        <w:rPr>
          <w:b/>
          <w:bCs/>
          <w:i w:val="false"/>
          <w:iCs w:val="false"/>
          <w:sz w:val="22"/>
          <w:szCs w:val="22"/>
        </w:rPr>
        <w:t xml:space="preserve">Training Tenant → Azure Subscription</w:t>
      </w:r>
    </w:p>
    <w:p>
      <w:pPr>
        <w:spacing w:after="160" w:before="0"/>
      </w:pPr>
      <w:r>
        <w:rPr>
          <w:b w:val="false"/>
          <w:bCs w:val="false"/>
          <w:i w:val="false"/>
          <w:iCs w:val="false"/>
          <w:sz w:val="22"/>
          <w:szCs w:val="22"/>
        </w:rPr>
        <w:t xml:space="preserve">If the subscription is already associated with this new tenant, great.</w:t>
      </w:r>
    </w:p>
    <w:p>
      <w:pPr>
        <w:spacing w:after="60" w:before="0"/>
      </w:pPr>
      <w:r>
        <w:rPr>
          <w:b/>
          <w:bCs/>
          <w:i w:val="false"/>
          <w:iCs w:val="false"/>
          <w:sz w:val="22"/>
          <w:szCs w:val="22"/>
        </w:rPr>
        <w:t xml:space="preserve">Go to:</w:t>
      </w:r>
    </w:p>
    <w:p>
      <w:pPr>
        <w:spacing w:after="160"/>
      </w:pPr>
      <w:r>
        <w:rPr>
          <w:b/>
          <w:bCs/>
          <w:color w:val="1F4E78"/>
          <w:sz w:val="22"/>
          <w:szCs w:val="22"/>
        </w:rPr>
        <w:t xml:space="preserve">Azure Portal  →  Subscriptions</w:t>
      </w:r>
    </w:p>
    <w:p>
      <w:pPr>
        <w:spacing w:after="160" w:before="0"/>
      </w:pPr>
      <w:r>
        <w:rPr>
          <w:b w:val="false"/>
          <w:bCs w:val="false"/>
          <w:i w:val="false"/>
          <w:iCs w:val="false"/>
          <w:sz w:val="22"/>
          <w:szCs w:val="22"/>
        </w:rPr>
        <w:t xml:space="preserve">Check whether your subscription is visible.</w:t>
      </w:r>
    </w:p>
    <w:p>
      <w:pPr>
        <w:spacing w:after="160" w:before="0"/>
      </w:pPr>
      <w:r>
        <w:rPr>
          <w:b w:val="false"/>
          <w:bCs w:val="false"/>
          <w:i w:val="false"/>
          <w:iCs w:val="false"/>
          <w:sz w:val="22"/>
          <w:szCs w:val="22"/>
        </w:rPr>
        <w:t xml:space="preserve">If the subscription is still associated with another directory, you may need to change the subscription's directory/tenant. Be careful here because changing directories can affect RBAC assignments and service identities.</w:t>
      </w:r>
    </w:p>
    <w:p>
      <w:pPr>
        <w:spacing w:after="160" w:before="0"/>
      </w:pPr>
      <w:r>
        <w:rPr>
          <w:b w:val="false"/>
          <w:bCs w:val="false"/>
          <w:i w:val="false"/>
          <w:iCs w:val="false"/>
          <w:sz w:val="22"/>
          <w:szCs w:val="22"/>
        </w:rPr>
        <w:t xml:space="preserve">For your training environment, confirm this before creating resources.</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10 — Subscriptions blade confirming the training subscription's Directory = your new tenant</w:t>
            </w:r>
          </w:p>
        </w:tc>
      </w:tr>
    </w:tbl>
    <w:p>
      <w:pPr>
        <w:spacing w:after="160" w:before="160"/>
      </w:pPr>
      <w:r>
        <w:rPr>
          <w:b w:val="false"/>
          <w:bCs w:val="false"/>
          <w:i w:val="false"/>
          <w:iCs w:val="false"/>
          <w:sz w:val="22"/>
          <w:szCs w:val="22"/>
        </w:rPr>
        <w:t xml:space="preserve">The end result should be:</w:t>
      </w:r>
    </w:p>
    <w:p>
      <w:pPr>
        <w:spacing w:after="160" w:before="0"/>
      </w:pPr>
      <w:r>
        <w:rPr>
          <w:b/>
          <w:bCs/>
          <w:i w:val="false"/>
          <w:iCs w:val="false"/>
          <w:sz w:val="22"/>
          <w:szCs w:val="22"/>
        </w:rPr>
        <w:t xml:space="preserve">cloudgenaitraining26.onmicrosoft.com → Training Subscription</w:t>
      </w:r>
    </w:p>
    <w:p>
      <w:pPr>
        <w:pBdr>
          <w:bottom w:val="single" w:color="AAAAAA" w:sz="6" w:space="1"/>
        </w:pBdr>
        <w:spacing w:after="200" w:before="200"/>
      </w:pPr>
    </w:p>
    <w:p>
      <w:pPr>
        <w:pStyle w:val="Heading1"/>
        <w:spacing w:after="160" w:before="320"/>
      </w:pPr>
      <w:r>
        <w:t xml:space="preserve">Step 11 — Create 14 Resource Groups</w:t>
      </w:r>
    </w:p>
    <w:p>
      <w:pPr>
        <w:spacing w:after="160" w:before="0"/>
      </w:pPr>
      <w:r>
        <w:rPr>
          <w:b w:val="false"/>
          <w:bCs w:val="false"/>
          <w:i w:val="false"/>
          <w:iCs w:val="false"/>
          <w:sz w:val="22"/>
          <w:szCs w:val="22"/>
        </w:rPr>
        <w:t xml:space="preserve">Now create one Resource Group per student. Use:</w:t>
      </w:r>
    </w:p>
    <w:p>
      <w:pPr>
        <w:spacing w:after="0" w:before="0"/>
      </w:pPr>
      <w:r>
        <w:rPr>
          <w:b w:val="false"/>
          <w:bCs w:val="false"/>
          <w:i w:val="false"/>
          <w:iCs w:val="false"/>
          <w:sz w:val="22"/>
          <w:szCs w:val="22"/>
        </w:rPr>
        <w:t xml:space="preserve">rg-cdg-s01</w:t>
      </w:r>
    </w:p>
    <w:p>
      <w:pPr>
        <w:spacing w:after="0" w:before="0"/>
      </w:pPr>
      <w:r>
        <w:rPr>
          <w:b w:val="false"/>
          <w:bCs w:val="false"/>
          <w:i w:val="false"/>
          <w:iCs w:val="false"/>
          <w:sz w:val="22"/>
          <w:szCs w:val="22"/>
        </w:rPr>
        <w:t xml:space="preserve">rg-cdg-s02</w:t>
      </w:r>
    </w:p>
    <w:p>
      <w:pPr>
        <w:spacing w:after="0" w:before="0"/>
      </w:pPr>
      <w:r>
        <w:rPr>
          <w:b w:val="false"/>
          <w:bCs w:val="false"/>
          <w:i w:val="false"/>
          <w:iCs w:val="false"/>
          <w:sz w:val="22"/>
          <w:szCs w:val="22"/>
        </w:rPr>
        <w:t xml:space="preserve">rg-cdg-s03</w:t>
      </w:r>
    </w:p>
    <w:p>
      <w:pPr>
        <w:spacing w:after="0" w:before="0"/>
      </w:pPr>
      <w:r>
        <w:rPr>
          <w:b w:val="false"/>
          <w:bCs w:val="false"/>
          <w:i w:val="false"/>
          <w:iCs w:val="false"/>
          <w:sz w:val="22"/>
          <w:szCs w:val="22"/>
        </w:rPr>
        <w:t xml:space="preserve">…</w:t>
      </w:r>
    </w:p>
    <w:p>
      <w:pPr>
        <w:spacing w:after="0" w:before="0"/>
      </w:pPr>
      <w:r>
        <w:rPr>
          <w:b w:val="false"/>
          <w:bCs w:val="false"/>
          <w:i w:val="false"/>
          <w:iCs w:val="false"/>
          <w:sz w:val="22"/>
          <w:szCs w:val="22"/>
        </w:rPr>
        <w:t xml:space="preserve">rg-cdg-s14</w:t>
      </w:r>
    </w:p>
    <w:p>
      <w:pPr>
        <w:spacing w:after="160" w:before="160"/>
      </w:pPr>
      <w:r>
        <w:rPr>
          <w:b w:val="false"/>
          <w:bCs w:val="false"/>
          <w:i w:val="false"/>
          <w:iCs w:val="false"/>
          <w:sz w:val="22"/>
          <w:szCs w:val="22"/>
        </w:rPr>
        <w:t xml:space="preserve">I recommend not putting day01 in the RG name if you plan to use the same student RG across the full training. For example, inside rg-cdg-s01 later: Day 1 resources, Day 2 resources, Storage, VMs, App Service, etc.</w:t>
      </w:r>
    </w:p>
    <w:p>
      <w:pPr>
        <w:spacing w:after="160" w:before="0"/>
      </w:pPr>
      <w:r>
        <w:rPr>
          <w:b w:val="false"/>
          <w:bCs w:val="false"/>
          <w:i w:val="false"/>
          <w:iCs w:val="false"/>
          <w:sz w:val="22"/>
          <w:szCs w:val="22"/>
        </w:rPr>
        <w:t xml:space="preserve">This is easier to manage than creating 14 new RGs every single day.</w:t>
      </w:r>
    </w:p>
    <w:p>
      <w:pPr>
        <w:pBdr>
          <w:bottom w:val="single" w:color="AAAAAA" w:sz="6" w:space="1"/>
        </w:pBdr>
        <w:spacing w:after="200" w:before="200"/>
      </w:pPr>
    </w:p>
    <w:p>
      <w:pPr>
        <w:pStyle w:val="Heading1"/>
        <w:spacing w:after="160" w:before="320"/>
      </w:pPr>
      <w:r>
        <w:t xml:space="preserve">Step 12 — Create Resource Groups from the Portal</w:t>
      </w:r>
    </w:p>
    <w:p>
      <w:pPr>
        <w:spacing w:after="60" w:before="0"/>
      </w:pPr>
      <w:r>
        <w:rPr>
          <w:b/>
          <w:bCs/>
          <w:i w:val="false"/>
          <w:iCs w:val="false"/>
          <w:sz w:val="22"/>
          <w:szCs w:val="22"/>
        </w:rPr>
        <w:t xml:space="preserve">Go to:</w:t>
      </w:r>
    </w:p>
    <w:p>
      <w:pPr>
        <w:spacing w:after="160"/>
      </w:pPr>
      <w:r>
        <w:rPr>
          <w:b/>
          <w:bCs/>
          <w:color w:val="1F4E78"/>
          <w:sz w:val="22"/>
          <w:szCs w:val="22"/>
        </w:rPr>
        <w:t xml:space="preserve">Azure Portal  →  Resource Groups  →  Create</w:t>
      </w:r>
    </w:p>
    <w:p>
      <w:pPr>
        <w:spacing w:after="60" w:before="120"/>
      </w:pPr>
      <w:r>
        <w:rPr>
          <w:b/>
          <w:bCs/>
          <w:i w:val="false"/>
          <w:iCs w:val="false"/>
          <w:sz w:val="22"/>
          <w:szCs w:val="22"/>
        </w:rPr>
        <w:t xml:space="preserve">Select:</w:t>
      </w:r>
    </w:p>
    <w:p>
      <w:pPr>
        <w:spacing w:after="0" w:before="0"/>
      </w:pPr>
      <w:r>
        <w:rPr>
          <w:b w:val="false"/>
          <w:bCs w:val="false"/>
          <w:i w:val="false"/>
          <w:iCs w:val="false"/>
          <w:sz w:val="22"/>
          <w:szCs w:val="22"/>
        </w:rPr>
        <w:t xml:space="preserve">Subscription: Your Training Subscription</w:t>
      </w:r>
    </w:p>
    <w:p>
      <w:pPr>
        <w:spacing w:after="0" w:before="0"/>
      </w:pPr>
      <w:r>
        <w:rPr>
          <w:b w:val="false"/>
          <w:bCs w:val="false"/>
          <w:i w:val="false"/>
          <w:iCs w:val="false"/>
          <w:sz w:val="22"/>
          <w:szCs w:val="22"/>
        </w:rPr>
        <w:t xml:space="preserve">Resource Group: rg-cdg-s01</w:t>
      </w:r>
    </w:p>
    <w:p>
      <w:pPr>
        <w:spacing w:after="160" w:before="0"/>
      </w:pPr>
      <w:r>
        <w:rPr>
          <w:b w:val="false"/>
          <w:bCs w:val="false"/>
          <w:i w:val="false"/>
          <w:iCs w:val="false"/>
          <w:sz w:val="22"/>
          <w:szCs w:val="22"/>
        </w:rPr>
        <w:t xml:space="preserve">Region: Central India</w:t>
      </w:r>
    </w:p>
    <w:p>
      <w:pPr>
        <w:spacing w:after="160" w:before="0"/>
      </w:pPr>
      <w:r>
        <w:rPr>
          <w:b w:val="false"/>
          <w:bCs w:val="false"/>
          <w:i w:val="false"/>
          <w:iCs w:val="false"/>
          <w:sz w:val="22"/>
          <w:szCs w:val="22"/>
        </w:rPr>
        <w:t xml:space="preserve">Then: Review + Create → Create</w:t>
      </w:r>
    </w:p>
    <w:p>
      <w:pPr>
        <w:spacing w:after="160" w:before="0"/>
      </w:pPr>
      <w:r>
        <w:rPr>
          <w:b w:val="false"/>
          <w:bCs w:val="false"/>
          <w:i w:val="false"/>
          <w:iCs w:val="false"/>
          <w:sz w:val="22"/>
          <w:szCs w:val="22"/>
        </w:rPr>
        <w:t xml:space="preserve">Repeat through rg-cdg-s14.</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12 — "Create a resource group" blade with subscription, name, and region filled in</w:t>
            </w:r>
          </w:p>
        </w:tc>
      </w:tr>
    </w:tbl>
    <w:p>
      <w:pPr>
        <w:pBdr>
          <w:bottom w:val="single" w:color="AAAAAA" w:sz="6" w:space="1"/>
        </w:pBdr>
        <w:spacing w:after="200" w:before="200"/>
      </w:pPr>
    </w:p>
    <w:p>
      <w:pPr>
        <w:pStyle w:val="Heading1"/>
        <w:spacing w:after="160" w:before="320"/>
      </w:pPr>
      <w:r>
        <w:t xml:space="preserve">Step 13 — Faster method: create all 14 with Azure CLI</w:t>
      </w:r>
    </w:p>
    <w:p>
      <w:pPr>
        <w:spacing w:after="160" w:before="0"/>
      </w:pPr>
      <w:r>
        <w:rPr>
          <w:b w:val="false"/>
          <w:bCs w:val="false"/>
          <w:i w:val="false"/>
          <w:iCs w:val="false"/>
          <w:sz w:val="22"/>
          <w:szCs w:val="22"/>
        </w:rPr>
        <w:t xml:space="preserve">You can use Cloud Shell. Example:</w:t>
      </w:r>
    </w:p>
    <w:p>
      <w:pPr>
        <w:spacing w:after="0" w:before="0"/>
      </w:pPr>
      <w:r>
        <w:rPr>
          <w:b w:val="false"/>
          <w:bCs w:val="false"/>
          <w:i w:val="false"/>
          <w:iCs w:val="false"/>
          <w:sz w:val="20"/>
          <w:szCs w:val="20"/>
        </w:rPr>
        <w:t xml:space="preserve">for i in $(seq -w 1 14)</w:t>
      </w:r>
    </w:p>
    <w:p>
      <w:pPr>
        <w:spacing w:after="0" w:before="0"/>
      </w:pPr>
      <w:r>
        <w:rPr>
          <w:b w:val="false"/>
          <w:bCs w:val="false"/>
          <w:i w:val="false"/>
          <w:iCs w:val="false"/>
          <w:sz w:val="20"/>
          <w:szCs w:val="20"/>
        </w:rPr>
        <w:t xml:space="preserve">do</w:t>
      </w:r>
    </w:p>
    <w:p>
      <w:pPr>
        <w:spacing w:after="0" w:before="0"/>
      </w:pPr>
      <w:r>
        <w:rPr>
          <w:b w:val="false"/>
          <w:bCs w:val="false"/>
          <w:i w:val="false"/>
          <w:iCs w:val="false"/>
          <w:sz w:val="20"/>
          <w:szCs w:val="20"/>
        </w:rPr>
        <w:t xml:space="preserve">  az group create --name rg-cdg-s$i --location centralindia</w:t>
      </w:r>
    </w:p>
    <w:p>
      <w:pPr>
        <w:spacing w:after="160" w:before="0"/>
      </w:pPr>
      <w:r>
        <w:rPr>
          <w:b w:val="false"/>
          <w:bCs w:val="false"/>
          <w:i w:val="false"/>
          <w:iCs w:val="false"/>
          <w:sz w:val="20"/>
          <w:szCs w:val="20"/>
        </w:rPr>
        <w:t xml:space="preserve">done</w:t>
      </w:r>
    </w:p>
    <w:p>
      <w:pPr>
        <w:spacing w:after="160" w:before="0"/>
      </w:pPr>
      <w:r>
        <w:rPr>
          <w:b w:val="false"/>
          <w:bCs w:val="false"/>
          <w:i w:val="false"/>
          <w:iCs w:val="false"/>
          <w:sz w:val="22"/>
          <w:szCs w:val="22"/>
        </w:rPr>
        <w:t xml:space="preserve">That creates rg-cdg-s01, rg-cdg-s02, … rg-cdg-s14. This saves significant time.</w:t>
      </w:r>
    </w:p>
    <w:p>
      <w:pPr>
        <w:pBdr>
          <w:bottom w:val="single" w:color="AAAAAA" w:sz="6" w:space="1"/>
        </w:pBdr>
        <w:spacing w:after="200" w:before="200"/>
      </w:pPr>
    </w:p>
    <w:p>
      <w:pPr>
        <w:pStyle w:val="Heading1"/>
        <w:spacing w:after="160" w:before="320"/>
      </w:pPr>
      <w:r>
        <w:t xml:space="preserve">Step 14 — Assign Student 01 to Resource Group 01</w:t>
      </w:r>
    </w:p>
    <w:p>
      <w:pPr>
        <w:spacing w:after="60" w:before="0"/>
      </w:pPr>
      <w:r>
        <w:rPr>
          <w:b/>
          <w:bCs/>
          <w:i w:val="false"/>
          <w:iCs w:val="false"/>
          <w:sz w:val="22"/>
          <w:szCs w:val="22"/>
        </w:rPr>
        <w:t xml:space="preserve">Open:</w:t>
      </w:r>
    </w:p>
    <w:p>
      <w:pPr>
        <w:spacing w:after="160"/>
      </w:pPr>
      <w:r>
        <w:rPr>
          <w:b/>
          <w:bCs/>
          <w:color w:val="1F4E78"/>
          <w:sz w:val="22"/>
          <w:szCs w:val="22"/>
        </w:rPr>
        <w:t xml:space="preserve">Resource Groups  →  rg-cdg-s01  →  Access Control (IAM)</w:t>
      </w:r>
    </w:p>
    <w:p>
      <w:pPr>
        <w:spacing w:after="60" w:before="120"/>
      </w:pPr>
      <w:r>
        <w:rPr>
          <w:b/>
          <w:bCs/>
          <w:i w:val="false"/>
          <w:iCs w:val="false"/>
          <w:sz w:val="22"/>
          <w:szCs w:val="22"/>
        </w:rPr>
        <w:t xml:space="preserve">Then:</w:t>
      </w:r>
    </w:p>
    <w:p>
      <w:pPr>
        <w:spacing w:after="160"/>
      </w:pPr>
      <w:r>
        <w:rPr>
          <w:b/>
          <w:bCs/>
          <w:color w:val="1F4E78"/>
          <w:sz w:val="22"/>
          <w:szCs w:val="22"/>
        </w:rPr>
        <w:t xml:space="preserve">Add  →  Add role assignment</w:t>
      </w:r>
    </w:p>
    <w:p>
      <w:pPr>
        <w:spacing w:after="60" w:before="120"/>
      </w:pPr>
      <w:r>
        <w:rPr>
          <w:b/>
          <w:bCs/>
          <w:i w:val="false"/>
          <w:iCs w:val="false"/>
          <w:sz w:val="22"/>
          <w:szCs w:val="22"/>
        </w:rPr>
        <w:t xml:space="preserve">Select role:</w:t>
      </w:r>
    </w:p>
    <w:p>
      <w:pPr>
        <w:spacing w:after="160" w:before="0"/>
      </w:pPr>
      <w:r>
        <w:rPr>
          <w:b w:val="false"/>
          <w:bCs w:val="false"/>
          <w:i w:val="false"/>
          <w:iCs w:val="false"/>
          <w:sz w:val="22"/>
          <w:szCs w:val="22"/>
        </w:rPr>
        <w:t xml:space="preserve">Contributor</w:t>
      </w:r>
    </w:p>
    <w:p>
      <w:pPr>
        <w:spacing w:after="60" w:before="120"/>
      </w:pPr>
      <w:r>
        <w:rPr>
          <w:b/>
          <w:bCs/>
          <w:i w:val="false"/>
          <w:iCs w:val="false"/>
          <w:sz w:val="22"/>
          <w:szCs w:val="22"/>
        </w:rPr>
        <w:t xml:space="preserve">Then:</w:t>
      </w:r>
    </w:p>
    <w:p>
      <w:pPr>
        <w:spacing w:after="160"/>
      </w:pPr>
      <w:r>
        <w:rPr>
          <w:b/>
          <w:bCs/>
          <w:color w:val="1F4E78"/>
          <w:sz w:val="22"/>
          <w:szCs w:val="22"/>
        </w:rPr>
        <w:t xml:space="preserve">Members  →  User, group, or service principal  →  Select members</w:t>
      </w:r>
    </w:p>
    <w:p>
      <w:pPr>
        <w:spacing w:after="160" w:before="120"/>
      </w:pPr>
      <w:r>
        <w:rPr>
          <w:b w:val="false"/>
          <w:bCs w:val="false"/>
          <w:i w:val="false"/>
          <w:iCs w:val="false"/>
          <w:sz w:val="22"/>
          <w:szCs w:val="22"/>
        </w:rPr>
        <w:t xml:space="preserve">Search: student01</w:t>
      </w:r>
    </w:p>
    <w:p>
      <w:pPr>
        <w:spacing w:after="160" w:before="0"/>
      </w:pPr>
      <w:r>
        <w:rPr>
          <w:b w:val="false"/>
          <w:bCs w:val="false"/>
          <w:i w:val="false"/>
          <w:iCs w:val="false"/>
          <w:sz w:val="22"/>
          <w:szCs w:val="22"/>
        </w:rPr>
        <w:t xml:space="preserve">Select: student01@cloudgenaitraining26.onmicrosoft.com</w:t>
      </w:r>
    </w:p>
    <w:p>
      <w:pPr>
        <w:spacing w:after="160" w:before="0"/>
      </w:pPr>
      <w:r>
        <w:rPr>
          <w:b w:val="false"/>
          <w:bCs w:val="false"/>
          <w:i w:val="false"/>
          <w:iCs w:val="false"/>
          <w:sz w:val="22"/>
          <w:szCs w:val="22"/>
        </w:rPr>
        <w:t xml:space="preserve">Then: Review + assign</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14 — Access control (IAM) → Add role assignment blade, with Contributor role and student01 selected as member</w:t>
            </w:r>
          </w:p>
        </w:tc>
      </w:tr>
    </w:tbl>
    <w:p>
      <w:pPr>
        <w:spacing w:after="160" w:before="160"/>
      </w:pPr>
      <w:r>
        <w:rPr>
          <w:b w:val="false"/>
          <w:bCs w:val="false"/>
          <w:i w:val="false"/>
          <w:iCs w:val="false"/>
          <w:sz w:val="22"/>
          <w:szCs w:val="22"/>
        </w:rPr>
        <w:t xml:space="preserve">Microsoft's current RBAC guidance uses exactly this flow: select the target scope, open Access control (IAM), then Add → Add role assignment.</w:t>
      </w:r>
    </w:p>
    <w:p>
      <w:pPr>
        <w:pBdr>
          <w:bottom w:val="single" w:color="AAAAAA" w:sz="6" w:space="1"/>
        </w:pBdr>
        <w:spacing w:after="200" w:before="200"/>
      </w:pPr>
    </w:p>
    <w:p>
      <w:pPr>
        <w:pStyle w:val="Heading1"/>
        <w:spacing w:after="160" w:before="320"/>
      </w:pPr>
      <w:r>
        <w:t xml:space="preserve">Step 15 — Repeat for the 14 students</w:t>
      </w:r>
    </w:p>
    <w:p>
      <w:pPr>
        <w:spacing w:after="160" w:before="0"/>
      </w:pPr>
      <w:r>
        <w:rPr>
          <w:b w:val="false"/>
          <w:bCs w:val="false"/>
          <w:i w:val="false"/>
          <w:iCs w:val="false"/>
          <w:sz w:val="22"/>
          <w:szCs w:val="22"/>
        </w:rPr>
        <w:t xml:space="preserve">Use this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60"/>
              <w:left w:type="dxa" w:w="100"/>
              <w:bottom w:type="dxa" w:w="60"/>
              <w:right w:type="dxa" w:w="100"/>
            </w:tcMar>
          </w:tcPr>
          <w:p>
            <w:r>
              <w:rPr>
                <w:b/>
                <w:bCs/>
                <w:color w:val="FFFFFF"/>
                <w:sz w:val="20"/>
                <w:szCs w:val="20"/>
              </w:rPr>
              <w:t xml:space="preserve">Student</w:t>
            </w:r>
          </w:p>
        </w:tc>
        <w:tc>
          <w:tcPr>
            <w:tcW w:type="dxa" w:w="3000"/>
            <w:shd w:fill="1F4E78" w:val="clear"/>
            <w:tcMar>
              <w:top w:type="dxa" w:w="60"/>
              <w:left w:type="dxa" w:w="100"/>
              <w:bottom w:type="dxa" w:w="60"/>
              <w:right w:type="dxa" w:w="100"/>
            </w:tcMar>
          </w:tcPr>
          <w:p>
            <w:r>
              <w:rPr>
                <w:b/>
                <w:bCs/>
                <w:color w:val="FFFFFF"/>
                <w:sz w:val="20"/>
                <w:szCs w:val="20"/>
              </w:rPr>
              <w:t xml:space="preserve">Account</w:t>
            </w:r>
          </w:p>
        </w:tc>
        <w:tc>
          <w:tcPr>
            <w:tcW w:type="dxa" w:w="3000"/>
            <w:shd w:fill="1F4E78" w:val="clear"/>
            <w:tcMar>
              <w:top w:type="dxa" w:w="60"/>
              <w:left w:type="dxa" w:w="100"/>
              <w:bottom w:type="dxa" w:w="60"/>
              <w:right w:type="dxa" w:w="100"/>
            </w:tcMar>
          </w:tcPr>
          <w:p>
            <w:r>
              <w:rPr>
                <w:b/>
                <w:bCs/>
                <w:color w:val="FFFFFF"/>
                <w:sz w:val="20"/>
                <w:szCs w:val="20"/>
              </w:rPr>
              <w:t xml:space="preserve">Resource Group</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01</w:t>
            </w:r>
          </w:p>
        </w:tc>
        <w:tc>
          <w:tcPr>
            <w:tcW w:type="dxa" w:w="3000"/>
            <w:tcMar>
              <w:top w:type="dxa" w:w="60"/>
              <w:left w:type="dxa" w:w="100"/>
              <w:bottom w:type="dxa" w:w="60"/>
              <w:right w:type="dxa" w:w="100"/>
            </w:tcMar>
          </w:tcPr>
          <w:p>
            <w:r>
              <w:rPr>
                <w:b w:val="false"/>
                <w:bCs w:val="false"/>
                <w:color w:val="000000"/>
                <w:sz w:val="20"/>
                <w:szCs w:val="20"/>
              </w:rPr>
              <w:t xml:space="preserve">student01@tenant</w:t>
            </w:r>
          </w:p>
        </w:tc>
        <w:tc>
          <w:tcPr>
            <w:tcW w:type="dxa" w:w="3000"/>
            <w:tcMar>
              <w:top w:type="dxa" w:w="60"/>
              <w:left w:type="dxa" w:w="100"/>
              <w:bottom w:type="dxa" w:w="60"/>
              <w:right w:type="dxa" w:w="100"/>
            </w:tcMar>
          </w:tcPr>
          <w:p>
            <w:r>
              <w:rPr>
                <w:b w:val="false"/>
                <w:bCs w:val="false"/>
                <w:color w:val="000000"/>
                <w:sz w:val="20"/>
                <w:szCs w:val="20"/>
              </w:rPr>
              <w:t xml:space="preserve">rg-cdg-s01</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02</w:t>
            </w:r>
          </w:p>
        </w:tc>
        <w:tc>
          <w:tcPr>
            <w:tcW w:type="dxa" w:w="3000"/>
            <w:tcMar>
              <w:top w:type="dxa" w:w="60"/>
              <w:left w:type="dxa" w:w="100"/>
              <w:bottom w:type="dxa" w:w="60"/>
              <w:right w:type="dxa" w:w="100"/>
            </w:tcMar>
          </w:tcPr>
          <w:p>
            <w:r>
              <w:rPr>
                <w:b w:val="false"/>
                <w:bCs w:val="false"/>
                <w:color w:val="000000"/>
                <w:sz w:val="20"/>
                <w:szCs w:val="20"/>
              </w:rPr>
              <w:t xml:space="preserve">student02@tenant</w:t>
            </w:r>
          </w:p>
        </w:tc>
        <w:tc>
          <w:tcPr>
            <w:tcW w:type="dxa" w:w="3000"/>
            <w:tcMar>
              <w:top w:type="dxa" w:w="60"/>
              <w:left w:type="dxa" w:w="100"/>
              <w:bottom w:type="dxa" w:w="60"/>
              <w:right w:type="dxa" w:w="100"/>
            </w:tcMar>
          </w:tcPr>
          <w:p>
            <w:r>
              <w:rPr>
                <w:b w:val="false"/>
                <w:bCs w:val="false"/>
                <w:color w:val="000000"/>
                <w:sz w:val="20"/>
                <w:szCs w:val="20"/>
              </w:rPr>
              <w:t xml:space="preserve">rg-cdg-s02</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03</w:t>
            </w:r>
          </w:p>
        </w:tc>
        <w:tc>
          <w:tcPr>
            <w:tcW w:type="dxa" w:w="3000"/>
            <w:tcMar>
              <w:top w:type="dxa" w:w="60"/>
              <w:left w:type="dxa" w:w="100"/>
              <w:bottom w:type="dxa" w:w="60"/>
              <w:right w:type="dxa" w:w="100"/>
            </w:tcMar>
          </w:tcPr>
          <w:p>
            <w:r>
              <w:rPr>
                <w:b w:val="false"/>
                <w:bCs w:val="false"/>
                <w:color w:val="000000"/>
                <w:sz w:val="20"/>
                <w:szCs w:val="20"/>
              </w:rPr>
              <w:t xml:space="preserve">student03@tenant</w:t>
            </w:r>
          </w:p>
        </w:tc>
        <w:tc>
          <w:tcPr>
            <w:tcW w:type="dxa" w:w="3000"/>
            <w:tcMar>
              <w:top w:type="dxa" w:w="60"/>
              <w:left w:type="dxa" w:w="100"/>
              <w:bottom w:type="dxa" w:w="60"/>
              <w:right w:type="dxa" w:w="100"/>
            </w:tcMar>
          </w:tcPr>
          <w:p>
            <w:r>
              <w:rPr>
                <w:b w:val="false"/>
                <w:bCs w:val="false"/>
                <w:color w:val="000000"/>
                <w:sz w:val="20"/>
                <w:szCs w:val="20"/>
              </w:rPr>
              <w:t xml:space="preserve">rg-cdg-s03</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04</w:t>
            </w:r>
          </w:p>
        </w:tc>
        <w:tc>
          <w:tcPr>
            <w:tcW w:type="dxa" w:w="3000"/>
            <w:tcMar>
              <w:top w:type="dxa" w:w="60"/>
              <w:left w:type="dxa" w:w="100"/>
              <w:bottom w:type="dxa" w:w="60"/>
              <w:right w:type="dxa" w:w="100"/>
            </w:tcMar>
          </w:tcPr>
          <w:p>
            <w:r>
              <w:rPr>
                <w:b w:val="false"/>
                <w:bCs w:val="false"/>
                <w:color w:val="000000"/>
                <w:sz w:val="20"/>
                <w:szCs w:val="20"/>
              </w:rPr>
              <w:t xml:space="preserve">student04@tenant</w:t>
            </w:r>
          </w:p>
        </w:tc>
        <w:tc>
          <w:tcPr>
            <w:tcW w:type="dxa" w:w="3000"/>
            <w:tcMar>
              <w:top w:type="dxa" w:w="60"/>
              <w:left w:type="dxa" w:w="100"/>
              <w:bottom w:type="dxa" w:w="60"/>
              <w:right w:type="dxa" w:w="100"/>
            </w:tcMar>
          </w:tcPr>
          <w:p>
            <w:r>
              <w:rPr>
                <w:b w:val="false"/>
                <w:bCs w:val="false"/>
                <w:color w:val="000000"/>
                <w:sz w:val="20"/>
                <w:szCs w:val="20"/>
              </w:rPr>
              <w:t xml:space="preserve">rg-cdg-s04</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05</w:t>
            </w:r>
          </w:p>
        </w:tc>
        <w:tc>
          <w:tcPr>
            <w:tcW w:type="dxa" w:w="3000"/>
            <w:tcMar>
              <w:top w:type="dxa" w:w="60"/>
              <w:left w:type="dxa" w:w="100"/>
              <w:bottom w:type="dxa" w:w="60"/>
              <w:right w:type="dxa" w:w="100"/>
            </w:tcMar>
          </w:tcPr>
          <w:p>
            <w:r>
              <w:rPr>
                <w:b w:val="false"/>
                <w:bCs w:val="false"/>
                <w:color w:val="000000"/>
                <w:sz w:val="20"/>
                <w:szCs w:val="20"/>
              </w:rPr>
              <w:t xml:space="preserve">student05@tenant</w:t>
            </w:r>
          </w:p>
        </w:tc>
        <w:tc>
          <w:tcPr>
            <w:tcW w:type="dxa" w:w="3000"/>
            <w:tcMar>
              <w:top w:type="dxa" w:w="60"/>
              <w:left w:type="dxa" w:w="100"/>
              <w:bottom w:type="dxa" w:w="60"/>
              <w:right w:type="dxa" w:w="100"/>
            </w:tcMar>
          </w:tcPr>
          <w:p>
            <w:r>
              <w:rPr>
                <w:b w:val="false"/>
                <w:bCs w:val="false"/>
                <w:color w:val="000000"/>
                <w:sz w:val="20"/>
                <w:szCs w:val="20"/>
              </w:rPr>
              <w:t xml:space="preserve">rg-cdg-s05</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06</w:t>
            </w:r>
          </w:p>
        </w:tc>
        <w:tc>
          <w:tcPr>
            <w:tcW w:type="dxa" w:w="3000"/>
            <w:tcMar>
              <w:top w:type="dxa" w:w="60"/>
              <w:left w:type="dxa" w:w="100"/>
              <w:bottom w:type="dxa" w:w="60"/>
              <w:right w:type="dxa" w:w="100"/>
            </w:tcMar>
          </w:tcPr>
          <w:p>
            <w:r>
              <w:rPr>
                <w:b w:val="false"/>
                <w:bCs w:val="false"/>
                <w:color w:val="000000"/>
                <w:sz w:val="20"/>
                <w:szCs w:val="20"/>
              </w:rPr>
              <w:t xml:space="preserve">student06@tenant</w:t>
            </w:r>
          </w:p>
        </w:tc>
        <w:tc>
          <w:tcPr>
            <w:tcW w:type="dxa" w:w="3000"/>
            <w:tcMar>
              <w:top w:type="dxa" w:w="60"/>
              <w:left w:type="dxa" w:w="100"/>
              <w:bottom w:type="dxa" w:w="60"/>
              <w:right w:type="dxa" w:w="100"/>
            </w:tcMar>
          </w:tcPr>
          <w:p>
            <w:r>
              <w:rPr>
                <w:b w:val="false"/>
                <w:bCs w:val="false"/>
                <w:color w:val="000000"/>
                <w:sz w:val="20"/>
                <w:szCs w:val="20"/>
              </w:rPr>
              <w:t xml:space="preserve">rg-cdg-s06</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07</w:t>
            </w:r>
          </w:p>
        </w:tc>
        <w:tc>
          <w:tcPr>
            <w:tcW w:type="dxa" w:w="3000"/>
            <w:tcMar>
              <w:top w:type="dxa" w:w="60"/>
              <w:left w:type="dxa" w:w="100"/>
              <w:bottom w:type="dxa" w:w="60"/>
              <w:right w:type="dxa" w:w="100"/>
            </w:tcMar>
          </w:tcPr>
          <w:p>
            <w:r>
              <w:rPr>
                <w:b w:val="false"/>
                <w:bCs w:val="false"/>
                <w:color w:val="000000"/>
                <w:sz w:val="20"/>
                <w:szCs w:val="20"/>
              </w:rPr>
              <w:t xml:space="preserve">student07@tenant</w:t>
            </w:r>
          </w:p>
        </w:tc>
        <w:tc>
          <w:tcPr>
            <w:tcW w:type="dxa" w:w="3000"/>
            <w:tcMar>
              <w:top w:type="dxa" w:w="60"/>
              <w:left w:type="dxa" w:w="100"/>
              <w:bottom w:type="dxa" w:w="60"/>
              <w:right w:type="dxa" w:w="100"/>
            </w:tcMar>
          </w:tcPr>
          <w:p>
            <w:r>
              <w:rPr>
                <w:b w:val="false"/>
                <w:bCs w:val="false"/>
                <w:color w:val="000000"/>
                <w:sz w:val="20"/>
                <w:szCs w:val="20"/>
              </w:rPr>
              <w:t xml:space="preserve">rg-cdg-s07</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08</w:t>
            </w:r>
          </w:p>
        </w:tc>
        <w:tc>
          <w:tcPr>
            <w:tcW w:type="dxa" w:w="3000"/>
            <w:tcMar>
              <w:top w:type="dxa" w:w="60"/>
              <w:left w:type="dxa" w:w="100"/>
              <w:bottom w:type="dxa" w:w="60"/>
              <w:right w:type="dxa" w:w="100"/>
            </w:tcMar>
          </w:tcPr>
          <w:p>
            <w:r>
              <w:rPr>
                <w:b w:val="false"/>
                <w:bCs w:val="false"/>
                <w:color w:val="000000"/>
                <w:sz w:val="20"/>
                <w:szCs w:val="20"/>
              </w:rPr>
              <w:t xml:space="preserve">student08@tenant</w:t>
            </w:r>
          </w:p>
        </w:tc>
        <w:tc>
          <w:tcPr>
            <w:tcW w:type="dxa" w:w="3000"/>
            <w:tcMar>
              <w:top w:type="dxa" w:w="60"/>
              <w:left w:type="dxa" w:w="100"/>
              <w:bottom w:type="dxa" w:w="60"/>
              <w:right w:type="dxa" w:w="100"/>
            </w:tcMar>
          </w:tcPr>
          <w:p>
            <w:r>
              <w:rPr>
                <w:b w:val="false"/>
                <w:bCs w:val="false"/>
                <w:color w:val="000000"/>
                <w:sz w:val="20"/>
                <w:szCs w:val="20"/>
              </w:rPr>
              <w:t xml:space="preserve">rg-cdg-s08</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09</w:t>
            </w:r>
          </w:p>
        </w:tc>
        <w:tc>
          <w:tcPr>
            <w:tcW w:type="dxa" w:w="3000"/>
            <w:tcMar>
              <w:top w:type="dxa" w:w="60"/>
              <w:left w:type="dxa" w:w="100"/>
              <w:bottom w:type="dxa" w:w="60"/>
              <w:right w:type="dxa" w:w="100"/>
            </w:tcMar>
          </w:tcPr>
          <w:p>
            <w:r>
              <w:rPr>
                <w:b w:val="false"/>
                <w:bCs w:val="false"/>
                <w:color w:val="000000"/>
                <w:sz w:val="20"/>
                <w:szCs w:val="20"/>
              </w:rPr>
              <w:t xml:space="preserve">student09@tenant</w:t>
            </w:r>
          </w:p>
        </w:tc>
        <w:tc>
          <w:tcPr>
            <w:tcW w:type="dxa" w:w="3000"/>
            <w:tcMar>
              <w:top w:type="dxa" w:w="60"/>
              <w:left w:type="dxa" w:w="100"/>
              <w:bottom w:type="dxa" w:w="60"/>
              <w:right w:type="dxa" w:w="100"/>
            </w:tcMar>
          </w:tcPr>
          <w:p>
            <w:r>
              <w:rPr>
                <w:b w:val="false"/>
                <w:bCs w:val="false"/>
                <w:color w:val="000000"/>
                <w:sz w:val="20"/>
                <w:szCs w:val="20"/>
              </w:rPr>
              <w:t xml:space="preserve">rg-cdg-s09</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10</w:t>
            </w:r>
          </w:p>
        </w:tc>
        <w:tc>
          <w:tcPr>
            <w:tcW w:type="dxa" w:w="3000"/>
            <w:tcMar>
              <w:top w:type="dxa" w:w="60"/>
              <w:left w:type="dxa" w:w="100"/>
              <w:bottom w:type="dxa" w:w="60"/>
              <w:right w:type="dxa" w:w="100"/>
            </w:tcMar>
          </w:tcPr>
          <w:p>
            <w:r>
              <w:rPr>
                <w:b w:val="false"/>
                <w:bCs w:val="false"/>
                <w:color w:val="000000"/>
                <w:sz w:val="20"/>
                <w:szCs w:val="20"/>
              </w:rPr>
              <w:t xml:space="preserve">student10@tenant</w:t>
            </w:r>
          </w:p>
        </w:tc>
        <w:tc>
          <w:tcPr>
            <w:tcW w:type="dxa" w:w="3000"/>
            <w:tcMar>
              <w:top w:type="dxa" w:w="60"/>
              <w:left w:type="dxa" w:w="100"/>
              <w:bottom w:type="dxa" w:w="60"/>
              <w:right w:type="dxa" w:w="100"/>
            </w:tcMar>
          </w:tcPr>
          <w:p>
            <w:r>
              <w:rPr>
                <w:b w:val="false"/>
                <w:bCs w:val="false"/>
                <w:color w:val="000000"/>
                <w:sz w:val="20"/>
                <w:szCs w:val="20"/>
              </w:rPr>
              <w:t xml:space="preserve">rg-cdg-s10</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11</w:t>
            </w:r>
          </w:p>
        </w:tc>
        <w:tc>
          <w:tcPr>
            <w:tcW w:type="dxa" w:w="3000"/>
            <w:tcMar>
              <w:top w:type="dxa" w:w="60"/>
              <w:left w:type="dxa" w:w="100"/>
              <w:bottom w:type="dxa" w:w="60"/>
              <w:right w:type="dxa" w:w="100"/>
            </w:tcMar>
          </w:tcPr>
          <w:p>
            <w:r>
              <w:rPr>
                <w:b w:val="false"/>
                <w:bCs w:val="false"/>
                <w:color w:val="000000"/>
                <w:sz w:val="20"/>
                <w:szCs w:val="20"/>
              </w:rPr>
              <w:t xml:space="preserve">student11@tenant</w:t>
            </w:r>
          </w:p>
        </w:tc>
        <w:tc>
          <w:tcPr>
            <w:tcW w:type="dxa" w:w="3000"/>
            <w:tcMar>
              <w:top w:type="dxa" w:w="60"/>
              <w:left w:type="dxa" w:w="100"/>
              <w:bottom w:type="dxa" w:w="60"/>
              <w:right w:type="dxa" w:w="100"/>
            </w:tcMar>
          </w:tcPr>
          <w:p>
            <w:r>
              <w:rPr>
                <w:b w:val="false"/>
                <w:bCs w:val="false"/>
                <w:color w:val="000000"/>
                <w:sz w:val="20"/>
                <w:szCs w:val="20"/>
              </w:rPr>
              <w:t xml:space="preserve">rg-cdg-s11</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12</w:t>
            </w:r>
          </w:p>
        </w:tc>
        <w:tc>
          <w:tcPr>
            <w:tcW w:type="dxa" w:w="3000"/>
            <w:tcMar>
              <w:top w:type="dxa" w:w="60"/>
              <w:left w:type="dxa" w:w="100"/>
              <w:bottom w:type="dxa" w:w="60"/>
              <w:right w:type="dxa" w:w="100"/>
            </w:tcMar>
          </w:tcPr>
          <w:p>
            <w:r>
              <w:rPr>
                <w:b w:val="false"/>
                <w:bCs w:val="false"/>
                <w:color w:val="000000"/>
                <w:sz w:val="20"/>
                <w:szCs w:val="20"/>
              </w:rPr>
              <w:t xml:space="preserve">student12@tenant</w:t>
            </w:r>
          </w:p>
        </w:tc>
        <w:tc>
          <w:tcPr>
            <w:tcW w:type="dxa" w:w="3000"/>
            <w:tcMar>
              <w:top w:type="dxa" w:w="60"/>
              <w:left w:type="dxa" w:w="100"/>
              <w:bottom w:type="dxa" w:w="60"/>
              <w:right w:type="dxa" w:w="100"/>
            </w:tcMar>
          </w:tcPr>
          <w:p>
            <w:r>
              <w:rPr>
                <w:b w:val="false"/>
                <w:bCs w:val="false"/>
                <w:color w:val="000000"/>
                <w:sz w:val="20"/>
                <w:szCs w:val="20"/>
              </w:rPr>
              <w:t xml:space="preserve">rg-cdg-s12</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13</w:t>
            </w:r>
          </w:p>
        </w:tc>
        <w:tc>
          <w:tcPr>
            <w:tcW w:type="dxa" w:w="3000"/>
            <w:tcMar>
              <w:top w:type="dxa" w:w="60"/>
              <w:left w:type="dxa" w:w="100"/>
              <w:bottom w:type="dxa" w:w="60"/>
              <w:right w:type="dxa" w:w="100"/>
            </w:tcMar>
          </w:tcPr>
          <w:p>
            <w:r>
              <w:rPr>
                <w:b w:val="false"/>
                <w:bCs w:val="false"/>
                <w:color w:val="000000"/>
                <w:sz w:val="20"/>
                <w:szCs w:val="20"/>
              </w:rPr>
              <w:t xml:space="preserve">student13@tenant</w:t>
            </w:r>
          </w:p>
        </w:tc>
        <w:tc>
          <w:tcPr>
            <w:tcW w:type="dxa" w:w="3000"/>
            <w:tcMar>
              <w:top w:type="dxa" w:w="60"/>
              <w:left w:type="dxa" w:w="100"/>
              <w:bottom w:type="dxa" w:w="60"/>
              <w:right w:type="dxa" w:w="100"/>
            </w:tcMar>
          </w:tcPr>
          <w:p>
            <w:r>
              <w:rPr>
                <w:b w:val="false"/>
                <w:bCs w:val="false"/>
                <w:color w:val="000000"/>
                <w:sz w:val="20"/>
                <w:szCs w:val="20"/>
              </w:rPr>
              <w:t xml:space="preserve">rg-cdg-s13</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14</w:t>
            </w:r>
          </w:p>
        </w:tc>
        <w:tc>
          <w:tcPr>
            <w:tcW w:type="dxa" w:w="3000"/>
            <w:tcMar>
              <w:top w:type="dxa" w:w="60"/>
              <w:left w:type="dxa" w:w="100"/>
              <w:bottom w:type="dxa" w:w="60"/>
              <w:right w:type="dxa" w:w="100"/>
            </w:tcMar>
          </w:tcPr>
          <w:p>
            <w:r>
              <w:rPr>
                <w:b w:val="false"/>
                <w:bCs w:val="false"/>
                <w:color w:val="000000"/>
                <w:sz w:val="20"/>
                <w:szCs w:val="20"/>
              </w:rPr>
              <w:t xml:space="preserve">student14@tenant</w:t>
            </w:r>
          </w:p>
        </w:tc>
        <w:tc>
          <w:tcPr>
            <w:tcW w:type="dxa" w:w="3000"/>
            <w:tcMar>
              <w:top w:type="dxa" w:w="60"/>
              <w:left w:type="dxa" w:w="100"/>
              <w:bottom w:type="dxa" w:w="60"/>
              <w:right w:type="dxa" w:w="100"/>
            </w:tcMar>
          </w:tcPr>
          <w:p>
            <w:r>
              <w:rPr>
                <w:b w:val="false"/>
                <w:bCs w:val="false"/>
                <w:color w:val="000000"/>
                <w:sz w:val="20"/>
                <w:szCs w:val="20"/>
              </w:rPr>
              <w:t xml:space="preserve">rg-cdg-s14</w:t>
            </w:r>
          </w:p>
        </w:tc>
      </w:tr>
    </w:tbl>
    <w:p>
      <w:pPr>
        <w:spacing w:after="160" w:before="200"/>
      </w:pPr>
      <w:r>
        <w:rPr>
          <w:b w:val="false"/>
          <w:bCs w:val="false"/>
          <w:i w:val="false"/>
          <w:iCs w:val="false"/>
          <w:sz w:val="22"/>
          <w:szCs w:val="22"/>
        </w:rPr>
        <w:t xml:space="preserve">Each student gets Contributor at Resource Group Scope — not Subscription Scope.</w:t>
      </w:r>
    </w:p>
    <w:p>
      <w:pPr>
        <w:pBdr>
          <w:bottom w:val="single" w:color="AAAAAA" w:sz="6" w:space="1"/>
        </w:pBdr>
        <w:spacing w:after="200" w:before="200"/>
      </w:pPr>
    </w:p>
    <w:p>
      <w:pPr>
        <w:pStyle w:val="Heading1"/>
        <w:spacing w:after="160" w:before="320"/>
      </w:pPr>
      <w:r>
        <w:t xml:space="preserve">Step 16 — Why Contributor and not Owner?</w:t>
      </w:r>
    </w:p>
    <w:p>
      <w:pPr>
        <w:spacing w:after="60" w:before="0"/>
      </w:pPr>
      <w:r>
        <w:rPr>
          <w:b w:val="false"/>
          <w:bCs w:val="false"/>
          <w:i w:val="false"/>
          <w:iCs w:val="false"/>
          <w:sz w:val="22"/>
          <w:szCs w:val="22"/>
        </w:rPr>
        <w:t xml:space="preserve">Use Contributor because students need to:</w:t>
      </w:r>
    </w:p>
    <w:p>
      <w:pPr>
        <w:pStyle w:val="ListParagraph"/>
        <w:numPr>
          <w:ilvl w:val="0"/>
          <w:numId w:val="1"/>
        </w:numPr>
        <w:spacing w:after="80"/>
      </w:pPr>
      <w:r>
        <w:rPr>
          <w:sz w:val="22"/>
          <w:szCs w:val="22"/>
        </w:rPr>
        <w:t xml:space="preserve">Create resources</w:t>
      </w:r>
    </w:p>
    <w:p>
      <w:pPr>
        <w:pStyle w:val="ListParagraph"/>
        <w:numPr>
          <w:ilvl w:val="0"/>
          <w:numId w:val="1"/>
        </w:numPr>
        <w:spacing w:after="80"/>
      </w:pPr>
      <w:r>
        <w:rPr>
          <w:sz w:val="22"/>
          <w:szCs w:val="22"/>
        </w:rPr>
        <w:t xml:space="preserve">Update resources</w:t>
      </w:r>
    </w:p>
    <w:p>
      <w:pPr>
        <w:pStyle w:val="ListParagraph"/>
        <w:numPr>
          <w:ilvl w:val="0"/>
          <w:numId w:val="1"/>
        </w:numPr>
        <w:spacing w:after="80"/>
      </w:pPr>
      <w:r>
        <w:rPr>
          <w:sz w:val="22"/>
          <w:szCs w:val="22"/>
        </w:rPr>
        <w:t xml:space="preserve">Delete resources</w:t>
      </w:r>
    </w:p>
    <w:p>
      <w:pPr>
        <w:pStyle w:val="ListParagraph"/>
        <w:numPr>
          <w:ilvl w:val="0"/>
          <w:numId w:val="1"/>
        </w:numPr>
        <w:spacing w:after="80"/>
      </w:pPr>
      <w:r>
        <w:rPr>
          <w:sz w:val="22"/>
          <w:szCs w:val="22"/>
        </w:rPr>
        <w:t xml:space="preserve">Configure resources</w:t>
      </w:r>
    </w:p>
    <w:p>
      <w:pPr>
        <w:spacing w:after="160" w:before="120"/>
      </w:pPr>
      <w:r>
        <w:rPr>
          <w:b w:val="false"/>
          <w:bCs w:val="false"/>
          <w:i w:val="false"/>
          <w:iCs w:val="false"/>
          <w:sz w:val="22"/>
          <w:szCs w:val="22"/>
        </w:rPr>
        <w:t xml:space="preserve">But they generally should not be allowed to give RBAC access to other users.</w:t>
      </w:r>
    </w:p>
    <w:p>
      <w:pPr>
        <w:spacing w:after="160" w:before="0"/>
      </w:pPr>
      <w:r>
        <w:rPr>
          <w:b/>
          <w:bCs/>
          <w:i w:val="false"/>
          <w:iCs w:val="false"/>
          <w:sz w:val="22"/>
          <w:szCs w:val="22"/>
        </w:rPr>
        <w:t xml:space="preserve">So: Student → Contributor → Own Resource Group</w:t>
      </w:r>
    </w:p>
    <w:p>
      <w:pPr>
        <w:spacing w:after="160" w:before="0"/>
      </w:pPr>
      <w:r>
        <w:rPr>
          <w:b/>
          <w:bCs/>
          <w:i w:val="false"/>
          <w:iCs w:val="false"/>
          <w:sz w:val="22"/>
          <w:szCs w:val="22"/>
        </w:rPr>
        <w:t xml:space="preserve">is safer than: Student → Owner → Subscription</w:t>
      </w:r>
    </w:p>
    <w:p>
      <w:pPr>
        <w:pBdr>
          <w:bottom w:val="single" w:color="AAAAAA" w:sz="6" w:space="1"/>
        </w:pBdr>
        <w:spacing w:after="200" w:before="200"/>
      </w:pPr>
    </w:p>
    <w:p>
      <w:pPr>
        <w:pStyle w:val="Heading1"/>
        <w:spacing w:after="160" w:before="320"/>
      </w:pPr>
      <w:r>
        <w:t xml:space="preserve">Step 17 — Test with Student 01</w:t>
      </w:r>
    </w:p>
    <w:p>
      <w:pPr>
        <w:spacing w:after="160" w:before="0"/>
      </w:pPr>
      <w:r>
        <w:rPr>
          <w:b w:val="false"/>
          <w:bCs w:val="false"/>
          <w:i w:val="false"/>
          <w:iCs w:val="false"/>
          <w:sz w:val="22"/>
          <w:szCs w:val="22"/>
        </w:rPr>
        <w:t xml:space="preserve">Open Incognito. Sign in: student01@cloudgenaitraining26.onmicrosoft.com</w:t>
      </w:r>
    </w:p>
    <w:p>
      <w:pPr>
        <w:spacing w:after="160" w:before="0"/>
      </w:pPr>
      <w:r>
        <w:rPr>
          <w:b w:val="false"/>
          <w:bCs w:val="false"/>
          <w:i w:val="false"/>
          <w:iCs w:val="false"/>
          <w:sz w:val="22"/>
          <w:szCs w:val="22"/>
        </w:rPr>
        <w:t xml:space="preserve">Then go to: Resource Groups</w:t>
      </w:r>
    </w:p>
    <w:p>
      <w:pPr>
        <w:spacing w:after="160" w:before="0"/>
      </w:pPr>
      <w:r>
        <w:rPr>
          <w:b w:val="false"/>
          <w:bCs w:val="false"/>
          <w:i w:val="false"/>
          <w:iCs w:val="false"/>
          <w:sz w:val="22"/>
          <w:szCs w:val="22"/>
        </w:rPr>
        <w:t xml:space="preserve">Student 01 should see/access: rg-cdg-s01</w:t>
      </w:r>
    </w:p>
    <w:p>
      <w:pPr>
        <w:spacing w:after="160" w:before="0"/>
      </w:pPr>
      <w:r>
        <w:rPr>
          <w:b w:val="false"/>
          <w:bCs w:val="false"/>
          <w:i w:val="false"/>
          <w:iCs w:val="false"/>
          <w:sz w:val="22"/>
          <w:szCs w:val="22"/>
        </w:rPr>
        <w:t xml:space="preserve">Now test creating a Storage Account or a simple tag/resource.</w:t>
      </w:r>
    </w:p>
    <w:p>
      <w:pPr>
        <w:spacing w:after="160" w:before="0"/>
      </w:pPr>
      <w:r>
        <w:rPr>
          <w:b w:val="false"/>
          <w:bCs w:val="false"/>
          <w:i w:val="false"/>
          <w:iCs w:val="false"/>
          <w:sz w:val="22"/>
          <w:szCs w:val="22"/>
        </w:rPr>
        <w:t xml:space="preserve">Student 01 should not be able to administer rg-cdg-s02.</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17 — Student 01's Resource Groups view, showing only rg-cdg-s01</w:t>
            </w:r>
          </w:p>
        </w:tc>
      </w:tr>
    </w:tbl>
    <w:p>
      <w:pPr>
        <w:pBdr>
          <w:bottom w:val="single" w:color="AAAAAA" w:sz="6" w:space="1"/>
        </w:pBdr>
        <w:spacing w:after="200" w:before="200"/>
      </w:pPr>
    </w:p>
    <w:p>
      <w:pPr>
        <w:pStyle w:val="Heading1"/>
        <w:spacing w:after="160" w:before="320"/>
      </w:pPr>
      <w:r>
        <w:t xml:space="preserve">Step 18 — Final architecture</w:t>
      </w:r>
    </w:p>
    <w:p>
      <w:pPr>
        <w:spacing w:after="160" w:before="0"/>
      </w:pPr>
      <w:r>
        <w:rPr>
          <w:b w:val="false"/>
          <w:bCs w:val="false"/>
          <w:i w:val="false"/>
          <w:iCs w:val="false"/>
          <w:sz w:val="22"/>
          <w:szCs w:val="22"/>
        </w:rPr>
        <w:t xml:space="preserve">You should end up with:</w:t>
      </w:r>
    </w:p>
    <w:p>
      <w:pPr>
        <w:spacing w:after="160" w:before="0"/>
      </w:pPr>
      <w:r>
        <w:rPr>
          <w:b/>
          <w:bCs/>
          <w:i w:val="false"/>
          <w:iCs w:val="false"/>
          <w:sz w:val="22"/>
          <w:szCs w:val="22"/>
        </w:rPr>
        <w:t xml:space="preserve">Microsoft Entra Tenant — cloudgenaitraining26.onmicrosoft.com</w:t>
      </w:r>
    </w:p>
    <w:p>
      <w:pPr>
        <w:pStyle w:val="ListParagraph"/>
        <w:numPr>
          <w:ilvl w:val="0"/>
          <w:numId w:val="1"/>
        </w:numPr>
        <w:spacing w:after="80"/>
      </w:pPr>
      <w:r>
        <w:rPr>
          <w:sz w:val="22"/>
          <w:szCs w:val="22"/>
        </w:rPr>
        <w:t xml:space="preserve">Trainer / Global Admin</w:t>
      </w:r>
    </w:p>
    <w:p>
      <w:pPr>
        <w:pStyle w:val="ListParagraph"/>
        <w:numPr>
          <w:ilvl w:val="0"/>
          <w:numId w:val="1"/>
        </w:numPr>
        <w:spacing w:after="80"/>
      </w:pPr>
      <w:r>
        <w:rPr>
          <w:sz w:val="22"/>
          <w:szCs w:val="22"/>
        </w:rPr>
        <w:t xml:space="preserve">Student01</w:t>
      </w:r>
    </w:p>
    <w:p>
      <w:pPr>
        <w:pStyle w:val="ListParagraph"/>
        <w:numPr>
          <w:ilvl w:val="0"/>
          <w:numId w:val="1"/>
        </w:numPr>
        <w:spacing w:after="80"/>
      </w:pPr>
      <w:r>
        <w:rPr>
          <w:sz w:val="22"/>
          <w:szCs w:val="22"/>
        </w:rPr>
        <w:t xml:space="preserve">Student02</w:t>
      </w:r>
    </w:p>
    <w:p>
      <w:pPr>
        <w:pStyle w:val="ListParagraph"/>
        <w:numPr>
          <w:ilvl w:val="0"/>
          <w:numId w:val="1"/>
        </w:numPr>
        <w:spacing w:after="80"/>
      </w:pPr>
      <w:r>
        <w:rPr>
          <w:sz w:val="22"/>
          <w:szCs w:val="22"/>
        </w:rPr>
        <w:t xml:space="preserve">Student03</w:t>
      </w:r>
    </w:p>
    <w:p>
      <w:pPr>
        <w:pStyle w:val="ListParagraph"/>
        <w:numPr>
          <w:ilvl w:val="0"/>
          <w:numId w:val="1"/>
        </w:numPr>
        <w:spacing w:after="80"/>
      </w:pPr>
      <w:r>
        <w:rPr>
          <w:sz w:val="22"/>
          <w:szCs w:val="22"/>
        </w:rPr>
        <w:t xml:space="preserve">… through Student14</w:t>
      </w:r>
    </w:p>
    <w:p>
      <w:pPr>
        <w:spacing w:after="0" w:before="120"/>
      </w:pPr>
      <w:r>
        <w:rPr>
          <w:b w:val="false"/>
          <w:bCs w:val="false"/>
          <w:i w:val="false"/>
          <w:iCs w:val="false"/>
          <w:sz w:val="22"/>
          <w:szCs w:val="22"/>
        </w:rPr>
        <w:t xml:space="preserve">↓</w:t>
      </w:r>
    </w:p>
    <w:p>
      <w:pPr>
        <w:spacing w:after="160" w:before="0"/>
      </w:pPr>
      <w:r>
        <w:rPr>
          <w:b/>
          <w:bCs/>
          <w:i w:val="false"/>
          <w:iCs w:val="false"/>
          <w:sz w:val="22"/>
          <w:szCs w:val="22"/>
        </w:rPr>
        <w:t xml:space="preserve">Azure Training Subscription</w:t>
      </w:r>
    </w:p>
    <w:p>
      <w:pPr>
        <w:pStyle w:val="ListParagraph"/>
        <w:numPr>
          <w:ilvl w:val="0"/>
          <w:numId w:val="1"/>
        </w:numPr>
        <w:spacing w:after="80"/>
      </w:pPr>
      <w:r>
        <w:rPr>
          <w:sz w:val="22"/>
          <w:szCs w:val="22"/>
        </w:rPr>
        <w:t xml:space="preserve">rg-cdg-s01  →  Contributor → Student01</w:t>
      </w:r>
    </w:p>
    <w:p>
      <w:pPr>
        <w:pStyle w:val="ListParagraph"/>
        <w:numPr>
          <w:ilvl w:val="0"/>
          <w:numId w:val="1"/>
        </w:numPr>
        <w:spacing w:after="80"/>
      </w:pPr>
      <w:r>
        <w:rPr>
          <w:sz w:val="22"/>
          <w:szCs w:val="22"/>
        </w:rPr>
        <w:t xml:space="preserve">rg-cdg-s02  →  Contributor → Student02</w:t>
      </w:r>
    </w:p>
    <w:p>
      <w:pPr>
        <w:pStyle w:val="ListParagraph"/>
        <w:numPr>
          <w:ilvl w:val="0"/>
          <w:numId w:val="1"/>
        </w:numPr>
        <w:spacing w:after="80"/>
      </w:pPr>
      <w:r>
        <w:rPr>
          <w:sz w:val="22"/>
          <w:szCs w:val="22"/>
        </w:rPr>
        <w:t xml:space="preserve">rg-cdg-s03  →  Contributor → Student03</w:t>
      </w:r>
    </w:p>
    <w:p>
      <w:pPr>
        <w:pStyle w:val="ListParagraph"/>
        <w:numPr>
          <w:ilvl w:val="0"/>
          <w:numId w:val="1"/>
        </w:numPr>
        <w:spacing w:after="80"/>
      </w:pPr>
      <w:r>
        <w:rPr>
          <w:sz w:val="22"/>
          <w:szCs w:val="22"/>
        </w:rPr>
        <w:t xml:space="preserve">rg-cdg-s04  →  Contributor → Student04</w:t>
      </w:r>
    </w:p>
    <w:p>
      <w:pPr>
        <w:pStyle w:val="ListParagraph"/>
        <w:numPr>
          <w:ilvl w:val="0"/>
          <w:numId w:val="1"/>
        </w:numPr>
        <w:spacing w:after="80"/>
      </w:pPr>
      <w:r>
        <w:rPr>
          <w:sz w:val="22"/>
          <w:szCs w:val="22"/>
        </w:rPr>
        <w:t xml:space="preserve">rg-cdg-s05  →  Contributor → Student05</w:t>
      </w:r>
    </w:p>
    <w:p>
      <w:pPr>
        <w:pStyle w:val="ListParagraph"/>
        <w:numPr>
          <w:ilvl w:val="0"/>
          <w:numId w:val="1"/>
        </w:numPr>
        <w:spacing w:after="80"/>
      </w:pPr>
      <w:r>
        <w:rPr>
          <w:sz w:val="22"/>
          <w:szCs w:val="22"/>
        </w:rPr>
        <w:t xml:space="preserve">rg-cdg-s06  →  Contributor → Student06</w:t>
      </w:r>
    </w:p>
    <w:p>
      <w:pPr>
        <w:pStyle w:val="ListParagraph"/>
        <w:numPr>
          <w:ilvl w:val="0"/>
          <w:numId w:val="1"/>
        </w:numPr>
        <w:spacing w:after="80"/>
      </w:pPr>
      <w:r>
        <w:rPr>
          <w:sz w:val="22"/>
          <w:szCs w:val="22"/>
        </w:rPr>
        <w:t xml:space="preserve">rg-cdg-s07  →  Contributor → Student07</w:t>
      </w:r>
    </w:p>
    <w:p>
      <w:pPr>
        <w:pStyle w:val="ListParagraph"/>
        <w:numPr>
          <w:ilvl w:val="0"/>
          <w:numId w:val="1"/>
        </w:numPr>
        <w:spacing w:after="80"/>
      </w:pPr>
      <w:r>
        <w:rPr>
          <w:sz w:val="22"/>
          <w:szCs w:val="22"/>
        </w:rPr>
        <w:t xml:space="preserve">rg-cdg-s08  →  Contributor → Student08</w:t>
      </w:r>
    </w:p>
    <w:p>
      <w:pPr>
        <w:pStyle w:val="ListParagraph"/>
        <w:numPr>
          <w:ilvl w:val="0"/>
          <w:numId w:val="1"/>
        </w:numPr>
        <w:spacing w:after="80"/>
      </w:pPr>
      <w:r>
        <w:rPr>
          <w:sz w:val="22"/>
          <w:szCs w:val="22"/>
        </w:rPr>
        <w:t xml:space="preserve">rg-cdg-s09  →  Contributor → Student09</w:t>
      </w:r>
    </w:p>
    <w:p>
      <w:pPr>
        <w:pStyle w:val="ListParagraph"/>
        <w:numPr>
          <w:ilvl w:val="0"/>
          <w:numId w:val="1"/>
        </w:numPr>
        <w:spacing w:after="80"/>
      </w:pPr>
      <w:r>
        <w:rPr>
          <w:sz w:val="22"/>
          <w:szCs w:val="22"/>
        </w:rPr>
        <w:t xml:space="preserve">rg-cdg-s10  →  Contributor → Student10</w:t>
      </w:r>
    </w:p>
    <w:p>
      <w:pPr>
        <w:pStyle w:val="ListParagraph"/>
        <w:numPr>
          <w:ilvl w:val="0"/>
          <w:numId w:val="1"/>
        </w:numPr>
        <w:spacing w:after="80"/>
      </w:pPr>
      <w:r>
        <w:rPr>
          <w:sz w:val="22"/>
          <w:szCs w:val="22"/>
        </w:rPr>
        <w:t xml:space="preserve">rg-cdg-s11  →  Contributor → Student11</w:t>
      </w:r>
    </w:p>
    <w:p>
      <w:pPr>
        <w:pStyle w:val="ListParagraph"/>
        <w:numPr>
          <w:ilvl w:val="0"/>
          <w:numId w:val="1"/>
        </w:numPr>
        <w:spacing w:after="80"/>
      </w:pPr>
      <w:r>
        <w:rPr>
          <w:sz w:val="22"/>
          <w:szCs w:val="22"/>
        </w:rPr>
        <w:t xml:space="preserve">rg-cdg-s12  →  Contributor → Student12</w:t>
      </w:r>
    </w:p>
    <w:p>
      <w:pPr>
        <w:pStyle w:val="ListParagraph"/>
        <w:numPr>
          <w:ilvl w:val="0"/>
          <w:numId w:val="1"/>
        </w:numPr>
        <w:spacing w:after="80"/>
      </w:pPr>
      <w:r>
        <w:rPr>
          <w:sz w:val="22"/>
          <w:szCs w:val="22"/>
        </w:rPr>
        <w:t xml:space="preserve">rg-cdg-s13  →  Contributor → Student13</w:t>
      </w:r>
    </w:p>
    <w:p>
      <w:pPr>
        <w:pStyle w:val="ListParagraph"/>
        <w:numPr>
          <w:ilvl w:val="0"/>
          <w:numId w:val="1"/>
        </w:numPr>
        <w:spacing w:after="80"/>
      </w:pPr>
      <w:r>
        <w:rPr>
          <w:sz w:val="22"/>
          <w:szCs w:val="22"/>
        </w:rPr>
        <w:t xml:space="preserve">rg-cdg-s14  →  Contributor → Student14</w:t>
      </w:r>
    </w:p>
    <w:p>
      <w:pPr>
        <w:pBdr>
          <w:bottom w:val="single" w:color="AAAAAA" w:sz="6" w:space="1"/>
        </w:pBdr>
        <w:spacing w:after="200" w:before="200"/>
      </w:pPr>
    </w:p>
    <w:p>
      <w:pPr>
        <w:pStyle w:val="Heading1"/>
        <w:spacing w:after="160" w:before="320"/>
      </w:pPr>
      <w:r>
        <w:t xml:space="preserve">Step 19 — What students receive</w:t>
      </w:r>
    </w:p>
    <w:p>
      <w:pPr>
        <w:spacing w:after="60" w:before="0"/>
      </w:pPr>
      <w:r>
        <w:rPr>
          <w:b w:val="false"/>
          <w:bCs w:val="false"/>
          <w:i w:val="false"/>
          <w:iCs w:val="false"/>
          <w:sz w:val="22"/>
          <w:szCs w:val="22"/>
        </w:rPr>
        <w:t xml:space="preserve">Send each student only:</w:t>
      </w:r>
    </w:p>
    <w:p>
      <w:pPr>
        <w:spacing w:after="0" w:before="0"/>
      </w:pPr>
      <w:r>
        <w:rPr>
          <w:b w:val="false"/>
          <w:bCs w:val="false"/>
          <w:i w:val="false"/>
          <w:iCs w:val="false"/>
          <w:sz w:val="22"/>
          <w:szCs w:val="22"/>
        </w:rPr>
        <w:t xml:space="preserve">Azure Portal: https://portal.azure.com</w:t>
      </w:r>
    </w:p>
    <w:p>
      <w:pPr>
        <w:spacing w:after="0" w:before="0"/>
      </w:pPr>
      <w:r>
        <w:rPr>
          <w:b w:val="false"/>
          <w:bCs w:val="false"/>
          <w:i w:val="false"/>
          <w:iCs w:val="false"/>
          <w:sz w:val="22"/>
          <w:szCs w:val="22"/>
        </w:rPr>
        <w:t xml:space="preserve">Username: student01@cloudgenaitraining26.onmicrosoft.com</w:t>
      </w:r>
    </w:p>
    <w:p>
      <w:pPr>
        <w:spacing w:after="0" w:before="0"/>
      </w:pPr>
      <w:r>
        <w:rPr>
          <w:b w:val="false"/>
          <w:bCs w:val="false"/>
          <w:i w:val="false"/>
          <w:iCs w:val="false"/>
          <w:sz w:val="22"/>
          <w:szCs w:val="22"/>
        </w:rPr>
        <w:t xml:space="preserve">Temporary Password: ********</w:t>
      </w:r>
    </w:p>
    <w:p>
      <w:pPr>
        <w:spacing w:after="160" w:before="0"/>
      </w:pPr>
      <w:r>
        <w:rPr>
          <w:b w:val="false"/>
          <w:bCs w:val="false"/>
          <w:i w:val="false"/>
          <w:iCs w:val="false"/>
          <w:sz w:val="22"/>
          <w:szCs w:val="22"/>
        </w:rPr>
        <w:t xml:space="preserve">Resource Group: rg-cdg-s01</w:t>
      </w:r>
    </w:p>
    <w:p>
      <w:pPr>
        <w:spacing w:after="60" w:before="120"/>
      </w:pPr>
      <w:r>
        <w:rPr>
          <w:b/>
          <w:bCs/>
          <w:i w:val="false"/>
          <w:iCs w:val="false"/>
          <w:sz w:val="22"/>
          <w:szCs w:val="22"/>
        </w:rPr>
        <w:t xml:space="preserve">Instructions:</w:t>
      </w:r>
    </w:p>
    <w:p>
      <w:pPr>
        <w:pStyle w:val="ListParagraph"/>
        <w:numPr>
          <w:ilvl w:val="0"/>
          <w:numId w:val="1"/>
        </w:numPr>
        <w:spacing w:after="80"/>
      </w:pPr>
      <w:r>
        <w:rPr>
          <w:sz w:val="22"/>
          <w:szCs w:val="22"/>
        </w:rPr>
        <w:t xml:space="preserve">Login</w:t>
      </w:r>
    </w:p>
    <w:p>
      <w:pPr>
        <w:pStyle w:val="ListParagraph"/>
        <w:numPr>
          <w:ilvl w:val="0"/>
          <w:numId w:val="1"/>
        </w:numPr>
        <w:spacing w:after="80"/>
      </w:pPr>
      <w:r>
        <w:rPr>
          <w:sz w:val="22"/>
          <w:szCs w:val="22"/>
        </w:rPr>
        <w:t xml:space="preserve">Change password if prompted</w:t>
      </w:r>
    </w:p>
    <w:p>
      <w:pPr>
        <w:pStyle w:val="ListParagraph"/>
        <w:numPr>
          <w:ilvl w:val="0"/>
          <w:numId w:val="1"/>
        </w:numPr>
        <w:spacing w:after="80"/>
      </w:pPr>
      <w:r>
        <w:rPr>
          <w:sz w:val="22"/>
          <w:szCs w:val="22"/>
        </w:rPr>
        <w:t xml:space="preserve">Complete MFA if prompted</w:t>
      </w:r>
    </w:p>
    <w:p>
      <w:pPr>
        <w:pStyle w:val="ListParagraph"/>
        <w:numPr>
          <w:ilvl w:val="0"/>
          <w:numId w:val="1"/>
        </w:numPr>
        <w:spacing w:after="80"/>
      </w:pPr>
      <w:r>
        <w:rPr>
          <w:sz w:val="22"/>
          <w:szCs w:val="22"/>
        </w:rPr>
        <w:t xml:space="preserve">Use only your allocated Resource Group</w:t>
      </w:r>
    </w:p>
    <w:p>
      <w:pPr>
        <w:pStyle w:val="ListParagraph"/>
        <w:numPr>
          <w:ilvl w:val="0"/>
          <w:numId w:val="1"/>
        </w:numPr>
        <w:spacing w:after="80"/>
      </w:pPr>
      <w:r>
        <w:rPr>
          <w:sz w:val="22"/>
          <w:szCs w:val="22"/>
        </w:rPr>
        <w:t xml:space="preserve">Do not create another subscription</w:t>
      </w:r>
    </w:p>
    <w:p>
      <w:pPr>
        <w:pStyle w:val="ListParagraph"/>
        <w:numPr>
          <w:ilvl w:val="0"/>
          <w:numId w:val="1"/>
        </w:numPr>
        <w:spacing w:after="80"/>
      </w:pPr>
      <w:r>
        <w:rPr>
          <w:sz w:val="22"/>
          <w:szCs w:val="22"/>
        </w:rPr>
        <w:t xml:space="preserve">Do not enter debit/credit card details</w:t>
      </w:r>
    </w:p>
    <w:p>
      <w:pPr>
        <w:pStyle w:val="ListParagraph"/>
        <w:numPr>
          <w:ilvl w:val="0"/>
          <w:numId w:val="1"/>
        </w:numPr>
        <w:spacing w:after="80"/>
      </w:pPr>
      <w:r>
        <w:rPr>
          <w:sz w:val="22"/>
          <w:szCs w:val="22"/>
        </w:rPr>
        <w:t xml:space="preserve">Do not modify IAM</w:t>
      </w:r>
    </w:p>
    <w:p>
      <w:pPr>
        <w:pStyle w:val="ListParagraph"/>
        <w:numPr>
          <w:ilvl w:val="0"/>
          <w:numId w:val="1"/>
        </w:numPr>
        <w:spacing w:after="80"/>
      </w:pPr>
      <w:r>
        <w:rPr>
          <w:sz w:val="22"/>
          <w:szCs w:val="22"/>
        </w:rPr>
        <w:t xml:space="preserve">Do not create expensive resources without trainer approval</w:t>
      </w:r>
    </w:p>
    <w:p>
      <w:pPr>
        <w:pBdr>
          <w:bottom w:val="single" w:color="AAAAAA" w:sz="6" w:space="1"/>
        </w:pBdr>
        <w:spacing w:after="200" w:before="200"/>
      </w:pPr>
    </w:p>
    <w:p>
      <w:pPr>
        <w:pStyle w:val="Heading1"/>
        <w:spacing w:after="160" w:before="320"/>
      </w:pPr>
      <w:r>
        <w:t xml:space="preserve">Step 20 — Cost controls to configure before giving access</w:t>
      </w:r>
    </w:p>
    <w:p>
      <w:pPr>
        <w:spacing w:after="160" w:before="0"/>
      </w:pPr>
      <w:r>
        <w:rPr>
          <w:b w:val="false"/>
          <w:bCs w:val="false"/>
          <w:i w:val="false"/>
          <w:iCs w:val="false"/>
          <w:sz w:val="22"/>
          <w:szCs w:val="22"/>
        </w:rPr>
        <w:t xml:space="preserve">Because all 14 students consume the same paid subscription, do this before class.</w:t>
      </w:r>
    </w:p>
    <w:p>
      <w:pPr>
        <w:spacing w:after="60" w:before="0"/>
      </w:pPr>
      <w:r>
        <w:rPr>
          <w:b/>
          <w:bCs/>
          <w:i w:val="false"/>
          <w:iCs w:val="false"/>
          <w:sz w:val="22"/>
          <w:szCs w:val="22"/>
        </w:rPr>
        <w:t xml:space="preserve">Go to:</w:t>
      </w:r>
    </w:p>
    <w:p>
      <w:pPr>
        <w:spacing w:after="160"/>
      </w:pPr>
      <w:r>
        <w:rPr>
          <w:b/>
          <w:bCs/>
          <w:color w:val="1F4E78"/>
          <w:sz w:val="22"/>
          <w:szCs w:val="22"/>
        </w:rPr>
        <w:t xml:space="preserve">Cost Management + Billing  →  Cost Management  →  Budgets</w:t>
      </w:r>
    </w:p>
    <w:p>
      <w:pPr>
        <w:spacing w:after="160" w:before="120"/>
      </w:pPr>
      <w:r>
        <w:rPr>
          <w:b w:val="false"/>
          <w:bCs w:val="false"/>
          <w:i w:val="false"/>
          <w:iCs w:val="false"/>
          <w:sz w:val="22"/>
          <w:szCs w:val="22"/>
        </w:rPr>
        <w:t xml:space="preserve">Create a budget. For example: Monthly Training Budget</w:t>
      </w:r>
    </w:p>
    <w:p>
      <w:pPr>
        <w:spacing w:after="160" w:before="0"/>
      </w:pPr>
      <w:r>
        <w:rPr>
          <w:b w:val="false"/>
          <w:bCs w:val="false"/>
          <w:i w:val="false"/>
          <w:iCs w:val="false"/>
          <w:sz w:val="22"/>
          <w:szCs w:val="22"/>
        </w:rPr>
        <w:t xml:space="preserve">Set alerts at something like: 50%, 75%, 90%, 100%</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20 — Budgets blade with a new monthly budget and alert thresholds configured</w:t>
            </w:r>
          </w:p>
        </w:tc>
      </w:tr>
    </w:tbl>
    <w:p>
      <w:pPr>
        <w:spacing w:after="160" w:before="160"/>
      </w:pPr>
      <w:r>
        <w:rPr>
          <w:b w:val="false"/>
          <w:bCs w:val="false"/>
          <w:i w:val="false"/>
          <w:iCs w:val="false"/>
          <w:sz w:val="22"/>
          <w:szCs w:val="22"/>
        </w:rPr>
        <w:t xml:space="preserve">Also tell students to avoid arbitrary SKUs. For Day 1, restrict them to the tier you specify.</w:t>
      </w:r>
    </w:p>
    <w:p>
      <w:pPr>
        <w:spacing w:after="160" w:before="0"/>
      </w:pPr>
      <w:r>
        <w:rPr>
          <w:b w:val="false"/>
          <w:bCs w:val="false"/>
          <w:i w:val="false"/>
          <w:iCs w:val="false"/>
          <w:sz w:val="22"/>
          <w:szCs w:val="22"/>
        </w:rPr>
        <w:t xml:space="preserve">Later, particularly for VM, Databricks, AKS, Azure SQL, and AI services, you should be even more careful because 14 simultaneous environments can consume substantial credit.</w:t>
      </w:r>
    </w:p>
    <w:p>
      <w:pPr>
        <w:pBdr>
          <w:bottom w:val="single" w:color="AAAAAA" w:sz="6" w:space="1"/>
        </w:pBdr>
        <w:spacing w:after="200" w:before="200"/>
      </w:pPr>
    </w:p>
    <w:p>
      <w:pPr>
        <w:pStyle w:val="Heading1"/>
        <w:spacing w:after="160" w:before="320"/>
      </w:pPr>
      <w:r>
        <w:t xml:space="preserve">Step 21 — Strong recommendation for your 45-day course</w:t>
      </w:r>
    </w:p>
    <w:p>
      <w:pPr>
        <w:spacing w:after="160" w:before="0"/>
      </w:pPr>
      <w:r>
        <w:rPr>
          <w:b w:val="false"/>
          <w:bCs w:val="false"/>
          <w:i w:val="false"/>
          <w:iCs w:val="false"/>
          <w:sz w:val="22"/>
          <w:szCs w:val="22"/>
        </w:rPr>
        <w:t xml:space="preserve">For basic Azure labs, give every student their own resources: Storage, VM, VNet, App Service, etc.</w:t>
      </w:r>
    </w:p>
    <w:p>
      <w:pPr>
        <w:spacing w:after="160" w:before="0"/>
      </w:pPr>
      <w:r>
        <w:rPr>
          <w:b w:val="false"/>
          <w:bCs w:val="false"/>
          <w:i w:val="false"/>
          <w:iCs w:val="false"/>
          <w:sz w:val="22"/>
          <w:szCs w:val="22"/>
        </w:rPr>
        <w:t xml:space="preserve">But later for expensive services such as Azure Databricks, Azure AI Foundry, Azure AI Search, New Relic integrations, and Synapse, I would not automatically create 14 independent full environments.</w:t>
      </w:r>
    </w:p>
    <w:p>
      <w:pPr>
        <w:spacing w:after="160" w:before="120"/>
      </w:pPr>
      <w:r>
        <w:rPr>
          <w:b w:val="false"/>
          <w:bCs w:val="false"/>
          <w:i w:val="false"/>
          <w:iCs w:val="false"/>
          <w:sz w:val="22"/>
          <w:szCs w:val="22"/>
        </w:rPr>
        <w:t xml:space="preserve">Instead consider:</w:t>
      </w:r>
    </w:p>
    <w:p>
      <w:pPr>
        <w:spacing w:after="160" w:before="0"/>
      </w:pPr>
      <w:r>
        <w:rPr>
          <w:b/>
          <w:bCs/>
          <w:i w:val="false"/>
          <w:iCs w:val="false"/>
          <w:sz w:val="22"/>
          <w:szCs w:val="22"/>
        </w:rPr>
        <w:t xml:space="preserve">Training Subscription</w:t>
      </w:r>
    </w:p>
    <w:p>
      <w:pPr>
        <w:pStyle w:val="ListParagraph"/>
        <w:numPr>
          <w:ilvl w:val="0"/>
          <w:numId w:val="1"/>
        </w:numPr>
        <w:spacing w:after="80"/>
      </w:pPr>
      <w:r>
        <w:rPr>
          <w:sz w:val="22"/>
          <w:szCs w:val="22"/>
        </w:rPr>
        <w:t xml:space="preserve">14 student Resource Groups → low-cost individual labs</w:t>
      </w:r>
    </w:p>
    <w:p>
      <w:pPr>
        <w:pStyle w:val="ListParagraph"/>
        <w:numPr>
          <w:ilvl w:val="0"/>
          <w:numId w:val="1"/>
        </w:numPr>
        <w:spacing w:after="80"/>
      </w:pPr>
      <w:r>
        <w:rPr>
          <w:sz w:val="22"/>
          <w:szCs w:val="22"/>
        </w:rPr>
        <w:t xml:space="preserve">Shared Trainer Resource Group → Shared Databricks Workspace, Shared ADLS, Shared datasets, Shared AI Search, Shared AI services</w:t>
      </w:r>
    </w:p>
    <w:p>
      <w:pPr>
        <w:spacing w:after="160" w:before="120"/>
      </w:pPr>
      <w:r>
        <w:rPr>
          <w:b w:val="false"/>
          <w:bCs w:val="false"/>
          <w:i w:val="false"/>
          <w:iCs w:val="false"/>
          <w:sz w:val="22"/>
          <w:szCs w:val="22"/>
        </w:rPr>
        <w:t xml:space="preserve">and give students appropriate workspace-level/access permissions. That can reduce cost dramatically.</w:t>
      </w:r>
    </w:p>
    <w:p>
      <w:pPr>
        <w:pBdr>
          <w:bottom w:val="single" w:color="AAAAAA" w:sz="6" w:space="1"/>
        </w:pBdr>
        <w:spacing w:after="200" w:before="200"/>
      </w:pPr>
    </w:p>
    <w:p>
      <w:pPr>
        <w:pStyle w:val="Heading1"/>
        <w:spacing w:after="160" w:before="320"/>
      </w:pPr>
      <w:r>
        <w:t xml:space="preserve">The first thing you should do now</w:t>
      </w:r>
    </w:p>
    <w:p>
      <w:pPr>
        <w:spacing w:after="100" w:before="0"/>
      </w:pPr>
      <w:r>
        <w:rPr>
          <w:b w:val="false"/>
          <w:bCs w:val="false"/>
          <w:i w:val="false"/>
          <w:iCs w:val="false"/>
          <w:sz w:val="22"/>
          <w:szCs w:val="22"/>
        </w:rPr>
        <w:t xml:space="preserve">Don't create all 14 users immediately. First do this sequence:</w:t>
      </w:r>
    </w:p>
    <w:p>
      <w:pPr>
        <w:pStyle w:val="ListParagraph"/>
        <w:numPr>
          <w:ilvl w:val="0"/>
          <w:numId w:val="1"/>
        </w:numPr>
        <w:spacing w:after="80"/>
      </w:pPr>
      <w:r>
        <w:rPr>
          <w:sz w:val="22"/>
          <w:szCs w:val="22"/>
        </w:rPr>
        <w:t xml:space="preserve">Create Tenant</w:t>
      </w:r>
    </w:p>
    <w:p>
      <w:pPr>
        <w:pStyle w:val="ListParagraph"/>
        <w:numPr>
          <w:ilvl w:val="0"/>
          <w:numId w:val="1"/>
        </w:numPr>
        <w:spacing w:after="80"/>
      </w:pPr>
      <w:r>
        <w:rPr>
          <w:sz w:val="22"/>
          <w:szCs w:val="22"/>
        </w:rPr>
        <w:t xml:space="preserve">Create Student01</w:t>
      </w:r>
    </w:p>
    <w:p>
      <w:pPr>
        <w:pStyle w:val="ListParagraph"/>
        <w:numPr>
          <w:ilvl w:val="0"/>
          <w:numId w:val="1"/>
        </w:numPr>
        <w:spacing w:after="80"/>
      </w:pPr>
      <w:r>
        <w:rPr>
          <w:sz w:val="22"/>
          <w:szCs w:val="22"/>
        </w:rPr>
        <w:t xml:space="preserve">Confirm subscription is visible in that tenant</w:t>
      </w:r>
    </w:p>
    <w:p>
      <w:pPr>
        <w:pStyle w:val="ListParagraph"/>
        <w:numPr>
          <w:ilvl w:val="0"/>
          <w:numId w:val="1"/>
        </w:numPr>
        <w:spacing w:after="80"/>
      </w:pPr>
      <w:r>
        <w:rPr>
          <w:sz w:val="22"/>
          <w:szCs w:val="22"/>
        </w:rPr>
        <w:t xml:space="preserve">Create rg-cdg-s01</w:t>
      </w:r>
    </w:p>
    <w:p>
      <w:pPr>
        <w:pStyle w:val="ListParagraph"/>
        <w:numPr>
          <w:ilvl w:val="0"/>
          <w:numId w:val="1"/>
        </w:numPr>
        <w:spacing w:after="80"/>
      </w:pPr>
      <w:r>
        <w:rPr>
          <w:sz w:val="22"/>
          <w:szCs w:val="22"/>
        </w:rPr>
        <w:t xml:space="preserve">Give Student01 Contributor</w:t>
      </w:r>
    </w:p>
    <w:p>
      <w:pPr>
        <w:pStyle w:val="ListParagraph"/>
        <w:numPr>
          <w:ilvl w:val="0"/>
          <w:numId w:val="1"/>
        </w:numPr>
        <w:spacing w:after="80"/>
      </w:pPr>
      <w:r>
        <w:rPr>
          <w:sz w:val="22"/>
          <w:szCs w:val="22"/>
        </w:rPr>
        <w:t xml:space="preserve">Login as Student01</w:t>
      </w:r>
    </w:p>
    <w:p>
      <w:pPr>
        <w:pStyle w:val="ListParagraph"/>
        <w:numPr>
          <w:ilvl w:val="0"/>
          <w:numId w:val="1"/>
        </w:numPr>
        <w:spacing w:after="80"/>
      </w:pPr>
      <w:r>
        <w:rPr>
          <w:sz w:val="22"/>
          <w:szCs w:val="22"/>
        </w:rPr>
        <w:t xml:space="preserve">Create one small resource</w:t>
      </w:r>
    </w:p>
    <w:p>
      <w:pPr>
        <w:spacing w:after="160" w:before="160"/>
      </w:pPr>
      <w:r>
        <w:rPr>
          <w:b w:val="false"/>
          <w:bCs w:val="false"/>
          <w:i w:val="false"/>
          <w:iCs w:val="false"/>
          <w:sz w:val="22"/>
          <w:szCs w:val="22"/>
        </w:rPr>
        <w:t xml:space="preserve">Once that succeeds end-to-end, bulk-create Students 02–14.</w:t>
      </w:r>
    </w:p>
    <w:p>
      <w:pPr>
        <w:spacing w:after="160" w:before="0"/>
      </w:pPr>
      <w:r>
        <w:rPr>
          <w:b w:val="false"/>
          <w:bCs w:val="false"/>
          <w:i w:val="false"/>
          <w:iCs w:val="false"/>
          <w:sz w:val="22"/>
          <w:szCs w:val="22"/>
        </w:rPr>
        <w:t xml:space="preserve">This avoids discovering a tenant/subscription/RBAC problem after you've already configured all 14 accounts.</w:t>
      </w:r>
    </w:p>
    <w:p>
      <w:pPr>
        <w:spacing w:after="160" w:before="160"/>
      </w:pPr>
      <w:r>
        <w:rPr>
          <w:b w:val="false"/>
          <w:bCs w:val="false"/>
          <w:i/>
          <w:iCs/>
          <w:color w:val="595959"/>
          <w:sz w:val="22"/>
          <w:szCs w:val="22"/>
        </w:rPr>
        <w:t xml:space="preserve">Send screenshots as you perform these steps and drop them into the placeholders above — that keeps this guide as an accurate, visual record of your specific tenant/subscription setup.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7b64dbbb863eaac2934d4f6083f963a4598001.undefined"/><Relationship Id="rId8" Type="http://schemas.openxmlformats.org/officeDocument/2006/relationships/image" Target="media/a2e4ce5070c66f4cb414a8752faaf457535351de.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2026-08-27T03:20:36.705Z</dcterms:created>
  <dcterms:modified xsi:type="dcterms:W3CDTF">2026-08-27T03:20:36.715Z</dcterms:modified>
</cp:coreProperties>
</file>

<file path=docProps/custom.xml><?xml version="1.0" encoding="utf-8"?>
<Properties xmlns="http://schemas.openxmlformats.org/officeDocument/2006/custom-properties" xmlns:vt="http://schemas.openxmlformats.org/officeDocument/2006/docPropsVTypes"/>
</file>