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jc w:val="center"/>
      </w:pPr>
      <w:r>
        <w:rPr>
          <w:rFonts w:ascii="Calibri" w:hAnsi="Calibri"/>
          <w:b/>
          <w:color w:val="2E74B5"/>
          <w:sz w:val="24"/>
        </w:rPr>
        <w:t>AZURE DATABRICKS</w:t>
      </w:r>
    </w:p>
    <w:p>
      <w:pPr>
        <w:spacing w:after="160"/>
        <w:jc w:val="center"/>
      </w:pPr>
      <w:r>
        <w:rPr>
          <w:rFonts w:ascii="Calibri" w:hAnsi="Calibri"/>
          <w:b/>
          <w:color w:val="163A5F"/>
          <w:sz w:val="58"/>
        </w:rPr>
        <w:t>Trainer Handbook and Lab Guide</w:t>
      </w:r>
    </w:p>
    <w:p>
      <w:pPr>
        <w:spacing w:after="520"/>
        <w:jc w:val="center"/>
      </w:pPr>
      <w:r>
        <w:rPr>
          <w:rFonts w:ascii="Calibri" w:hAnsi="Calibri"/>
          <w:color w:val="667085"/>
          <w:sz w:val="27"/>
        </w:rPr>
        <w:t>From fundamentals to advanced data engineering, architecture, governance, streaming, ML and automation</w:t>
      </w:r>
    </w:p>
    <w:tbl>
      <w:tblPr>
        <w:tblW w:type="dxa" w:w="9360"/>
        <w:jc w:val="left"/>
        <w:tblLayout w:type="fixed"/>
        <w:tblLook w:firstColumn="1" w:firstRow="1" w:lastColumn="0" w:lastRow="0" w:noHBand="0" w:noVBand="1" w:val="04A0"/>
        <w:tblInd w:w="0" w:type="dxa"/>
      </w:tblPr>
      <w:tblGrid>
        <w:gridCol w:w="3120"/>
        <w:gridCol w:w="3120"/>
        <w:gridCol w:w="3120"/>
      </w:tblGrid>
      <w:tr>
        <w:trPr>
          <w:cantSplit/>
        </w:trPr>
        <w:tc>
          <w:tcPr>
            <w:tcW w:type="dxa" w:w="3120"/>
            <w:tcMar>
              <w:top w:w="80" w:type="dxa"/>
              <w:start w:w="120" w:type="dxa"/>
              <w:bottom w:w="80" w:type="dxa"/>
              <w:end w:w="120" w:type="dxa"/>
            </w:tcMar>
            <w:vAlign w:val="center"/>
            <w:shd w:fill="F2F7FB"/>
          </w:tcPr>
          <w:p>
            <w:pPr>
              <w:spacing w:after="60"/>
              <w:jc w:val="center"/>
            </w:pPr>
            <w:r>
              <w:rPr>
                <w:rFonts w:ascii="Calibri" w:hAnsi="Calibri"/>
                <w:b/>
                <w:color w:val="2E74B5"/>
                <w:sz w:val="17"/>
              </w:rPr>
              <w:t>SCOPE</w:t>
              <w:br/>
            </w:r>
            <w:r>
              <w:rPr>
                <w:rFonts w:ascii="Calibri" w:hAnsi="Calibri"/>
                <w:b/>
                <w:color w:val="163A5F"/>
                <w:sz w:val="22"/>
              </w:rPr>
              <w:t>Days 16-25</w:t>
            </w:r>
          </w:p>
        </w:tc>
        <w:tc>
          <w:tcPr>
            <w:tcW w:type="dxa" w:w="3120"/>
            <w:tcMar>
              <w:top w:w="80" w:type="dxa"/>
              <w:start w:w="120" w:type="dxa"/>
              <w:bottom w:w="80" w:type="dxa"/>
              <w:end w:w="120" w:type="dxa"/>
            </w:tcMar>
            <w:vAlign w:val="center"/>
            <w:shd w:fill="F2F7FB"/>
          </w:tcPr>
          <w:p>
            <w:pPr>
              <w:spacing w:after="60"/>
              <w:jc w:val="center"/>
            </w:pPr>
            <w:r>
              <w:rPr>
                <w:rFonts w:ascii="Calibri" w:hAnsi="Calibri"/>
                <w:b/>
                <w:color w:val="2E74B5"/>
                <w:sz w:val="17"/>
              </w:rPr>
              <w:t>AUDIENCE</w:t>
              <w:br/>
            </w:r>
            <w:r>
              <w:rPr>
                <w:rFonts w:ascii="Calibri" w:hAnsi="Calibri"/>
                <w:b/>
                <w:color w:val="163A5F"/>
                <w:sz w:val="22"/>
              </w:rPr>
              <w:t>Data/Platform Engineers</w:t>
            </w:r>
          </w:p>
        </w:tc>
        <w:tc>
          <w:tcPr>
            <w:tcW w:type="dxa" w:w="3120"/>
            <w:tcMar>
              <w:top w:w="80" w:type="dxa"/>
              <w:start w:w="120" w:type="dxa"/>
              <w:bottom w:w="80" w:type="dxa"/>
              <w:end w:w="120" w:type="dxa"/>
            </w:tcMar>
            <w:vAlign w:val="center"/>
            <w:shd w:fill="F2F7FB"/>
          </w:tcPr>
          <w:p>
            <w:pPr>
              <w:spacing w:after="60"/>
              <w:jc w:val="center"/>
            </w:pPr>
            <w:r>
              <w:rPr>
                <w:rFonts w:ascii="Calibri" w:hAnsi="Calibri"/>
                <w:b/>
                <w:color w:val="2E74B5"/>
                <w:sz w:val="17"/>
              </w:rPr>
              <w:t>LAB MODEL</w:t>
              <w:br/>
            </w:r>
            <w:r>
              <w:rPr>
                <w:rFonts w:ascii="Calibri" w:hAnsi="Calibri"/>
                <w:b/>
                <w:color w:val="163A5F"/>
                <w:sz w:val="22"/>
              </w:rPr>
              <w:t>Azure, 14 learners</w:t>
            </w:r>
          </w:p>
        </w:tc>
      </w:tr>
    </w:tbl>
    <w:p>
      <w:pPr>
        <w:spacing w:before="720" w:after="80"/>
        <w:jc w:val="center"/>
      </w:pPr>
      <w:r>
        <w:rPr>
          <w:rFonts w:ascii="Calibri" w:hAnsi="Calibri"/>
          <w:color w:val="1F2937"/>
          <w:sz w:val="21"/>
        </w:rPr>
        <w:t>Aligned to: 2026 Cloud-Data-GenAI Learning Path</w:t>
      </w:r>
    </w:p>
    <w:p>
      <w:pPr>
        <w:jc w:val="center"/>
      </w:pPr>
      <w:r>
        <w:rPr>
          <w:rFonts w:ascii="Calibri" w:hAnsi="Calibri"/>
          <w:i/>
          <w:color w:val="667085"/>
          <w:sz w:val="19"/>
        </w:rPr>
        <w:t>Prepared for Srinivasa | 31 August 2026</w:t>
      </w:r>
    </w:p>
    <w:p>
      <w:pPr>
        <w:pStyle w:val="Heading1"/>
        <w:pageBreakBefore/>
      </w:pPr>
      <w:r>
        <w:t>How to use this handbook</w:t>
      </w:r>
    </w:p>
    <w:p>
      <w:r>
        <w:rPr>
          <w:i w:val="0"/>
        </w:rPr>
        <w:t>This is a delivery playbook, not only a learner manual. Each day begins with the simple explanation you can use in class, then moves into architecture, instructor demonstration, student hands-on work, validation, troubleshooting and cleanup. The labs use a single retail-orders case study so learners see one system mature from files to governed batch and streaming pipelines, analytics, machine learning and infrastructure as code.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9F5EF"/>
          </w:tcPr>
          <w:p>
            <w:pPr>
              <w:spacing w:after="0"/>
            </w:pPr>
            <w:r>
              <w:rPr>
                <w:rFonts w:ascii="Calibri" w:hAnsi="Calibri"/>
                <w:b/>
                <w:color w:val="1F6B4F"/>
                <w:sz w:val="20"/>
              </w:rPr>
              <w:t xml:space="preserve">RECOMMENDED DELIVERY: </w:t>
            </w:r>
            <w:r>
              <w:rPr>
                <w:rFonts w:ascii="Calibri" w:hAnsi="Calibri"/>
                <w:color w:val="1F2937"/>
                <w:sz w:val="20"/>
              </w:rPr>
              <w:t>Use one Azure Databricks Premium workspace for the class, one Entra ID group for all 14 learners, Unity Catalog, a shared serverless or tightly governed shared compute option, and one schema per learner. Use a trainer-only Event Hubs connection and Azure integration resources for the advanced demonstrations.</w:t>
            </w:r>
          </w:p>
        </w:tc>
      </w:tr>
    </w:tbl>
    <w:p>
      <w:pPr>
        <w:pStyle w:val="Heading2"/>
      </w:pPr>
      <w:r>
        <w:t>Contents</w:t>
      </w:r>
    </w:p>
    <w:p>
      <w:pPr>
        <w:pStyle w:val="ListBullet"/>
      </w:pPr>
      <w:r>
        <w:t>Part 1 - Databricks explained from zero to advanced</w:t>
      </w:r>
    </w:p>
    <w:p>
      <w:pPr>
        <w:pStyle w:val="ListBullet"/>
      </w:pPr>
      <w:r>
        <w:t>Part 2 - Corrections and delivery choices for the uploaded schedule</w:t>
      </w:r>
    </w:p>
    <w:p>
      <w:pPr>
        <w:pStyle w:val="ListBullet"/>
      </w:pPr>
      <w:r>
        <w:t>Part 3 - Ten-day trainer run sheet for Days 16-25</w:t>
      </w:r>
    </w:p>
    <w:p>
      <w:pPr>
        <w:pStyle w:val="ListBullet"/>
      </w:pPr>
      <w:r>
        <w:t>Part 4 - Azure lab environment and classroom setup for 14 learners</w:t>
      </w:r>
    </w:p>
    <w:p>
      <w:pPr>
        <w:pStyle w:val="ListBullet"/>
      </w:pPr>
      <w:r>
        <w:t>Part 5 - Detailed hands-on labs</w:t>
      </w:r>
    </w:p>
    <w:p>
      <w:pPr>
        <w:pStyle w:val="ListBullet"/>
      </w:pPr>
      <w:r>
        <w:t>Part 6 - Architecture, security, performance and production guidance</w:t>
      </w:r>
    </w:p>
    <w:p>
      <w:pPr>
        <w:pStyle w:val="ListBullet"/>
      </w:pPr>
      <w:r>
        <w:t>Part 7 - Assessment, capstone, troubleshooting and cleanup</w:t>
      </w:r>
    </w:p>
    <w:p>
      <w:pPr>
        <w:pStyle w:val="ListBullet"/>
      </w:pPr>
      <w:r>
        <w:t>Appendix - Command reference, trainer checklist and official sources</w:t>
      </w:r>
    </w:p>
    <w:p>
      <w:pPr>
        <w:pStyle w:val="Heading2"/>
      </w:pPr>
      <w:r>
        <w:t>What learners should be able to do by the end</w:t>
      </w:r>
    </w:p>
    <w:p>
      <w:pPr>
        <w:pStyle w:val="ListBullet"/>
      </w:pPr>
      <w:r>
        <w:t>Explain the lakehouse model, Databricks architecture, Spark execution and the role of Delta Lake.</w:t>
      </w:r>
    </w:p>
    <w:p>
      <w:pPr>
        <w:pStyle w:val="ListBullet"/>
      </w:pPr>
      <w:r>
        <w:t>Build batch and incremental Bronze-Silver-Gold pipelines in PySpark and SQL.</w:t>
      </w:r>
    </w:p>
    <w:p>
      <w:pPr>
        <w:pStyle w:val="ListBullet"/>
      </w:pPr>
      <w:r>
        <w:t>Govern data with Unity Catalog and Azure managed identities.</w:t>
      </w:r>
    </w:p>
    <w:p>
      <w:pPr>
        <w:pStyle w:val="ListBullet"/>
      </w:pPr>
      <w:r>
        <w:t>Orchestrate repeatable workloads with Lakeflow Jobs and declarative pipelines.</w:t>
      </w:r>
    </w:p>
    <w:p>
      <w:pPr>
        <w:pStyle w:val="ListBullet"/>
      </w:pPr>
      <w:r>
        <w:t>Build and recover a Structured Streaming pipeline and explain event-time concepts.</w:t>
      </w:r>
    </w:p>
    <w:p>
      <w:pPr>
        <w:pStyle w:val="ListBullet"/>
      </w:pPr>
      <w:r>
        <w:t>Tune data layout, joins, shuffles, partitions, caching and compute selection.</w:t>
      </w:r>
    </w:p>
    <w:p>
      <w:pPr>
        <w:pStyle w:val="ListBullet"/>
      </w:pPr>
      <w:r>
        <w:t>Create AI/BI dashboards, SQL alerts and a governed Genie Agent demonstration.</w:t>
      </w:r>
    </w:p>
    <w:p>
      <w:pPr>
        <w:pStyle w:val="ListBullet"/>
      </w:pPr>
      <w:r>
        <w:t>Track experiments with MLflow and deploy Databricks resources through Terraform or Declarative Automation Bundles.</w:t>
      </w:r>
    </w:p>
    <w:p>
      <w:pPr>
        <w:pStyle w:val="Heading1"/>
        <w:pageBreakBefore/>
      </w:pPr>
      <w:r>
        <w:t>Part 1 - Databricks explained from zero to advanced</w:t>
      </w:r>
    </w:p>
    <w:p>
      <w:pPr>
        <w:pStyle w:val="Heading2"/>
      </w:pPr>
      <w:r>
        <w:t>1. What problem does Databricks solve?</w:t>
      </w:r>
    </w:p>
    <w:p>
      <w:r>
        <w:rPr>
          <w:i w:val="0"/>
        </w:rPr>
        <w:t>Organizations usually have separate tools for data engineering, SQL analytics, data science, machine learning and governance. Teams copy the same data between those tools, create inconsistent security rules and spend time operating infrastructure. Databricks brings those workloads into one governed platform and lets them work on the same data.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7FB"/>
          </w:tcPr>
          <w:p>
            <w:pPr>
              <w:spacing w:after="0"/>
            </w:pPr>
            <w:r>
              <w:rPr>
                <w:rFonts w:ascii="Calibri" w:hAnsi="Calibri"/>
                <w:b/>
                <w:color w:val="163A5F"/>
                <w:sz w:val="20"/>
              </w:rPr>
              <w:t xml:space="preserve">SIMPLE CLASSROOM ANALOGY: </w:t>
            </w:r>
            <w:r>
              <w:rPr>
                <w:rFonts w:ascii="Calibri" w:hAnsi="Calibri"/>
                <w:color w:val="1F2937"/>
                <w:sz w:val="20"/>
              </w:rPr>
              <w:t>Think of Azure as the city, Azure Databricks as a modern data factory, ADLS as the warehouse, Spark as the worker team, Delta Lake as the inventory ledger, Unity Catalog as the security office and Lakeflow Jobs as the shift scheduler.</w:t>
            </w:r>
          </w:p>
        </w:tc>
      </w:tr>
    </w:tbl>
    <w:p>
      <w:pPr>
        <w:pStyle w:val="Heading2"/>
      </w:pPr>
      <w:r>
        <w:t>2. The core terms learners must know</w:t>
      </w:r>
    </w:p>
    <w:tbl>
      <w:tblPr>
        <w:tblStyle w:val="TableGrid"/>
        <w:tblW w:type="dxa" w:w="9360"/>
        <w:tblLayout w:type="fixed"/>
        <w:tblLook w:firstColumn="1" w:firstRow="1" w:lastColumn="0" w:lastRow="0" w:noHBand="0" w:noVBand="1" w:val="04A0"/>
        <w:jc w:val="left"/>
        <w:tblInd w:w="120" w:type="dxa"/>
      </w:tblPr>
      <w:tblGrid>
        <w:gridCol w:w="1500"/>
        <w:gridCol w:w="3900"/>
        <w:gridCol w:w="3960"/>
      </w:tblGrid>
      <w:tr>
        <w:trPr>
          <w:tblHeader w:val="true"/>
          <w:cantSplit/>
        </w:trPr>
        <w:tc>
          <w:tcPr>
            <w:tcW w:type="dxa" w:w="1500"/>
            <w:tcMar>
              <w:top w:w="80" w:type="dxa"/>
              <w:start w:w="120" w:type="dxa"/>
              <w:bottom w:w="80" w:type="dxa"/>
              <w:end w:w="120" w:type="dxa"/>
            </w:tcMar>
            <w:vAlign w:val="center"/>
            <w:shd w:fill="E8EEF5"/>
          </w:tcPr>
          <w:p>
            <w:pPr>
              <w:spacing w:after="0"/>
            </w:pPr>
            <w:r>
              <w:rPr>
                <w:rFonts w:ascii="Calibri" w:hAnsi="Calibri"/>
                <w:b/>
                <w:color w:val="163A5F"/>
                <w:sz w:val="18"/>
              </w:rPr>
              <w:t>Term</w:t>
            </w:r>
          </w:p>
        </w:tc>
        <w:tc>
          <w:tcPr>
            <w:tcW w:type="dxa" w:w="3900"/>
            <w:tcMar>
              <w:top w:w="80" w:type="dxa"/>
              <w:start w:w="120" w:type="dxa"/>
              <w:bottom w:w="80" w:type="dxa"/>
              <w:end w:w="120" w:type="dxa"/>
            </w:tcMar>
            <w:vAlign w:val="center"/>
            <w:shd w:fill="E8EEF5"/>
          </w:tcPr>
          <w:p>
            <w:pPr>
              <w:spacing w:after="0"/>
            </w:pPr>
            <w:r>
              <w:rPr>
                <w:rFonts w:ascii="Calibri" w:hAnsi="Calibri"/>
                <w:b/>
                <w:color w:val="163A5F"/>
                <w:sz w:val="18"/>
              </w:rPr>
              <w:t>Plain-language meaning</w:t>
            </w:r>
          </w:p>
        </w:tc>
        <w:tc>
          <w:tcPr>
            <w:tcW w:type="dxa" w:w="3960"/>
            <w:tcMar>
              <w:top w:w="80" w:type="dxa"/>
              <w:start w:w="120" w:type="dxa"/>
              <w:bottom w:w="80" w:type="dxa"/>
              <w:end w:w="120" w:type="dxa"/>
            </w:tcMar>
            <w:vAlign w:val="center"/>
            <w:shd w:fill="E8EEF5"/>
          </w:tcPr>
          <w:p>
            <w:pPr>
              <w:spacing w:after="0"/>
            </w:pPr>
            <w:r>
              <w:rPr>
                <w:rFonts w:ascii="Calibri" w:hAnsi="Calibri"/>
                <w:b/>
                <w:color w:val="163A5F"/>
                <w:sz w:val="18"/>
              </w:rPr>
              <w:t>Trainer emphasis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Workspace</w:t>
            </w:r>
          </w:p>
        </w:tc>
        <w:tc>
          <w:tcPr>
            <w:tcW w:type="dxa" w:w="3900"/>
            <w:tcMar>
              <w:top w:w="80" w:type="dxa"/>
              <w:start w:w="120" w:type="dxa"/>
              <w:bottom w:w="80" w:type="dxa"/>
              <w:end w:w="120" w:type="dxa"/>
            </w:tcMar>
            <w:vAlign w:val="center"/>
          </w:tcPr>
          <w:p>
            <w:pPr>
              <w:spacing w:after="0"/>
            </w:pPr>
            <w:r>
              <w:rPr>
                <w:rFonts w:ascii="Calibri" w:hAnsi="Calibri"/>
                <w:color w:val="1F2937"/>
                <w:sz w:val="17"/>
              </w:rPr>
              <w:t>The collaborative environment containing notebooks, jobs, pipelines, dashboards and permissions.</w:t>
            </w:r>
          </w:p>
        </w:tc>
        <w:tc>
          <w:tcPr>
            <w:tcW w:type="dxa" w:w="3960"/>
            <w:tcMar>
              <w:top w:w="80" w:type="dxa"/>
              <w:start w:w="120" w:type="dxa"/>
              <w:bottom w:w="80" w:type="dxa"/>
              <w:end w:w="120" w:type="dxa"/>
            </w:tcMar>
            <w:vAlign w:val="center"/>
          </w:tcPr>
          <w:p>
            <w:pPr>
              <w:spacing w:after="0"/>
            </w:pPr>
            <w:r>
              <w:rPr>
                <w:rFonts w:ascii="Calibri" w:hAnsi="Calibri"/>
                <w:color w:val="1F2937"/>
                <w:sz w:val="17"/>
              </w:rPr>
              <w:t>A workspace is not the same thing as the storage account.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Notebook</w:t>
            </w:r>
          </w:p>
        </w:tc>
        <w:tc>
          <w:tcPr>
            <w:tcW w:type="dxa" w:w="3900"/>
            <w:tcMar>
              <w:top w:w="80" w:type="dxa"/>
              <w:start w:w="120" w:type="dxa"/>
              <w:bottom w:w="80" w:type="dxa"/>
              <w:end w:w="120" w:type="dxa"/>
            </w:tcMar>
            <w:vAlign w:val="center"/>
          </w:tcPr>
          <w:p>
            <w:pPr>
              <w:spacing w:after="0"/>
            </w:pPr>
            <w:r>
              <w:rPr>
                <w:rFonts w:ascii="Calibri" w:hAnsi="Calibri"/>
                <w:color w:val="1F2937"/>
                <w:sz w:val="17"/>
              </w:rPr>
              <w:t>An interactive document containing code, results, charts and explanation.</w:t>
            </w:r>
          </w:p>
        </w:tc>
        <w:tc>
          <w:tcPr>
            <w:tcW w:type="dxa" w:w="3960"/>
            <w:tcMar>
              <w:top w:w="80" w:type="dxa"/>
              <w:start w:w="120" w:type="dxa"/>
              <w:bottom w:w="80" w:type="dxa"/>
              <w:end w:w="120" w:type="dxa"/>
            </w:tcMar>
            <w:vAlign w:val="center"/>
          </w:tcPr>
          <w:p>
            <w:pPr>
              <w:spacing w:after="0"/>
            </w:pPr>
            <w:r>
              <w:rPr>
                <w:rFonts w:ascii="Calibri" w:hAnsi="Calibri"/>
                <w:color w:val="1F2937"/>
                <w:sz w:val="17"/>
              </w:rPr>
              <w:t>Cells can use Python, SQL, Scala or R depending on compute.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Compute</w:t>
            </w:r>
          </w:p>
        </w:tc>
        <w:tc>
          <w:tcPr>
            <w:tcW w:type="dxa" w:w="3900"/>
            <w:tcMar>
              <w:top w:w="80" w:type="dxa"/>
              <w:start w:w="120" w:type="dxa"/>
              <w:bottom w:w="80" w:type="dxa"/>
              <w:end w:w="120" w:type="dxa"/>
            </w:tcMar>
            <w:vAlign w:val="center"/>
          </w:tcPr>
          <w:p>
            <w:pPr>
              <w:spacing w:after="0"/>
            </w:pPr>
            <w:r>
              <w:rPr>
                <w:rFonts w:ascii="Calibri" w:hAnsi="Calibri"/>
                <w:color w:val="1F2937"/>
                <w:sz w:val="17"/>
              </w:rPr>
              <w:t>The processing resource that executes notebook, SQL, job or pipeline work.</w:t>
            </w:r>
          </w:p>
        </w:tc>
        <w:tc>
          <w:tcPr>
            <w:tcW w:type="dxa" w:w="3960"/>
            <w:tcMar>
              <w:top w:w="80" w:type="dxa"/>
              <w:start w:w="120" w:type="dxa"/>
              <w:bottom w:w="80" w:type="dxa"/>
              <w:end w:w="120" w:type="dxa"/>
            </w:tcMar>
            <w:vAlign w:val="center"/>
          </w:tcPr>
          <w:p>
            <w:pPr>
              <w:spacing w:after="0"/>
            </w:pPr>
            <w:r>
              <w:rPr>
                <w:rFonts w:ascii="Calibri" w:hAnsi="Calibri"/>
                <w:color w:val="1F2937"/>
                <w:sz w:val="17"/>
              </w:rPr>
              <w:t>Serverless is preferred for many modern workloads; classic compute remains useful for special requirements.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Apache Spark</w:t>
            </w:r>
          </w:p>
        </w:tc>
        <w:tc>
          <w:tcPr>
            <w:tcW w:type="dxa" w:w="3900"/>
            <w:tcMar>
              <w:top w:w="80" w:type="dxa"/>
              <w:start w:w="120" w:type="dxa"/>
              <w:bottom w:w="80" w:type="dxa"/>
              <w:end w:w="120" w:type="dxa"/>
            </w:tcMar>
            <w:vAlign w:val="center"/>
          </w:tcPr>
          <w:p>
            <w:pPr>
              <w:spacing w:after="0"/>
            </w:pPr>
            <w:r>
              <w:rPr>
                <w:rFonts w:ascii="Calibri" w:hAnsi="Calibri"/>
                <w:color w:val="1F2937"/>
                <w:sz w:val="17"/>
              </w:rPr>
              <w:t>A distributed processing engine that splits large jobs across workers.</w:t>
            </w:r>
          </w:p>
        </w:tc>
        <w:tc>
          <w:tcPr>
            <w:tcW w:type="dxa" w:w="3960"/>
            <w:tcMar>
              <w:top w:w="80" w:type="dxa"/>
              <w:start w:w="120" w:type="dxa"/>
              <w:bottom w:w="80" w:type="dxa"/>
              <w:end w:w="120" w:type="dxa"/>
            </w:tcMar>
            <w:vAlign w:val="center"/>
          </w:tcPr>
          <w:p>
            <w:pPr>
              <w:spacing w:after="0"/>
            </w:pPr>
            <w:r>
              <w:rPr>
                <w:rFonts w:ascii="Calibri" w:hAnsi="Calibri"/>
                <w:color w:val="1F2937"/>
                <w:sz w:val="17"/>
              </w:rPr>
              <w:t>Teach DataFrames and Spark SQL first; keep RDDs conceptual.</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Delta Lake</w:t>
            </w:r>
          </w:p>
        </w:tc>
        <w:tc>
          <w:tcPr>
            <w:tcW w:type="dxa" w:w="3900"/>
            <w:tcMar>
              <w:top w:w="80" w:type="dxa"/>
              <w:start w:w="120" w:type="dxa"/>
              <w:bottom w:w="80" w:type="dxa"/>
              <w:end w:w="120" w:type="dxa"/>
            </w:tcMar>
            <w:vAlign w:val="center"/>
          </w:tcPr>
          <w:p>
            <w:pPr>
              <w:spacing w:after="0"/>
            </w:pPr>
            <w:r>
              <w:rPr>
                <w:rFonts w:ascii="Calibri" w:hAnsi="Calibri"/>
                <w:color w:val="1F2937"/>
                <w:sz w:val="17"/>
              </w:rPr>
              <w:t>A table format and transaction layer that adds reliable writes, schema controls and history to cloud object storage.</w:t>
            </w:r>
          </w:p>
        </w:tc>
        <w:tc>
          <w:tcPr>
            <w:tcW w:type="dxa" w:w="3960"/>
            <w:tcMar>
              <w:top w:w="80" w:type="dxa"/>
              <w:start w:w="120" w:type="dxa"/>
              <w:bottom w:w="80" w:type="dxa"/>
              <w:end w:w="120" w:type="dxa"/>
            </w:tcMar>
            <w:vAlign w:val="center"/>
          </w:tcPr>
          <w:p>
            <w:pPr>
              <w:spacing w:after="0"/>
            </w:pPr>
            <w:r>
              <w:rPr>
                <w:rFonts w:ascii="Calibri" w:hAnsi="Calibri"/>
                <w:color w:val="1F2937"/>
                <w:sz w:val="17"/>
              </w:rPr>
              <w:t>Delta is not a separate database server.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Unity Catalog</w:t>
            </w:r>
          </w:p>
        </w:tc>
        <w:tc>
          <w:tcPr>
            <w:tcW w:type="dxa" w:w="3900"/>
            <w:tcMar>
              <w:top w:w="80" w:type="dxa"/>
              <w:start w:w="120" w:type="dxa"/>
              <w:bottom w:w="80" w:type="dxa"/>
              <w:end w:w="120" w:type="dxa"/>
            </w:tcMar>
            <w:vAlign w:val="center"/>
          </w:tcPr>
          <w:p>
            <w:pPr>
              <w:spacing w:after="0"/>
            </w:pPr>
            <w:r>
              <w:rPr>
                <w:rFonts w:ascii="Calibri" w:hAnsi="Calibri"/>
                <w:color w:val="1F2937"/>
                <w:sz w:val="17"/>
              </w:rPr>
              <w:t>The unified governance layer for data and AI assets.</w:t>
            </w:r>
          </w:p>
        </w:tc>
        <w:tc>
          <w:tcPr>
            <w:tcW w:type="dxa" w:w="3960"/>
            <w:tcMar>
              <w:top w:w="80" w:type="dxa"/>
              <w:start w:w="120" w:type="dxa"/>
              <w:bottom w:w="80" w:type="dxa"/>
              <w:end w:w="120" w:type="dxa"/>
            </w:tcMar>
            <w:vAlign w:val="center"/>
          </w:tcPr>
          <w:p>
            <w:pPr>
              <w:spacing w:after="0"/>
            </w:pPr>
            <w:r>
              <w:rPr>
                <w:rFonts w:ascii="Calibri" w:hAnsi="Calibri"/>
                <w:color w:val="1F2937"/>
                <w:sz w:val="17"/>
              </w:rPr>
              <w:t>Use the three-level name catalog.schema.object.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Lakeflow Jobs</w:t>
            </w:r>
          </w:p>
        </w:tc>
        <w:tc>
          <w:tcPr>
            <w:tcW w:type="dxa" w:w="3900"/>
            <w:tcMar>
              <w:top w:w="80" w:type="dxa"/>
              <w:start w:w="120" w:type="dxa"/>
              <w:bottom w:w="80" w:type="dxa"/>
              <w:end w:w="120" w:type="dxa"/>
            </w:tcMar>
            <w:vAlign w:val="center"/>
          </w:tcPr>
          <w:p>
            <w:pPr>
              <w:spacing w:after="0"/>
            </w:pPr>
            <w:r>
              <w:rPr>
                <w:rFonts w:ascii="Calibri" w:hAnsi="Calibri"/>
                <w:color w:val="1F2937"/>
                <w:sz w:val="17"/>
              </w:rPr>
              <w:t>Workflow orchestration for repeatable multi-task workloads.</w:t>
            </w:r>
          </w:p>
        </w:tc>
        <w:tc>
          <w:tcPr>
            <w:tcW w:type="dxa" w:w="3960"/>
            <w:tcMar>
              <w:top w:w="80" w:type="dxa"/>
              <w:start w:w="120" w:type="dxa"/>
              <w:bottom w:w="80" w:type="dxa"/>
              <w:end w:w="120" w:type="dxa"/>
            </w:tcMar>
            <w:vAlign w:val="center"/>
          </w:tcPr>
          <w:p>
            <w:pPr>
              <w:spacing w:after="0"/>
            </w:pPr>
            <w:r>
              <w:rPr>
                <w:rFonts w:ascii="Calibri" w:hAnsi="Calibri"/>
                <w:color w:val="1F2937"/>
                <w:sz w:val="17"/>
              </w:rPr>
              <w:t>Use jobs compute or serverless, not an interactive cluster for production schedules.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Lakeflow pipelines</w:t>
            </w:r>
          </w:p>
        </w:tc>
        <w:tc>
          <w:tcPr>
            <w:tcW w:type="dxa" w:w="3900"/>
            <w:tcMar>
              <w:top w:w="80" w:type="dxa"/>
              <w:start w:w="120" w:type="dxa"/>
              <w:bottom w:w="80" w:type="dxa"/>
              <w:end w:w="120" w:type="dxa"/>
            </w:tcMar>
            <w:vAlign w:val="center"/>
          </w:tcPr>
          <w:p>
            <w:pPr>
              <w:spacing w:after="0"/>
            </w:pPr>
            <w:r>
              <w:rPr>
                <w:rFonts w:ascii="Calibri" w:hAnsi="Calibri"/>
                <w:color w:val="1F2937"/>
                <w:sz w:val="17"/>
              </w:rPr>
              <w:t>Declarative batch and streaming data pipelines with incremental processing and quality rules.</w:t>
            </w:r>
          </w:p>
        </w:tc>
        <w:tc>
          <w:tcPr>
            <w:tcW w:type="dxa" w:w="3960"/>
            <w:tcMar>
              <w:top w:w="80" w:type="dxa"/>
              <w:start w:w="120" w:type="dxa"/>
              <w:bottom w:w="80" w:type="dxa"/>
              <w:end w:w="120" w:type="dxa"/>
            </w:tcMar>
            <w:vAlign w:val="center"/>
          </w:tcPr>
          <w:p>
            <w:pPr>
              <w:spacing w:after="0"/>
            </w:pPr>
            <w:r>
              <w:rPr>
                <w:rFonts w:ascii="Calibri" w:hAnsi="Calibri"/>
                <w:color w:val="1F2937"/>
                <w:sz w:val="17"/>
              </w:rPr>
              <w:t>Use this after learners understand normal DataFrame transformations.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SQL warehouse</w:t>
            </w:r>
          </w:p>
        </w:tc>
        <w:tc>
          <w:tcPr>
            <w:tcW w:type="dxa" w:w="3900"/>
            <w:tcMar>
              <w:top w:w="80" w:type="dxa"/>
              <w:start w:w="120" w:type="dxa"/>
              <w:bottom w:w="80" w:type="dxa"/>
              <w:end w:w="120" w:type="dxa"/>
            </w:tcMar>
            <w:vAlign w:val="center"/>
          </w:tcPr>
          <w:p>
            <w:pPr>
              <w:spacing w:after="0"/>
            </w:pPr>
            <w:r>
              <w:rPr>
                <w:rFonts w:ascii="Calibri" w:hAnsi="Calibri"/>
                <w:color w:val="1F2937"/>
                <w:sz w:val="17"/>
              </w:rPr>
              <w:t>Compute optimized for SQL analytics, dashboards and BI connectivity.</w:t>
            </w:r>
          </w:p>
        </w:tc>
        <w:tc>
          <w:tcPr>
            <w:tcW w:type="dxa" w:w="3960"/>
            <w:tcMar>
              <w:top w:w="80" w:type="dxa"/>
              <w:start w:w="120" w:type="dxa"/>
              <w:bottom w:w="80" w:type="dxa"/>
              <w:end w:w="120" w:type="dxa"/>
            </w:tcMar>
            <w:vAlign w:val="center"/>
          </w:tcPr>
          <w:p>
            <w:pPr>
              <w:spacing w:after="0"/>
            </w:pPr>
            <w:r>
              <w:rPr>
                <w:rFonts w:ascii="Calibri" w:hAnsi="Calibri"/>
                <w:color w:val="1F2937"/>
                <w:sz w:val="17"/>
              </w:rPr>
              <w:t>It is separate from notebook compute.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MLflow</w:t>
            </w:r>
          </w:p>
        </w:tc>
        <w:tc>
          <w:tcPr>
            <w:tcW w:type="dxa" w:w="3900"/>
            <w:tcMar>
              <w:top w:w="80" w:type="dxa"/>
              <w:start w:w="120" w:type="dxa"/>
              <w:bottom w:w="80" w:type="dxa"/>
              <w:end w:w="120" w:type="dxa"/>
            </w:tcMar>
            <w:vAlign w:val="center"/>
          </w:tcPr>
          <w:p>
            <w:pPr>
              <w:spacing w:after="0"/>
            </w:pPr>
            <w:r>
              <w:rPr>
                <w:rFonts w:ascii="Calibri" w:hAnsi="Calibri"/>
                <w:color w:val="1F2937"/>
                <w:sz w:val="17"/>
              </w:rPr>
              <w:t>Experiment tracking, model packaging and model lifecycle tooling.</w:t>
            </w:r>
          </w:p>
        </w:tc>
        <w:tc>
          <w:tcPr>
            <w:tcW w:type="dxa" w:w="3960"/>
            <w:tcMar>
              <w:top w:w="80" w:type="dxa"/>
              <w:start w:w="120" w:type="dxa"/>
              <w:bottom w:w="80" w:type="dxa"/>
              <w:end w:w="120" w:type="dxa"/>
            </w:tcMar>
            <w:vAlign w:val="center"/>
          </w:tcPr>
          <w:p>
            <w:pPr>
              <w:spacing w:after="0"/>
            </w:pPr>
            <w:r>
              <w:rPr>
                <w:rFonts w:ascii="Calibri" w:hAnsi="Calibri"/>
                <w:color w:val="1F2937"/>
                <w:sz w:val="17"/>
              </w:rPr>
              <w:t>Track parameters, metrics and artifacts; register governed models in Unity Catalog.</w:t>
            </w:r>
          </w:p>
        </w:tc>
      </w:tr>
    </w:tbl>
    <w:p>
      <w:pPr>
        <w:spacing w:after="40"/>
      </w:pPr>
    </w:p>
    <w:p>
      <w:pPr>
        <w:pStyle w:val="Heading2"/>
      </w:pPr>
      <w:r>
        <w:t>3. Lake, warehouse and lakehouse</w:t>
      </w:r>
    </w:p>
    <w:tbl>
      <w:tblPr>
        <w:tblStyle w:val="TableGrid"/>
        <w:tblW w:type="dxa" w:w="9360"/>
        <w:tblLayout w:type="fixed"/>
        <w:tblLook w:firstColumn="1" w:firstRow="1" w:lastColumn="0" w:lastRow="0" w:noHBand="0" w:noVBand="1" w:val="04A0"/>
        <w:jc w:val="left"/>
        <w:tblInd w:w="120" w:type="dxa"/>
      </w:tblPr>
      <w:tblGrid>
        <w:gridCol w:w="1600"/>
        <w:gridCol w:w="3880"/>
        <w:gridCol w:w="3880"/>
      </w:tblGrid>
      <w:tr>
        <w:trPr>
          <w:tblHeader w:val="true"/>
          <w:cantSplit/>
        </w:trPr>
        <w:tc>
          <w:tcPr>
            <w:tcW w:type="dxa" w:w="1600"/>
            <w:tcMar>
              <w:top w:w="80" w:type="dxa"/>
              <w:start w:w="120" w:type="dxa"/>
              <w:bottom w:w="80" w:type="dxa"/>
              <w:end w:w="120" w:type="dxa"/>
            </w:tcMar>
            <w:vAlign w:val="center"/>
            <w:shd w:fill="E8EEF5"/>
          </w:tcPr>
          <w:p>
            <w:pPr>
              <w:spacing w:after="0"/>
            </w:pPr>
            <w:r>
              <w:rPr>
                <w:rFonts w:ascii="Calibri" w:hAnsi="Calibri"/>
                <w:b/>
                <w:color w:val="163A5F"/>
                <w:sz w:val="18"/>
              </w:rPr>
              <w:t>Approach</w:t>
            </w:r>
          </w:p>
        </w:tc>
        <w:tc>
          <w:tcPr>
            <w:tcW w:type="dxa" w:w="3880"/>
            <w:tcMar>
              <w:top w:w="80" w:type="dxa"/>
              <w:start w:w="120" w:type="dxa"/>
              <w:bottom w:w="80" w:type="dxa"/>
              <w:end w:w="120" w:type="dxa"/>
            </w:tcMar>
            <w:vAlign w:val="center"/>
            <w:shd w:fill="E8EEF5"/>
          </w:tcPr>
          <w:p>
            <w:pPr>
              <w:spacing w:after="0"/>
            </w:pPr>
            <w:r>
              <w:rPr>
                <w:rFonts w:ascii="Calibri" w:hAnsi="Calibri"/>
                <w:b/>
                <w:color w:val="163A5F"/>
                <w:sz w:val="18"/>
              </w:rPr>
              <w:t>Strength</w:t>
            </w:r>
          </w:p>
        </w:tc>
        <w:tc>
          <w:tcPr>
            <w:tcW w:type="dxa" w:w="3880"/>
            <w:tcMar>
              <w:top w:w="80" w:type="dxa"/>
              <w:start w:w="120" w:type="dxa"/>
              <w:bottom w:w="80" w:type="dxa"/>
              <w:end w:w="120" w:type="dxa"/>
            </w:tcMar>
            <w:vAlign w:val="center"/>
            <w:shd w:fill="E8EEF5"/>
          </w:tcPr>
          <w:p>
            <w:pPr>
              <w:spacing w:after="0"/>
            </w:pPr>
            <w:r>
              <w:rPr>
                <w:rFonts w:ascii="Calibri" w:hAnsi="Calibri"/>
                <w:b/>
                <w:color w:val="163A5F"/>
                <w:sz w:val="18"/>
              </w:rPr>
              <w:t>Typical limitation</w:t>
            </w:r>
          </w:p>
        </w:tc>
      </w:tr>
      <w:tr>
        <w:trPr>
          <w:cantSplit/>
        </w:trPr>
        <w:tc>
          <w:tcPr>
            <w:tcW w:type="dxa" w:w="1600"/>
            <w:tcMar>
              <w:top w:w="80" w:type="dxa"/>
              <w:start w:w="120" w:type="dxa"/>
              <w:bottom w:w="80" w:type="dxa"/>
              <w:end w:w="120" w:type="dxa"/>
            </w:tcMar>
            <w:vAlign w:val="center"/>
          </w:tcPr>
          <w:p>
            <w:pPr>
              <w:spacing w:after="0"/>
            </w:pPr>
            <w:r>
              <w:rPr>
                <w:rFonts w:ascii="Calibri" w:hAnsi="Calibri"/>
                <w:color w:val="1F2937"/>
                <w:sz w:val="18"/>
              </w:rPr>
              <w:t>Data lake</w:t>
            </w:r>
          </w:p>
        </w:tc>
        <w:tc>
          <w:tcPr>
            <w:tcW w:type="dxa" w:w="3880"/>
            <w:tcMar>
              <w:top w:w="80" w:type="dxa"/>
              <w:start w:w="120" w:type="dxa"/>
              <w:bottom w:w="80" w:type="dxa"/>
              <w:end w:w="120" w:type="dxa"/>
            </w:tcMar>
            <w:vAlign w:val="center"/>
          </w:tcPr>
          <w:p>
            <w:pPr>
              <w:spacing w:after="0"/>
            </w:pPr>
            <w:r>
              <w:rPr>
                <w:rFonts w:ascii="Calibri" w:hAnsi="Calibri"/>
                <w:color w:val="1F2937"/>
                <w:sz w:val="18"/>
              </w:rPr>
              <w:t>Low-cost, flexible storage for raw and varied data.</w:t>
            </w:r>
          </w:p>
        </w:tc>
        <w:tc>
          <w:tcPr>
            <w:tcW w:type="dxa" w:w="3880"/>
            <w:tcMar>
              <w:top w:w="80" w:type="dxa"/>
              <w:start w:w="120" w:type="dxa"/>
              <w:bottom w:w="80" w:type="dxa"/>
              <w:end w:w="120" w:type="dxa"/>
            </w:tcMar>
            <w:vAlign w:val="center"/>
          </w:tcPr>
          <w:p>
            <w:pPr>
              <w:spacing w:after="0"/>
            </w:pPr>
            <w:r>
              <w:rPr>
                <w:rFonts w:ascii="Calibri" w:hAnsi="Calibri"/>
                <w:color w:val="1F2937"/>
                <w:sz w:val="18"/>
              </w:rPr>
              <w:t>Without governance and transaction controls, quality and discoverability can suffer.</w:t>
            </w:r>
          </w:p>
        </w:tc>
      </w:tr>
      <w:tr>
        <w:trPr>
          <w:cantSplit/>
        </w:trPr>
        <w:tc>
          <w:tcPr>
            <w:tcW w:type="dxa" w:w="1600"/>
            <w:tcMar>
              <w:top w:w="80" w:type="dxa"/>
              <w:start w:w="120" w:type="dxa"/>
              <w:bottom w:w="80" w:type="dxa"/>
              <w:end w:w="120" w:type="dxa"/>
            </w:tcMar>
            <w:vAlign w:val="center"/>
          </w:tcPr>
          <w:p>
            <w:pPr>
              <w:spacing w:after="0"/>
            </w:pPr>
            <w:r>
              <w:rPr>
                <w:rFonts w:ascii="Calibri" w:hAnsi="Calibri"/>
                <w:color w:val="1F2937"/>
                <w:sz w:val="18"/>
              </w:rPr>
              <w:t>Data warehouse</w:t>
            </w:r>
          </w:p>
        </w:tc>
        <w:tc>
          <w:tcPr>
            <w:tcW w:type="dxa" w:w="3880"/>
            <w:tcMar>
              <w:top w:w="80" w:type="dxa"/>
              <w:start w:w="120" w:type="dxa"/>
              <w:bottom w:w="80" w:type="dxa"/>
              <w:end w:w="120" w:type="dxa"/>
            </w:tcMar>
            <w:vAlign w:val="center"/>
          </w:tcPr>
          <w:p>
            <w:pPr>
              <w:spacing w:after="0"/>
            </w:pPr>
            <w:r>
              <w:rPr>
                <w:rFonts w:ascii="Calibri" w:hAnsi="Calibri"/>
                <w:color w:val="1F2937"/>
                <w:sz w:val="18"/>
              </w:rPr>
              <w:t>Fast, governed SQL analytics with structured data.</w:t>
            </w:r>
          </w:p>
        </w:tc>
        <w:tc>
          <w:tcPr>
            <w:tcW w:type="dxa" w:w="3880"/>
            <w:tcMar>
              <w:top w:w="80" w:type="dxa"/>
              <w:start w:w="120" w:type="dxa"/>
              <w:bottom w:w="80" w:type="dxa"/>
              <w:end w:w="120" w:type="dxa"/>
            </w:tcMar>
            <w:vAlign w:val="center"/>
          </w:tcPr>
          <w:p>
            <w:pPr>
              <w:spacing w:after="0"/>
            </w:pPr>
            <w:r>
              <w:rPr>
                <w:rFonts w:ascii="Calibri" w:hAnsi="Calibri"/>
                <w:color w:val="1F2937"/>
                <w:sz w:val="18"/>
              </w:rPr>
              <w:t>Can be expensive or inflexible for raw, streaming and ML workloads.</w:t>
            </w:r>
          </w:p>
        </w:tc>
      </w:tr>
      <w:tr>
        <w:trPr>
          <w:cantSplit/>
        </w:trPr>
        <w:tc>
          <w:tcPr>
            <w:tcW w:type="dxa" w:w="1600"/>
            <w:tcMar>
              <w:top w:w="80" w:type="dxa"/>
              <w:start w:w="120" w:type="dxa"/>
              <w:bottom w:w="80" w:type="dxa"/>
              <w:end w:w="120" w:type="dxa"/>
            </w:tcMar>
            <w:vAlign w:val="center"/>
          </w:tcPr>
          <w:p>
            <w:pPr>
              <w:spacing w:after="0"/>
            </w:pPr>
            <w:r>
              <w:rPr>
                <w:rFonts w:ascii="Calibri" w:hAnsi="Calibri"/>
                <w:color w:val="1F2937"/>
                <w:sz w:val="18"/>
              </w:rPr>
              <w:t>Lakehouse</w:t>
            </w:r>
          </w:p>
        </w:tc>
        <w:tc>
          <w:tcPr>
            <w:tcW w:type="dxa" w:w="3880"/>
            <w:tcMar>
              <w:top w:w="80" w:type="dxa"/>
              <w:start w:w="120" w:type="dxa"/>
              <w:bottom w:w="80" w:type="dxa"/>
              <w:end w:w="120" w:type="dxa"/>
            </w:tcMar>
            <w:vAlign w:val="center"/>
          </w:tcPr>
          <w:p>
            <w:pPr>
              <w:spacing w:after="0"/>
            </w:pPr>
            <w:r>
              <w:rPr>
                <w:rFonts w:ascii="Calibri" w:hAnsi="Calibri"/>
                <w:color w:val="1F2937"/>
                <w:sz w:val="18"/>
              </w:rPr>
              <w:t>Open cloud storage plus warehouse-like reliability, governance and performance.</w:t>
            </w:r>
          </w:p>
        </w:tc>
        <w:tc>
          <w:tcPr>
            <w:tcW w:type="dxa" w:w="3880"/>
            <w:tcMar>
              <w:top w:w="80" w:type="dxa"/>
              <w:start w:w="120" w:type="dxa"/>
              <w:bottom w:w="80" w:type="dxa"/>
              <w:end w:w="120" w:type="dxa"/>
            </w:tcMar>
            <w:vAlign w:val="center"/>
          </w:tcPr>
          <w:p>
            <w:pPr>
              <w:spacing w:after="0"/>
            </w:pPr>
            <w:r>
              <w:rPr>
                <w:rFonts w:ascii="Calibri" w:hAnsi="Calibri"/>
                <w:color w:val="1F2937"/>
                <w:sz w:val="18"/>
              </w:rPr>
              <w:t>Still requires good table design, workload isolation and cost management.</w:t>
            </w:r>
          </w:p>
        </w:tc>
      </w:tr>
    </w:tbl>
    <w:p>
      <w:pPr>
        <w:spacing w:after="40"/>
      </w:pPr>
    </w:p>
    <w:p>
      <w:pPr>
        <w:pStyle w:val="Heading2"/>
      </w:pPr>
      <w:r>
        <w:t>4. How Spark processes a job</w:t>
      </w:r>
    </w:p>
    <w:p>
      <w:pPr>
        <w:pStyle w:val="ListNumber"/>
        <w:numPr>
          <w:ilvl w:val="0"/>
          <w:numId w:val="10"/>
        </w:numPr>
      </w:pPr>
      <w:r>
        <w:t>The driver analyzes the DataFrame or SQL operations and creates a logical plan.</w:t>
      </w:r>
    </w:p>
    <w:p>
      <w:pPr>
        <w:pStyle w:val="ListNumber"/>
        <w:numPr>
          <w:ilvl w:val="0"/>
          <w:numId w:val="10"/>
        </w:numPr>
      </w:pPr>
      <w:r>
        <w:t>Catalyst optimizes the plan and Spark creates a physical execution plan.</w:t>
      </w:r>
    </w:p>
    <w:p>
      <w:pPr>
        <w:pStyle w:val="ListNumber"/>
        <w:numPr>
          <w:ilvl w:val="0"/>
          <w:numId w:val="10"/>
        </w:numPr>
      </w:pPr>
      <w:r>
        <w:t>The work is split into stages. A shuffle creates a stage boundary because data must move between executors.</w:t>
      </w:r>
    </w:p>
    <w:p>
      <w:pPr>
        <w:pStyle w:val="ListNumber"/>
        <w:numPr>
          <w:ilvl w:val="0"/>
          <w:numId w:val="10"/>
        </w:numPr>
      </w:pPr>
      <w:r>
        <w:t>Executors run tasks on partitions of the data and return or write results.</w:t>
      </w:r>
    </w:p>
    <w:p>
      <w:pPr>
        <w:pStyle w:val="ListNumber"/>
        <w:numPr>
          <w:ilvl w:val="0"/>
          <w:numId w:val="10"/>
        </w:numPr>
      </w:pPr>
      <w:r>
        <w:t>Adaptive Query Execution can change join and shuffle choices using runtime statistics.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7FB"/>
          </w:tcPr>
          <w:p>
            <w:pPr>
              <w:spacing w:after="0"/>
            </w:pPr>
            <w:r>
              <w:rPr>
                <w:rFonts w:ascii="Calibri" w:hAnsi="Calibri"/>
                <w:b/>
                <w:color w:val="163A5F"/>
                <w:sz w:val="20"/>
              </w:rPr>
              <w:t xml:space="preserve">TRAINER DEMONSTRATION: </w:t>
            </w:r>
            <w:r>
              <w:rPr>
                <w:rFonts w:ascii="Calibri" w:hAnsi="Calibri"/>
                <w:color w:val="1F2937"/>
                <w:sz w:val="20"/>
              </w:rPr>
              <w:t>Run EXPLAIN FORMATTED on a join, then open the Spark UI. Point out scan, filter, exchange/shuffle and join operators. Learners understand performance much faster when they see the physical plan.</w:t>
            </w:r>
          </w:p>
        </w:tc>
      </w:tr>
    </w:tbl>
    <w:p>
      <w:pPr>
        <w:pStyle w:val="Heading2"/>
      </w:pPr>
      <w:r>
        <w:t>5. Delta Lake reliability</w:t>
      </w:r>
    </w:p>
    <w:p>
      <w:pPr>
        <w:pStyle w:val="ListBullet"/>
      </w:pPr>
      <w:r>
        <w:t>ACID transactions prevent readers from seeing partially written tables.</w:t>
      </w:r>
    </w:p>
    <w:p>
      <w:pPr>
        <w:pStyle w:val="ListBullet"/>
      </w:pPr>
      <w:r>
        <w:t>The transaction log records table versions and enables history and time travel.</w:t>
      </w:r>
    </w:p>
    <w:p>
      <w:pPr>
        <w:pStyle w:val="ListBullet"/>
      </w:pPr>
      <w:r>
        <w:t>Schema enforcement rejects incompatible writes; schema evolution allows intentional change.</w:t>
      </w:r>
    </w:p>
    <w:p>
      <w:pPr>
        <w:pStyle w:val="ListBullet"/>
      </w:pPr>
      <w:r>
        <w:t>MERGE supports inserts, updates and deletes for upsert and CDC patterns.</w:t>
      </w:r>
    </w:p>
    <w:p>
      <w:pPr>
        <w:pStyle w:val="ListBullet"/>
      </w:pPr>
      <w:r>
        <w:t>OPTIMIZE compacts files; liquid clustering or other layout choices improve data skipping.</w:t>
      </w:r>
    </w:p>
    <w:p>
      <w:pPr>
        <w:pStyle w:val="ListBullet"/>
      </w:pPr>
      <w:r>
        <w:t>VACUUM removes old, unreferenced data files after the configured retention period and can reduce time-travel history.</w:t>
      </w:r>
    </w:p>
    <w:p>
      <w:pPr>
        <w:pStyle w:val="Heading2"/>
      </w:pPr>
      <w:r>
        <w:t>6. Medallion architecture</w:t>
      </w:r>
    </w:p>
    <w:tbl>
      <w:tblPr>
        <w:tblStyle w:val="TableGrid"/>
        <w:tblW w:type="dxa" w:w="9360"/>
        <w:tblLayout w:type="fixed"/>
        <w:tblLook w:firstColumn="1" w:firstRow="1" w:lastColumn="0" w:lastRow="0" w:noHBand="0" w:noVBand="1" w:val="04A0"/>
        <w:jc w:val="left"/>
        <w:tblInd w:w="120" w:type="dxa"/>
      </w:tblPr>
      <w:tblGrid>
        <w:gridCol w:w="1400"/>
        <w:gridCol w:w="3980"/>
        <w:gridCol w:w="3980"/>
      </w:tblGrid>
      <w:tr>
        <w:trPr>
          <w:tblHeader w:val="true"/>
          <w:cantSplit/>
        </w:trPr>
        <w:tc>
          <w:tcPr>
            <w:tcW w:type="dxa" w:w="1400"/>
            <w:tcMar>
              <w:top w:w="80" w:type="dxa"/>
              <w:start w:w="120" w:type="dxa"/>
              <w:bottom w:w="80" w:type="dxa"/>
              <w:end w:w="120" w:type="dxa"/>
            </w:tcMar>
            <w:vAlign w:val="center"/>
            <w:shd w:fill="E8EEF5"/>
          </w:tcPr>
          <w:p>
            <w:pPr>
              <w:spacing w:after="0"/>
            </w:pPr>
            <w:r>
              <w:rPr>
                <w:rFonts w:ascii="Calibri" w:hAnsi="Calibri"/>
                <w:b/>
                <w:color w:val="163A5F"/>
                <w:sz w:val="18"/>
              </w:rPr>
              <w:t>Layer</w:t>
            </w:r>
          </w:p>
        </w:tc>
        <w:tc>
          <w:tcPr>
            <w:tcW w:type="dxa" w:w="3980"/>
            <w:tcMar>
              <w:top w:w="80" w:type="dxa"/>
              <w:start w:w="120" w:type="dxa"/>
              <w:bottom w:w="80" w:type="dxa"/>
              <w:end w:w="120" w:type="dxa"/>
            </w:tcMar>
            <w:vAlign w:val="center"/>
            <w:shd w:fill="E8EEF5"/>
          </w:tcPr>
          <w:p>
            <w:pPr>
              <w:spacing w:after="0"/>
            </w:pPr>
            <w:r>
              <w:rPr>
                <w:rFonts w:ascii="Calibri" w:hAnsi="Calibri"/>
                <w:b/>
                <w:color w:val="163A5F"/>
                <w:sz w:val="18"/>
              </w:rPr>
              <w:t>Purpose</w:t>
            </w:r>
          </w:p>
        </w:tc>
        <w:tc>
          <w:tcPr>
            <w:tcW w:type="dxa" w:w="3980"/>
            <w:tcMar>
              <w:top w:w="80" w:type="dxa"/>
              <w:start w:w="120" w:type="dxa"/>
              <w:bottom w:w="80" w:type="dxa"/>
              <w:end w:w="120" w:type="dxa"/>
            </w:tcMar>
            <w:vAlign w:val="center"/>
            <w:shd w:fill="E8EEF5"/>
          </w:tcPr>
          <w:p>
            <w:pPr>
              <w:spacing w:after="0"/>
            </w:pPr>
            <w:r>
              <w:rPr>
                <w:rFonts w:ascii="Calibri" w:hAnsi="Calibri"/>
                <w:b/>
                <w:color w:val="163A5F"/>
                <w:sz w:val="18"/>
              </w:rPr>
              <w:t>Example in this course</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F2937"/>
                <w:sz w:val="18"/>
              </w:rPr>
              <w:t>Bronze</w:t>
            </w:r>
          </w:p>
        </w:tc>
        <w:tc>
          <w:tcPr>
            <w:tcW w:type="dxa" w:w="3980"/>
            <w:tcMar>
              <w:top w:w="80" w:type="dxa"/>
              <w:start w:w="120" w:type="dxa"/>
              <w:bottom w:w="80" w:type="dxa"/>
              <w:end w:w="120" w:type="dxa"/>
            </w:tcMar>
            <w:vAlign w:val="center"/>
          </w:tcPr>
          <w:p>
            <w:pPr>
              <w:spacing w:after="0"/>
            </w:pPr>
            <w:r>
              <w:rPr>
                <w:rFonts w:ascii="Calibri" w:hAnsi="Calibri"/>
                <w:color w:val="1F2937"/>
                <w:sz w:val="18"/>
              </w:rPr>
              <w:t>Land source data with minimal modification and operational metadata.</w:t>
            </w:r>
          </w:p>
        </w:tc>
        <w:tc>
          <w:tcPr>
            <w:tcW w:type="dxa" w:w="3980"/>
            <w:tcMar>
              <w:top w:w="80" w:type="dxa"/>
              <w:start w:w="120" w:type="dxa"/>
              <w:bottom w:w="80" w:type="dxa"/>
              <w:end w:w="120" w:type="dxa"/>
            </w:tcMar>
            <w:vAlign w:val="center"/>
          </w:tcPr>
          <w:p>
            <w:pPr>
              <w:spacing w:after="0"/>
            </w:pPr>
            <w:r>
              <w:rPr>
                <w:rFonts w:ascii="Calibri" w:hAnsi="Calibri"/>
                <w:color w:val="1F2937"/>
                <w:sz w:val="18"/>
              </w:rPr>
              <w:t>Raw retail orders from CSV, JSON or Event Hubs.</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F2937"/>
                <w:sz w:val="18"/>
              </w:rPr>
              <w:t>Silver</w:t>
            </w:r>
          </w:p>
        </w:tc>
        <w:tc>
          <w:tcPr>
            <w:tcW w:type="dxa" w:w="3980"/>
            <w:tcMar>
              <w:top w:w="80" w:type="dxa"/>
              <w:start w:w="120" w:type="dxa"/>
              <w:bottom w:w="80" w:type="dxa"/>
              <w:end w:w="120" w:type="dxa"/>
            </w:tcMar>
            <w:vAlign w:val="center"/>
          </w:tcPr>
          <w:p>
            <w:pPr>
              <w:spacing w:after="0"/>
            </w:pPr>
            <w:r>
              <w:rPr>
                <w:rFonts w:ascii="Calibri" w:hAnsi="Calibri"/>
                <w:color w:val="1F2937"/>
                <w:sz w:val="18"/>
              </w:rPr>
              <w:t>Validate, deduplicate, standardize and enrich.</w:t>
            </w:r>
          </w:p>
        </w:tc>
        <w:tc>
          <w:tcPr>
            <w:tcW w:type="dxa" w:w="3980"/>
            <w:tcMar>
              <w:top w:w="80" w:type="dxa"/>
              <w:start w:w="120" w:type="dxa"/>
              <w:bottom w:w="80" w:type="dxa"/>
              <w:end w:w="120" w:type="dxa"/>
            </w:tcMar>
            <w:vAlign w:val="center"/>
          </w:tcPr>
          <w:p>
            <w:pPr>
              <w:spacing w:after="0"/>
            </w:pPr>
            <w:r>
              <w:rPr>
                <w:rFonts w:ascii="Calibri" w:hAnsi="Calibri"/>
                <w:color w:val="1F2937"/>
                <w:sz w:val="18"/>
              </w:rPr>
              <w:t>Valid quantity and price, parsed timestamp, derived amount, duplicate removal.</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F2937"/>
                <w:sz w:val="18"/>
              </w:rPr>
              <w:t>Gold</w:t>
            </w:r>
          </w:p>
        </w:tc>
        <w:tc>
          <w:tcPr>
            <w:tcW w:type="dxa" w:w="3980"/>
            <w:tcMar>
              <w:top w:w="80" w:type="dxa"/>
              <w:start w:w="120" w:type="dxa"/>
              <w:bottom w:w="80" w:type="dxa"/>
              <w:end w:w="120" w:type="dxa"/>
            </w:tcMar>
            <w:vAlign w:val="center"/>
          </w:tcPr>
          <w:p>
            <w:pPr>
              <w:spacing w:after="0"/>
            </w:pPr>
            <w:r>
              <w:rPr>
                <w:rFonts w:ascii="Calibri" w:hAnsi="Calibri"/>
                <w:color w:val="1F2937"/>
                <w:sz w:val="18"/>
              </w:rPr>
              <w:t>Business-ready aggregates and semantic outputs.</w:t>
            </w:r>
          </w:p>
        </w:tc>
        <w:tc>
          <w:tcPr>
            <w:tcW w:type="dxa" w:w="3980"/>
            <w:tcMar>
              <w:top w:w="80" w:type="dxa"/>
              <w:start w:w="120" w:type="dxa"/>
              <w:bottom w:w="80" w:type="dxa"/>
              <w:end w:w="120" w:type="dxa"/>
            </w:tcMar>
            <w:vAlign w:val="center"/>
          </w:tcPr>
          <w:p>
            <w:pPr>
              <w:spacing w:after="0"/>
            </w:pPr>
            <w:r>
              <w:rPr>
                <w:rFonts w:ascii="Calibri" w:hAnsi="Calibri"/>
                <w:color w:val="1F2937"/>
                <w:sz w:val="18"/>
              </w:rPr>
              <w:t>Daily sales by city/category, customer KPIs and fraud features.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1"/>
          </w:tcPr>
          <w:p>
            <w:pPr>
              <w:spacing w:after="0"/>
            </w:pPr>
            <w:r>
              <w:rPr>
                <w:rFonts w:ascii="Calibri" w:hAnsi="Calibri"/>
                <w:b/>
                <w:color w:val="8A6700"/>
                <w:sz w:val="20"/>
              </w:rPr>
              <w:t xml:space="preserve">IMPORTANT: </w:t>
            </w:r>
            <w:r>
              <w:rPr>
                <w:rFonts w:ascii="Calibri" w:hAnsi="Calibri"/>
                <w:color w:val="1F2937"/>
                <w:sz w:val="20"/>
              </w:rPr>
              <w:t>Bronze-Silver-Gold is a design pattern, not a mandatory product feature. A small workload may need fewer layers. Add a layer because it creates a clear quality or consumption boundary.</w:t>
            </w:r>
          </w:p>
        </w:tc>
      </w:tr>
    </w:tbl>
    <w:p>
      <w:pPr>
        <w:pStyle w:val="Heading2"/>
      </w:pPr>
      <w:r>
        <w:t>7. From beginner to architect thinking</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color w:val="163A5F"/>
                <w:sz w:val="18"/>
              </w:rPr>
              <w:t>Level</w:t>
            </w:r>
          </w:p>
        </w:tc>
        <w:tc>
          <w:tcPr>
            <w:tcW w:type="dxa" w:w="7660"/>
            <w:tcMar>
              <w:top w:w="80" w:type="dxa"/>
              <w:start w:w="120" w:type="dxa"/>
              <w:bottom w:w="80" w:type="dxa"/>
              <w:end w:w="120" w:type="dxa"/>
            </w:tcMar>
            <w:vAlign w:val="center"/>
            <w:shd w:fill="E8EEF5"/>
          </w:tcPr>
          <w:p>
            <w:pPr>
              <w:spacing w:after="0"/>
            </w:pPr>
            <w:r>
              <w:rPr>
                <w:rFonts w:ascii="Calibri" w:hAnsi="Calibri"/>
                <w:b/>
                <w:color w:val="163A5F"/>
                <w:sz w:val="18"/>
              </w:rPr>
              <w:t>Question to ask</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8"/>
              </w:rPr>
              <w:t>Beginner</w:t>
            </w:r>
          </w:p>
        </w:tc>
        <w:tc>
          <w:tcPr>
            <w:tcW w:type="dxa" w:w="7660"/>
            <w:tcMar>
              <w:top w:w="80" w:type="dxa"/>
              <w:start w:w="120" w:type="dxa"/>
              <w:bottom w:w="80" w:type="dxa"/>
              <w:end w:w="120" w:type="dxa"/>
            </w:tcMar>
            <w:vAlign w:val="center"/>
          </w:tcPr>
          <w:p>
            <w:pPr>
              <w:spacing w:after="0"/>
            </w:pPr>
            <w:r>
              <w:rPr>
                <w:rFonts w:ascii="Calibri" w:hAnsi="Calibri"/>
                <w:color w:val="1F2937"/>
                <w:sz w:val="18"/>
              </w:rPr>
              <w:t>Can I read, transform and write the data correctly?</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8"/>
              </w:rPr>
              <w:t>Intermediate</w:t>
            </w:r>
          </w:p>
        </w:tc>
        <w:tc>
          <w:tcPr>
            <w:tcW w:type="dxa" w:w="7660"/>
            <w:tcMar>
              <w:top w:w="80" w:type="dxa"/>
              <w:start w:w="120" w:type="dxa"/>
              <w:bottom w:w="80" w:type="dxa"/>
              <w:end w:w="120" w:type="dxa"/>
            </w:tcMar>
            <w:vAlign w:val="center"/>
          </w:tcPr>
          <w:p>
            <w:pPr>
              <w:spacing w:after="0"/>
            </w:pPr>
            <w:r>
              <w:rPr>
                <w:rFonts w:ascii="Calibri" w:hAnsi="Calibri"/>
                <w:color w:val="1F2937"/>
                <w:sz w:val="18"/>
              </w:rPr>
              <w:t>Can I make the pipeline incremental, repeatable, observable and testable?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8"/>
              </w:rPr>
              <w:t>Advanced</w:t>
            </w:r>
          </w:p>
        </w:tc>
        <w:tc>
          <w:tcPr>
            <w:tcW w:type="dxa" w:w="7660"/>
            <w:tcMar>
              <w:top w:w="80" w:type="dxa"/>
              <w:start w:w="120" w:type="dxa"/>
              <w:bottom w:w="80" w:type="dxa"/>
              <w:end w:w="120" w:type="dxa"/>
            </w:tcMar>
            <w:vAlign w:val="center"/>
          </w:tcPr>
          <w:p>
            <w:pPr>
              <w:spacing w:after="0"/>
            </w:pPr>
            <w:r>
              <w:rPr>
                <w:rFonts w:ascii="Calibri" w:hAnsi="Calibri"/>
                <w:color w:val="1F2937"/>
                <w:sz w:val="18"/>
              </w:rPr>
              <w:t>Can it meet latency, reliability, security and cost goals at scale?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8"/>
              </w:rPr>
              <w:t>Architect</w:t>
            </w:r>
          </w:p>
        </w:tc>
        <w:tc>
          <w:tcPr>
            <w:tcW w:type="dxa" w:w="7660"/>
            <w:tcMar>
              <w:top w:w="80" w:type="dxa"/>
              <w:start w:w="120" w:type="dxa"/>
              <w:bottom w:w="80" w:type="dxa"/>
              <w:end w:w="120" w:type="dxa"/>
            </w:tcMar>
            <w:vAlign w:val="center"/>
          </w:tcPr>
          <w:p>
            <w:pPr>
              <w:spacing w:after="0"/>
            </w:pPr>
            <w:r>
              <w:rPr>
                <w:rFonts w:ascii="Calibri" w:hAnsi="Calibri"/>
                <w:color w:val="1F2937"/>
                <w:sz w:val="18"/>
              </w:rPr>
              <w:t>How do identity, networking, governance, isolation, deployment, recovery and ownership work across environments?</w:t>
            </w:r>
          </w:p>
        </w:tc>
      </w:tr>
    </w:tbl>
    <w:p>
      <w:pPr>
        <w:spacing w:after="40"/>
      </w:pPr>
    </w:p>
    <w:p>
      <w:pPr>
        <w:pStyle w:val="Heading1"/>
        <w:pageBreakBefore/>
      </w:pPr>
      <w:r>
        <w:t>Part 2 - Schedule corrections and delivery choices</w:t>
      </w:r>
    </w:p>
    <w:p>
      <w:r>
        <w:rPr>
          <w:i w:val="0"/>
        </w:rPr>
        <w:t>The uploaded schedule gives a good breadth of Databricks topics across Days 16-25, but several items need modern terminology or a more realistic teaching boundary. The following adjustments keep the promised scope while avoiding outdated practices.</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spacing w:after="0"/>
            </w:pPr>
            <w:r>
              <w:rPr>
                <w:rFonts w:ascii="Calibri" w:hAnsi="Calibri"/>
                <w:b/>
                <w:color w:val="163A5F"/>
                <w:sz w:val="18"/>
              </w:rPr>
              <w:t>Schedule wording</w:t>
            </w:r>
          </w:p>
        </w:tc>
        <w:tc>
          <w:tcPr>
            <w:tcW w:type="dxa" w:w="6760"/>
            <w:tcMar>
              <w:top w:w="80" w:type="dxa"/>
              <w:start w:w="120" w:type="dxa"/>
              <w:bottom w:w="80" w:type="dxa"/>
              <w:end w:w="120" w:type="dxa"/>
            </w:tcMar>
            <w:vAlign w:val="center"/>
            <w:shd w:fill="E8EEF5"/>
          </w:tcPr>
          <w:p>
            <w:pPr>
              <w:spacing w:after="0"/>
            </w:pPr>
            <w:r>
              <w:rPr>
                <w:rFonts w:ascii="Calibri" w:hAnsi="Calibri"/>
                <w:b/>
                <w:color w:val="163A5F"/>
                <w:sz w:val="18"/>
              </w:rPr>
              <w:t>Recommended classroom treatment</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Clusters</w:t>
            </w:r>
          </w:p>
        </w:tc>
        <w:tc>
          <w:tcPr>
            <w:tcW w:type="dxa" w:w="6760"/>
            <w:tcMar>
              <w:top w:w="80" w:type="dxa"/>
              <w:start w:w="120" w:type="dxa"/>
              <w:bottom w:w="80" w:type="dxa"/>
              <w:end w:w="120" w:type="dxa"/>
            </w:tcMar>
            <w:vAlign w:val="center"/>
          </w:tcPr>
          <w:p>
            <w:pPr>
              <w:spacing w:after="0"/>
            </w:pPr>
            <w:r>
              <w:rPr>
                <w:rFonts w:ascii="Calibri" w:hAnsi="Calibri"/>
                <w:color w:val="1F2937"/>
                <w:sz w:val="17"/>
              </w:rPr>
              <w:t>Say compute. Demonstrate serverless first where available, then explain classic all-purpose and jobs compute.</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RDDs</w:t>
            </w:r>
          </w:p>
        </w:tc>
        <w:tc>
          <w:tcPr>
            <w:tcW w:type="dxa" w:w="6760"/>
            <w:tcMar>
              <w:top w:w="80" w:type="dxa"/>
              <w:start w:w="120" w:type="dxa"/>
              <w:bottom w:w="80" w:type="dxa"/>
              <w:end w:w="120" w:type="dxa"/>
            </w:tcMar>
            <w:vAlign w:val="center"/>
          </w:tcPr>
          <w:p>
            <w:pPr>
              <w:spacing w:after="0"/>
            </w:pPr>
            <w:r>
              <w:rPr>
                <w:rFonts w:ascii="Calibri" w:hAnsi="Calibri"/>
                <w:color w:val="1F2937"/>
                <w:sz w:val="17"/>
              </w:rPr>
              <w:t>Explain lineage, transformations and actions briefly. Spend hands-on time on DataFrames and SQL because they receive optimizer benefits.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Indexing and partitioning</w:t>
            </w:r>
          </w:p>
        </w:tc>
        <w:tc>
          <w:tcPr>
            <w:tcW w:type="dxa" w:w="6760"/>
            <w:tcMar>
              <w:top w:w="80" w:type="dxa"/>
              <w:start w:w="120" w:type="dxa"/>
              <w:bottom w:w="80" w:type="dxa"/>
              <w:end w:w="120" w:type="dxa"/>
            </w:tcMar>
            <w:vAlign w:val="center"/>
          </w:tcPr>
          <w:p>
            <w:pPr>
              <w:spacing w:after="0"/>
            </w:pPr>
            <w:r>
              <w:rPr>
                <w:rFonts w:ascii="Calibri" w:hAnsi="Calibri"/>
                <w:color w:val="1F2937"/>
                <w:sz w:val="17"/>
              </w:rPr>
              <w:t>Databricks does not use traditional OLTP indexes for Delta tables. Teach data skipping, file sizing, liquid clustering, selective partitioning and query plans.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Databricks Jobs</w:t>
            </w:r>
          </w:p>
        </w:tc>
        <w:tc>
          <w:tcPr>
            <w:tcW w:type="dxa" w:w="6760"/>
            <w:tcMar>
              <w:top w:w="80" w:type="dxa"/>
              <w:start w:w="120" w:type="dxa"/>
              <w:bottom w:w="80" w:type="dxa"/>
              <w:end w:w="120" w:type="dxa"/>
            </w:tcMar>
            <w:vAlign w:val="center"/>
          </w:tcPr>
          <w:p>
            <w:pPr>
              <w:spacing w:after="0"/>
            </w:pPr>
            <w:r>
              <w:rPr>
                <w:rFonts w:ascii="Calibri" w:hAnsi="Calibri"/>
                <w:color w:val="1F2937"/>
                <w:sz w:val="17"/>
              </w:rPr>
              <w:t>Use the current name Lakeflow Jobs.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Delta Live Tables / DLT, if encountered</w:t>
            </w:r>
          </w:p>
        </w:tc>
        <w:tc>
          <w:tcPr>
            <w:tcW w:type="dxa" w:w="6760"/>
            <w:tcMar>
              <w:top w:w="80" w:type="dxa"/>
              <w:start w:w="120" w:type="dxa"/>
              <w:bottom w:w="80" w:type="dxa"/>
              <w:end w:w="120" w:type="dxa"/>
            </w:tcMar>
            <w:vAlign w:val="center"/>
          </w:tcPr>
          <w:p>
            <w:pPr>
              <w:spacing w:after="0"/>
            </w:pPr>
            <w:r>
              <w:rPr>
                <w:rFonts w:ascii="Calibri" w:hAnsi="Calibri"/>
                <w:color w:val="1F2937"/>
                <w:sz w:val="17"/>
              </w:rPr>
              <w:t>Use Lakeflow Spark Declarative Pipelines and explain the older name only for existing customer estates.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DBFS mounts for ADLS</w:t>
            </w:r>
          </w:p>
        </w:tc>
        <w:tc>
          <w:tcPr>
            <w:tcW w:type="dxa" w:w="6760"/>
            <w:tcMar>
              <w:top w:w="80" w:type="dxa"/>
              <w:start w:w="120" w:type="dxa"/>
              <w:bottom w:w="80" w:type="dxa"/>
              <w:end w:w="120" w:type="dxa"/>
            </w:tcMar>
            <w:vAlign w:val="center"/>
          </w:tcPr>
          <w:p>
            <w:pPr>
              <w:spacing w:after="0"/>
            </w:pPr>
            <w:r>
              <w:rPr>
                <w:rFonts w:ascii="Calibri" w:hAnsi="Calibri"/>
                <w:color w:val="1F2937"/>
                <w:sz w:val="17"/>
              </w:rPr>
              <w:t>Avoid as the default. Use Unity Catalog managed tables, volumes, storage credentials and external locations.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Databricks Genie workspace</w:t>
            </w:r>
          </w:p>
        </w:tc>
        <w:tc>
          <w:tcPr>
            <w:tcW w:type="dxa" w:w="6760"/>
            <w:tcMar>
              <w:top w:w="80" w:type="dxa"/>
              <w:start w:w="120" w:type="dxa"/>
              <w:bottom w:w="80" w:type="dxa"/>
              <w:end w:w="120" w:type="dxa"/>
            </w:tcMar>
            <w:vAlign w:val="center"/>
          </w:tcPr>
          <w:p>
            <w:pPr>
              <w:spacing w:after="0"/>
            </w:pPr>
            <w:r>
              <w:rPr>
                <w:rFonts w:ascii="Calibri" w:hAnsi="Calibri"/>
                <w:color w:val="1F2937"/>
                <w:sz w:val="17"/>
              </w:rPr>
              <w:t>Use current Genie Agent terminology; explain that it was formerly called a Genie Space.</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Databricks Agents</w:t>
            </w:r>
          </w:p>
        </w:tc>
        <w:tc>
          <w:tcPr>
            <w:tcW w:type="dxa" w:w="6760"/>
            <w:tcMar>
              <w:top w:w="80" w:type="dxa"/>
              <w:start w:w="120" w:type="dxa"/>
              <w:bottom w:w="80" w:type="dxa"/>
              <w:end w:w="120" w:type="dxa"/>
            </w:tcMar>
            <w:vAlign w:val="center"/>
          </w:tcPr>
          <w:p>
            <w:pPr>
              <w:spacing w:after="0"/>
            </w:pPr>
            <w:r>
              <w:rPr>
                <w:rFonts w:ascii="Calibri" w:hAnsi="Calibri"/>
                <w:color w:val="1F2937"/>
                <w:sz w:val="17"/>
              </w:rPr>
              <w:t>Separate business-data Genie Agents from application-oriented Mosaic AI Agent Framework concepts. The schedule only needs a focused Genie demonstration.</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ZORDER as the default</w:t>
            </w:r>
          </w:p>
        </w:tc>
        <w:tc>
          <w:tcPr>
            <w:tcW w:type="dxa" w:w="6760"/>
            <w:tcMar>
              <w:top w:w="80" w:type="dxa"/>
              <w:start w:w="120" w:type="dxa"/>
              <w:bottom w:w="80" w:type="dxa"/>
              <w:end w:w="120" w:type="dxa"/>
            </w:tcMar>
            <w:vAlign w:val="center"/>
          </w:tcPr>
          <w:p>
            <w:pPr>
              <w:spacing w:after="0"/>
            </w:pPr>
            <w:r>
              <w:rPr>
                <w:rFonts w:ascii="Calibri" w:hAnsi="Calibri"/>
                <w:color w:val="1F2937"/>
                <w:sz w:val="17"/>
              </w:rPr>
              <w:t>Teach it as an existing-table technique. Prefer liquid clustering/predictive optimization for new Unity Catalog managed-table designs where supported.</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One-day SQL + forecasting + ML</w:t>
            </w:r>
          </w:p>
        </w:tc>
        <w:tc>
          <w:tcPr>
            <w:tcW w:type="dxa" w:w="6760"/>
            <w:tcMar>
              <w:top w:w="80" w:type="dxa"/>
              <w:start w:w="120" w:type="dxa"/>
              <w:bottom w:w="80" w:type="dxa"/>
              <w:end w:w="120" w:type="dxa"/>
            </w:tcMar>
            <w:vAlign w:val="center"/>
          </w:tcPr>
          <w:p>
            <w:pPr>
              <w:spacing w:after="0"/>
            </w:pPr>
            <w:r>
              <w:rPr>
                <w:rFonts w:ascii="Calibri" w:hAnsi="Calibri"/>
                <w:color w:val="1F2937"/>
                <w:sz w:val="17"/>
              </w:rPr>
              <w:t>Make SQL analytics hands-on. Treat forecasting and ML as guided demos plus optional extensions.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One-day architecture + networking + streaming + monitoring</w:t>
            </w:r>
          </w:p>
        </w:tc>
        <w:tc>
          <w:tcPr>
            <w:tcW w:type="dxa" w:w="6760"/>
            <w:tcMar>
              <w:top w:w="80" w:type="dxa"/>
              <w:start w:w="120" w:type="dxa"/>
              <w:bottom w:w="80" w:type="dxa"/>
              <w:end w:w="120" w:type="dxa"/>
            </w:tcMar>
            <w:vAlign w:val="center"/>
          </w:tcPr>
          <w:p>
            <w:pPr>
              <w:spacing w:after="0"/>
            </w:pPr>
            <w:r>
              <w:rPr>
                <w:rFonts w:ascii="Calibri" w:hAnsi="Calibri"/>
                <w:color w:val="1F2937"/>
                <w:sz w:val="17"/>
              </w:rPr>
              <w:t>Use a trainer-led architecture/networking walkthrough and a small streaming lab. Private networking is an advanced demo, not a student build.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1"/>
          </w:tcPr>
          <w:p>
            <w:pPr>
              <w:spacing w:after="0"/>
            </w:pPr>
            <w:r>
              <w:rPr>
                <w:rFonts w:ascii="Calibri" w:hAnsi="Calibri"/>
                <w:b/>
                <w:color w:val="8A6700"/>
                <w:sz w:val="20"/>
              </w:rPr>
              <w:t xml:space="preserve">WHY PREMIUM: </w:t>
            </w:r>
            <w:r>
              <w:rPr>
                <w:rFonts w:ascii="Calibri" w:hAnsi="Calibri"/>
                <w:color w:val="1F2937"/>
                <w:sz w:val="20"/>
              </w:rPr>
              <w:t>The schedule includes Unity Catalog administration, compute policies, Lakeflow pipelines, advanced governance, Genie and enterprise architecture. A Premium workspace is the safest classroom baseline. Feature availability and regional support should be verified during the preflight.</w:t>
            </w:r>
          </w:p>
        </w:tc>
      </w:tr>
    </w:tbl>
    <w:p>
      <w:pPr>
        <w:pStyle w:val="Heading1"/>
        <w:pageBreakBefore/>
      </w:pPr>
      <w:r>
        <w:t>Part 3 - Ten-day trainer run sheet</w:t>
      </w:r>
    </w:p>
    <w:p>
      <w:r>
        <w:rPr>
          <w:i w:val="0"/>
        </w:rPr>
        <w:t>Assumption: approximately 6.5-7 teaching hours per day, including breaks. If your classroom day is shorter, keep the core lab and move the optional extension to homework or trainer demonstration.</w:t>
      </w:r>
    </w:p>
    <w:tbl>
      <w:tblPr>
        <w:tblStyle w:val="TableGrid"/>
        <w:tblW w:type="dxa" w:w="9360"/>
        <w:tblLayout w:type="fixed"/>
        <w:tblLook w:firstColumn="1" w:firstRow="1" w:lastColumn="0" w:lastRow="0" w:noHBand="0" w:noVBand="1" w:val="04A0"/>
        <w:jc w:val="left"/>
        <w:tblInd w:w="120" w:type="dxa"/>
      </w:tblPr>
      <w:tblGrid>
        <w:gridCol w:w="650"/>
        <w:gridCol w:w="2950"/>
        <w:gridCol w:w="1400"/>
        <w:gridCol w:w="4360"/>
      </w:tblGrid>
      <w:tr>
        <w:trPr>
          <w:tblHeader w:val="true"/>
          <w:cantSplit/>
        </w:trPr>
        <w:tc>
          <w:tcPr>
            <w:tcW w:type="dxa" w:w="650"/>
            <w:tcMar>
              <w:top w:w="80" w:type="dxa"/>
              <w:start w:w="120" w:type="dxa"/>
              <w:bottom w:w="80" w:type="dxa"/>
              <w:end w:w="120" w:type="dxa"/>
            </w:tcMar>
            <w:vAlign w:val="center"/>
            <w:shd w:fill="E8EEF5"/>
          </w:tcPr>
          <w:p>
            <w:pPr>
              <w:spacing w:after="0"/>
            </w:pPr>
            <w:r>
              <w:rPr>
                <w:rFonts w:ascii="Calibri" w:hAnsi="Calibri"/>
                <w:b/>
                <w:color w:val="163A5F"/>
                <w:sz w:val="18"/>
              </w:rPr>
              <w:t>Day</w:t>
            </w:r>
          </w:p>
        </w:tc>
        <w:tc>
          <w:tcPr>
            <w:tcW w:type="dxa" w:w="2950"/>
            <w:tcMar>
              <w:top w:w="80" w:type="dxa"/>
              <w:start w:w="120" w:type="dxa"/>
              <w:bottom w:w="80" w:type="dxa"/>
              <w:end w:w="120" w:type="dxa"/>
            </w:tcMar>
            <w:vAlign w:val="center"/>
            <w:shd w:fill="E8EEF5"/>
          </w:tcPr>
          <w:p>
            <w:pPr>
              <w:spacing w:after="0"/>
            </w:pPr>
            <w:r>
              <w:rPr>
                <w:rFonts w:ascii="Calibri" w:hAnsi="Calibri"/>
                <w:b/>
                <w:color w:val="163A5F"/>
                <w:sz w:val="18"/>
              </w:rPr>
              <w:t>Teaching sequence</w:t>
            </w:r>
          </w:p>
        </w:tc>
        <w:tc>
          <w:tcPr>
            <w:tcW w:type="dxa" w:w="1400"/>
            <w:tcMar>
              <w:top w:w="80" w:type="dxa"/>
              <w:start w:w="120" w:type="dxa"/>
              <w:bottom w:w="80" w:type="dxa"/>
              <w:end w:w="120" w:type="dxa"/>
            </w:tcMar>
            <w:vAlign w:val="center"/>
            <w:shd w:fill="E8EEF5"/>
          </w:tcPr>
          <w:p>
            <w:pPr>
              <w:spacing w:after="0"/>
            </w:pPr>
            <w:r>
              <w:rPr>
                <w:rFonts w:ascii="Calibri" w:hAnsi="Calibri"/>
                <w:b/>
                <w:color w:val="163A5F"/>
                <w:sz w:val="18"/>
              </w:rPr>
              <w:t>Core lab</w:t>
            </w:r>
          </w:p>
        </w:tc>
        <w:tc>
          <w:tcPr>
            <w:tcW w:type="dxa" w:w="4360"/>
            <w:tcMar>
              <w:top w:w="80" w:type="dxa"/>
              <w:start w:w="120" w:type="dxa"/>
              <w:bottom w:w="80" w:type="dxa"/>
              <w:end w:w="120" w:type="dxa"/>
            </w:tcMar>
            <w:vAlign w:val="center"/>
            <w:shd w:fill="E8EEF5"/>
          </w:tcPr>
          <w:p>
            <w:pPr>
              <w:spacing w:after="0"/>
            </w:pPr>
            <w:r>
              <w:rPr>
                <w:rFonts w:ascii="Calibri" w:hAnsi="Calibri"/>
                <w:b/>
                <w:color w:val="163A5F"/>
                <w:sz w:val="18"/>
              </w:rPr>
              <w:t>Trainer checkpoint</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16</w:t>
            </w:r>
          </w:p>
        </w:tc>
        <w:tc>
          <w:tcPr>
            <w:tcW w:type="dxa" w:w="2950"/>
            <w:tcMar>
              <w:top w:w="80" w:type="dxa"/>
              <w:start w:w="120" w:type="dxa"/>
              <w:bottom w:w="80" w:type="dxa"/>
              <w:end w:w="120" w:type="dxa"/>
            </w:tcMar>
            <w:vAlign w:val="center"/>
          </w:tcPr>
          <w:p>
            <w:pPr>
              <w:spacing w:after="0"/>
            </w:pPr>
            <w:r>
              <w:rPr>
                <w:rFonts w:ascii="Calibri" w:hAnsi="Calibri"/>
                <w:color w:val="1F2937"/>
                <w:sz w:val="16"/>
              </w:rPr>
              <w:t>Lakehouse, workspace, notebooks, compute, Spark, DataFrames, file formats</w:t>
            </w:r>
          </w:p>
        </w:tc>
        <w:tc>
          <w:tcPr>
            <w:tcW w:type="dxa" w:w="1400"/>
            <w:tcMar>
              <w:top w:w="80" w:type="dxa"/>
              <w:start w:w="120" w:type="dxa"/>
              <w:bottom w:w="80" w:type="dxa"/>
              <w:end w:w="120" w:type="dxa"/>
            </w:tcMar>
            <w:vAlign w:val="center"/>
          </w:tcPr>
          <w:p>
            <w:pPr>
              <w:spacing w:after="0"/>
            </w:pPr>
            <w:r>
              <w:rPr>
                <w:rFonts w:ascii="Calibri" w:hAnsi="Calibri"/>
                <w:color w:val="1F2937"/>
                <w:sz w:val="16"/>
              </w:rPr>
              <w:t>Labs 01-02</w:t>
            </w:r>
          </w:p>
        </w:tc>
        <w:tc>
          <w:tcPr>
            <w:tcW w:type="dxa" w:w="4360"/>
            <w:tcMar>
              <w:top w:w="80" w:type="dxa"/>
              <w:start w:w="120" w:type="dxa"/>
              <w:bottom w:w="80" w:type="dxa"/>
              <w:end w:w="120" w:type="dxa"/>
            </w:tcMar>
            <w:vAlign w:val="center"/>
          </w:tcPr>
          <w:p>
            <w:pPr>
              <w:spacing w:after="0"/>
            </w:pPr>
            <w:r>
              <w:rPr>
                <w:rFonts w:ascii="Calibri" w:hAnsi="Calibri"/>
                <w:color w:val="1F2937"/>
                <w:sz w:val="16"/>
              </w:rPr>
              <w:t>Every learner can run a notebook and create a governed Delta table.</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17</w:t>
            </w:r>
          </w:p>
        </w:tc>
        <w:tc>
          <w:tcPr>
            <w:tcW w:type="dxa" w:w="2950"/>
            <w:tcMar>
              <w:top w:w="80" w:type="dxa"/>
              <w:start w:w="120" w:type="dxa"/>
              <w:bottom w:w="80" w:type="dxa"/>
              <w:end w:w="120" w:type="dxa"/>
            </w:tcMar>
            <w:vAlign w:val="center"/>
          </w:tcPr>
          <w:p>
            <w:pPr>
              <w:spacing w:after="0"/>
            </w:pPr>
            <w:r>
              <w:rPr>
                <w:rFonts w:ascii="Calibri" w:hAnsi="Calibri"/>
                <w:color w:val="1F2937"/>
                <w:sz w:val="16"/>
              </w:rPr>
              <w:t>Transformations, joins, windows, ETL vs ELT, medallion design, visualization</w:t>
            </w:r>
          </w:p>
        </w:tc>
        <w:tc>
          <w:tcPr>
            <w:tcW w:type="dxa" w:w="1400"/>
            <w:tcMar>
              <w:top w:w="80" w:type="dxa"/>
              <w:start w:w="120" w:type="dxa"/>
              <w:bottom w:w="80" w:type="dxa"/>
              <w:end w:w="120" w:type="dxa"/>
            </w:tcMar>
            <w:vAlign w:val="center"/>
          </w:tcPr>
          <w:p>
            <w:pPr>
              <w:spacing w:after="0"/>
            </w:pPr>
            <w:r>
              <w:rPr>
                <w:rFonts w:ascii="Calibri" w:hAnsi="Calibri"/>
                <w:color w:val="1F2937"/>
                <w:sz w:val="16"/>
              </w:rPr>
              <w:t>Labs 03-04</w:t>
            </w:r>
          </w:p>
        </w:tc>
        <w:tc>
          <w:tcPr>
            <w:tcW w:type="dxa" w:w="4360"/>
            <w:tcMar>
              <w:top w:w="80" w:type="dxa"/>
              <w:start w:w="120" w:type="dxa"/>
              <w:bottom w:w="80" w:type="dxa"/>
              <w:end w:w="120" w:type="dxa"/>
            </w:tcMar>
            <w:vAlign w:val="center"/>
          </w:tcPr>
          <w:p>
            <w:pPr>
              <w:spacing w:after="0"/>
            </w:pPr>
            <w:r>
              <w:rPr>
                <w:rFonts w:ascii="Calibri" w:hAnsi="Calibri"/>
                <w:color w:val="1F2937"/>
                <w:sz w:val="16"/>
              </w:rPr>
              <w:t>Bronze-Silver-Gold tables have correct counts and quality rules.</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18</w:t>
            </w:r>
          </w:p>
        </w:tc>
        <w:tc>
          <w:tcPr>
            <w:tcW w:type="dxa" w:w="2950"/>
            <w:tcMar>
              <w:top w:w="80" w:type="dxa"/>
              <w:start w:w="120" w:type="dxa"/>
              <w:bottom w:w="80" w:type="dxa"/>
              <w:end w:w="120" w:type="dxa"/>
            </w:tcMar>
            <w:vAlign w:val="center"/>
          </w:tcPr>
          <w:p>
            <w:pPr>
              <w:spacing w:after="0"/>
            </w:pPr>
            <w:r>
              <w:rPr>
                <w:rFonts w:ascii="Calibri" w:hAnsi="Calibri"/>
                <w:color w:val="1F2937"/>
                <w:sz w:val="16"/>
              </w:rPr>
              <w:t>Databricks SQL, CTEs, window SQL, query profile, dashboard, ML/MLflow demo</w:t>
            </w:r>
          </w:p>
        </w:tc>
        <w:tc>
          <w:tcPr>
            <w:tcW w:type="dxa" w:w="1400"/>
            <w:tcMar>
              <w:top w:w="80" w:type="dxa"/>
              <w:start w:w="120" w:type="dxa"/>
              <w:bottom w:w="80" w:type="dxa"/>
              <w:end w:w="120" w:type="dxa"/>
            </w:tcMar>
            <w:vAlign w:val="center"/>
          </w:tcPr>
          <w:p>
            <w:pPr>
              <w:spacing w:after="0"/>
            </w:pPr>
            <w:r>
              <w:rPr>
                <w:rFonts w:ascii="Calibri" w:hAnsi="Calibri"/>
                <w:color w:val="1F2937"/>
                <w:sz w:val="16"/>
              </w:rPr>
              <w:t>Labs 05-06</w:t>
            </w:r>
          </w:p>
        </w:tc>
        <w:tc>
          <w:tcPr>
            <w:tcW w:type="dxa" w:w="4360"/>
            <w:tcMar>
              <w:top w:w="80" w:type="dxa"/>
              <w:start w:w="120" w:type="dxa"/>
              <w:bottom w:w="80" w:type="dxa"/>
              <w:end w:w="120" w:type="dxa"/>
            </w:tcMar>
            <w:vAlign w:val="center"/>
          </w:tcPr>
          <w:p>
            <w:pPr>
              <w:spacing w:after="0"/>
            </w:pPr>
            <w:r>
              <w:rPr>
                <w:rFonts w:ascii="Calibri" w:hAnsi="Calibri"/>
                <w:color w:val="1F2937"/>
                <w:sz w:val="16"/>
              </w:rPr>
              <w:t>Dashboard published; experiment logs metrics.</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19</w:t>
            </w:r>
          </w:p>
        </w:tc>
        <w:tc>
          <w:tcPr>
            <w:tcW w:type="dxa" w:w="2950"/>
            <w:tcMar>
              <w:top w:w="80" w:type="dxa"/>
              <w:start w:w="120" w:type="dxa"/>
              <w:bottom w:w="80" w:type="dxa"/>
              <w:end w:w="120" w:type="dxa"/>
            </w:tcMar>
            <w:vAlign w:val="center"/>
          </w:tcPr>
          <w:p>
            <w:pPr>
              <w:spacing w:after="0"/>
            </w:pPr>
            <w:r>
              <w:rPr>
                <w:rFonts w:ascii="Calibri" w:hAnsi="Calibri"/>
                <w:color w:val="1F2937"/>
                <w:sz w:val="16"/>
              </w:rPr>
              <w:t>Delta internals, MERGE, history, schema evolution, Lakeflow Jobs, alerts, Genie</w:t>
            </w:r>
          </w:p>
        </w:tc>
        <w:tc>
          <w:tcPr>
            <w:tcW w:type="dxa" w:w="1400"/>
            <w:tcMar>
              <w:top w:w="80" w:type="dxa"/>
              <w:start w:w="120" w:type="dxa"/>
              <w:bottom w:w="80" w:type="dxa"/>
              <w:end w:w="120" w:type="dxa"/>
            </w:tcMar>
            <w:vAlign w:val="center"/>
          </w:tcPr>
          <w:p>
            <w:pPr>
              <w:spacing w:after="0"/>
            </w:pPr>
            <w:r>
              <w:rPr>
                <w:rFonts w:ascii="Calibri" w:hAnsi="Calibri"/>
                <w:color w:val="1F2937"/>
                <w:sz w:val="16"/>
              </w:rPr>
              <w:t>Labs 07-08</w:t>
            </w:r>
          </w:p>
        </w:tc>
        <w:tc>
          <w:tcPr>
            <w:tcW w:type="dxa" w:w="4360"/>
            <w:tcMar>
              <w:top w:w="80" w:type="dxa"/>
              <w:start w:w="120" w:type="dxa"/>
              <w:bottom w:w="80" w:type="dxa"/>
              <w:end w:w="120" w:type="dxa"/>
            </w:tcMar>
            <w:vAlign w:val="center"/>
          </w:tcPr>
          <w:p>
            <w:pPr>
              <w:spacing w:after="0"/>
            </w:pPr>
            <w:r>
              <w:rPr>
                <w:rFonts w:ascii="Calibri" w:hAnsi="Calibri"/>
                <w:color w:val="1F2937"/>
                <w:sz w:val="16"/>
              </w:rPr>
              <w:t>Job DAG succeeds; learners can explain time travel and safe VACUUM use.</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20</w:t>
            </w:r>
          </w:p>
        </w:tc>
        <w:tc>
          <w:tcPr>
            <w:tcW w:type="dxa" w:w="2950"/>
            <w:tcMar>
              <w:top w:w="80" w:type="dxa"/>
              <w:start w:w="120" w:type="dxa"/>
              <w:bottom w:w="80" w:type="dxa"/>
              <w:end w:w="120" w:type="dxa"/>
            </w:tcMar>
            <w:vAlign w:val="center"/>
          </w:tcPr>
          <w:p>
            <w:pPr>
              <w:spacing w:after="0"/>
            </w:pPr>
            <w:r>
              <w:rPr>
                <w:rFonts w:ascii="Calibri" w:hAnsi="Calibri"/>
                <w:color w:val="1F2937"/>
                <w:sz w:val="16"/>
              </w:rPr>
              <w:t>Azure architecture, identity, VNet concepts, monitoring, batch vs stream</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09</w:t>
            </w:r>
          </w:p>
        </w:tc>
        <w:tc>
          <w:tcPr>
            <w:tcW w:type="dxa" w:w="4360"/>
            <w:tcMar>
              <w:top w:w="80" w:type="dxa"/>
              <w:start w:w="120" w:type="dxa"/>
              <w:bottom w:w="80" w:type="dxa"/>
              <w:end w:w="120" w:type="dxa"/>
            </w:tcMar>
            <w:vAlign w:val="center"/>
          </w:tcPr>
          <w:p>
            <w:pPr>
              <w:spacing w:after="0"/>
            </w:pPr>
            <w:r>
              <w:rPr>
                <w:rFonts w:ascii="Calibri" w:hAnsi="Calibri"/>
                <w:color w:val="1F2937"/>
                <w:sz w:val="16"/>
              </w:rPr>
              <w:t>Learners can compare serverless and classic compute planes.</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21</w:t>
            </w:r>
          </w:p>
        </w:tc>
        <w:tc>
          <w:tcPr>
            <w:tcW w:type="dxa" w:w="2950"/>
            <w:tcMar>
              <w:top w:w="80" w:type="dxa"/>
              <w:start w:w="120" w:type="dxa"/>
              <w:bottom w:w="80" w:type="dxa"/>
              <w:end w:w="120" w:type="dxa"/>
            </w:tcMar>
            <w:vAlign w:val="center"/>
          </w:tcPr>
          <w:p>
            <w:pPr>
              <w:spacing w:after="0"/>
            </w:pPr>
            <w:r>
              <w:rPr>
                <w:rFonts w:ascii="Calibri" w:hAnsi="Calibri"/>
                <w:color w:val="1F2937"/>
                <w:sz w:val="16"/>
              </w:rPr>
              <w:t>ADLS + managed identity + Unity Catalog, ADF orchestration, Synapse/Power BI patterns</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10</w:t>
            </w:r>
          </w:p>
        </w:tc>
        <w:tc>
          <w:tcPr>
            <w:tcW w:type="dxa" w:w="4360"/>
            <w:tcMar>
              <w:top w:w="80" w:type="dxa"/>
              <w:start w:w="120" w:type="dxa"/>
              <w:bottom w:w="80" w:type="dxa"/>
              <w:end w:w="120" w:type="dxa"/>
            </w:tcMar>
            <w:vAlign w:val="center"/>
          </w:tcPr>
          <w:p>
            <w:pPr>
              <w:spacing w:after="0"/>
            </w:pPr>
            <w:r>
              <w:rPr>
                <w:rFonts w:ascii="Calibri" w:hAnsi="Calibri"/>
                <w:color w:val="1F2937"/>
                <w:sz w:val="16"/>
              </w:rPr>
              <w:t>A governed external location/volume is readable without embedding secrets.</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22</w:t>
            </w:r>
          </w:p>
        </w:tc>
        <w:tc>
          <w:tcPr>
            <w:tcW w:type="dxa" w:w="2950"/>
            <w:tcMar>
              <w:top w:w="80" w:type="dxa"/>
              <w:start w:w="120" w:type="dxa"/>
              <w:bottom w:w="80" w:type="dxa"/>
              <w:end w:w="120" w:type="dxa"/>
            </w:tcMar>
            <w:vAlign w:val="center"/>
          </w:tcPr>
          <w:p>
            <w:pPr>
              <w:spacing w:after="0"/>
            </w:pPr>
            <w:r>
              <w:rPr>
                <w:rFonts w:ascii="Calibri" w:hAnsi="Calibri"/>
                <w:color w:val="1F2937"/>
                <w:sz w:val="16"/>
              </w:rPr>
              <w:t>Compute sizing, Photon, shuffle tuning, caching, cost, security and compliance</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11</w:t>
            </w:r>
          </w:p>
        </w:tc>
        <w:tc>
          <w:tcPr>
            <w:tcW w:type="dxa" w:w="4360"/>
            <w:tcMar>
              <w:top w:w="80" w:type="dxa"/>
              <w:start w:w="120" w:type="dxa"/>
              <w:bottom w:w="80" w:type="dxa"/>
              <w:end w:w="120" w:type="dxa"/>
            </w:tcMar>
            <w:vAlign w:val="center"/>
          </w:tcPr>
          <w:p>
            <w:pPr>
              <w:spacing w:after="0"/>
            </w:pPr>
            <w:r>
              <w:rPr>
                <w:rFonts w:ascii="Calibri" w:hAnsi="Calibri"/>
                <w:color w:val="1F2937"/>
                <w:sz w:val="16"/>
              </w:rPr>
              <w:t>Learners use query plans and system evidence rather than guessing.</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23</w:t>
            </w:r>
          </w:p>
        </w:tc>
        <w:tc>
          <w:tcPr>
            <w:tcW w:type="dxa" w:w="2950"/>
            <w:tcMar>
              <w:top w:w="80" w:type="dxa"/>
              <w:start w:w="120" w:type="dxa"/>
              <w:bottom w:w="80" w:type="dxa"/>
              <w:end w:w="120" w:type="dxa"/>
            </w:tcMar>
            <w:vAlign w:val="center"/>
          </w:tcPr>
          <w:p>
            <w:pPr>
              <w:spacing w:after="0"/>
            </w:pPr>
            <w:r>
              <w:rPr>
                <w:rFonts w:ascii="Calibri" w:hAnsi="Calibri"/>
                <w:color w:val="1F2937"/>
                <w:sz w:val="16"/>
              </w:rPr>
              <w:t>Robust pipelines, Auto Loader, expectations, Delta optimization and recovery</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12</w:t>
            </w:r>
          </w:p>
        </w:tc>
        <w:tc>
          <w:tcPr>
            <w:tcW w:type="dxa" w:w="4360"/>
            <w:tcMar>
              <w:top w:w="80" w:type="dxa"/>
              <w:start w:w="120" w:type="dxa"/>
              <w:bottom w:w="80" w:type="dxa"/>
              <w:end w:w="120" w:type="dxa"/>
            </w:tcMar>
            <w:vAlign w:val="center"/>
          </w:tcPr>
          <w:p>
            <w:pPr>
              <w:spacing w:after="0"/>
            </w:pPr>
            <w:r>
              <w:rPr>
                <w:rFonts w:ascii="Calibri" w:hAnsi="Calibri"/>
                <w:color w:val="1F2937"/>
                <w:sz w:val="16"/>
              </w:rPr>
              <w:t>Pipeline processes only new files and surfaces data-quality results.</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24</w:t>
            </w:r>
          </w:p>
        </w:tc>
        <w:tc>
          <w:tcPr>
            <w:tcW w:type="dxa" w:w="2950"/>
            <w:tcMar>
              <w:top w:w="80" w:type="dxa"/>
              <w:start w:w="120" w:type="dxa"/>
              <w:bottom w:w="80" w:type="dxa"/>
              <w:end w:w="120" w:type="dxa"/>
            </w:tcMar>
            <w:vAlign w:val="center"/>
          </w:tcPr>
          <w:p>
            <w:pPr>
              <w:spacing w:after="0"/>
            </w:pPr>
            <w:r>
              <w:rPr>
                <w:rFonts w:ascii="Calibri" w:hAnsi="Calibri"/>
                <w:color w:val="1F2937"/>
                <w:sz w:val="16"/>
              </w:rPr>
              <w:t>Structured Streaming, event time, watermarks, checkpoints, Event Hubs demo</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13</w:t>
            </w:r>
          </w:p>
        </w:tc>
        <w:tc>
          <w:tcPr>
            <w:tcW w:type="dxa" w:w="4360"/>
            <w:tcMar>
              <w:top w:w="80" w:type="dxa"/>
              <w:start w:w="120" w:type="dxa"/>
              <w:bottom w:w="80" w:type="dxa"/>
              <w:end w:w="120" w:type="dxa"/>
            </w:tcMar>
            <w:vAlign w:val="center"/>
          </w:tcPr>
          <w:p>
            <w:pPr>
              <w:spacing w:after="0"/>
            </w:pPr>
            <w:r>
              <w:rPr>
                <w:rFonts w:ascii="Calibri" w:hAnsi="Calibri"/>
                <w:color w:val="1F2937"/>
                <w:sz w:val="16"/>
              </w:rPr>
              <w:t>Restart uses checkpoint and does not reprocess already committed input.</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F2937"/>
                <w:sz w:val="16"/>
              </w:rPr>
              <w:t>25</w:t>
            </w:r>
          </w:p>
        </w:tc>
        <w:tc>
          <w:tcPr>
            <w:tcW w:type="dxa" w:w="2950"/>
            <w:tcMar>
              <w:top w:w="80" w:type="dxa"/>
              <w:start w:w="120" w:type="dxa"/>
              <w:bottom w:w="80" w:type="dxa"/>
              <w:end w:w="120" w:type="dxa"/>
            </w:tcMar>
            <w:vAlign w:val="center"/>
          </w:tcPr>
          <w:p>
            <w:pPr>
              <w:spacing w:after="0"/>
            </w:pPr>
            <w:r>
              <w:rPr>
                <w:rFonts w:ascii="Calibri" w:hAnsi="Calibri"/>
                <w:color w:val="1F2937"/>
                <w:sz w:val="16"/>
              </w:rPr>
              <w:t>Terraform, Databricks provider, bundles/CI-CD, capstone presentation; Power Apps handoff</w:t>
            </w:r>
          </w:p>
        </w:tc>
        <w:tc>
          <w:tcPr>
            <w:tcW w:type="dxa" w:w="1400"/>
            <w:tcMar>
              <w:top w:w="80" w:type="dxa"/>
              <w:start w:w="120" w:type="dxa"/>
              <w:bottom w:w="80" w:type="dxa"/>
              <w:end w:w="120" w:type="dxa"/>
            </w:tcMar>
            <w:vAlign w:val="center"/>
          </w:tcPr>
          <w:p>
            <w:pPr>
              <w:spacing w:after="0"/>
            </w:pPr>
            <w:r>
              <w:rPr>
                <w:rFonts w:ascii="Calibri" w:hAnsi="Calibri"/>
                <w:color w:val="1F2937"/>
                <w:sz w:val="16"/>
              </w:rPr>
              <w:t>Lab 14 + capstone</w:t>
            </w:r>
          </w:p>
        </w:tc>
        <w:tc>
          <w:tcPr>
            <w:tcW w:type="dxa" w:w="4360"/>
            <w:tcMar>
              <w:top w:w="80" w:type="dxa"/>
              <w:start w:w="120" w:type="dxa"/>
              <w:bottom w:w="80" w:type="dxa"/>
              <w:end w:w="120" w:type="dxa"/>
            </w:tcMar>
            <w:vAlign w:val="center"/>
          </w:tcPr>
          <w:p>
            <w:pPr>
              <w:spacing w:after="0"/>
            </w:pPr>
            <w:r>
              <w:rPr>
                <w:rFonts w:ascii="Calibri" w:hAnsi="Calibri"/>
                <w:color w:val="1F2937"/>
                <w:sz w:val="16"/>
              </w:rPr>
              <w:t>Infrastructure validates from code and learners defend an end-to-end design.</w:t>
            </w:r>
          </w:p>
        </w:tc>
      </w:tr>
    </w:tbl>
    <w:p>
      <w:pPr>
        <w:spacing w:after="40"/>
      </w:pPr>
    </w:p>
    <w:p>
      <w:pPr>
        <w:pStyle w:val="Heading2"/>
      </w:pPr>
      <w:r>
        <w:t>Suggested daily rhythm</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63A5F"/>
                <w:sz w:val="18"/>
              </w:rPr>
              <w:t>Time block</w:t>
            </w:r>
          </w:p>
        </w:tc>
        <w:tc>
          <w:tcPr>
            <w:tcW w:type="dxa" w:w="7160"/>
            <w:tcMar>
              <w:top w:w="80" w:type="dxa"/>
              <w:start w:w="120" w:type="dxa"/>
              <w:bottom w:w="80" w:type="dxa"/>
              <w:end w:w="120" w:type="dxa"/>
            </w:tcMar>
            <w:vAlign w:val="center"/>
            <w:shd w:fill="E8EEF5"/>
          </w:tcPr>
          <w:p>
            <w:pPr>
              <w:spacing w:after="0"/>
            </w:pPr>
            <w:r>
              <w:rPr>
                <w:rFonts w:ascii="Calibri" w:hAnsi="Calibri"/>
                <w:b/>
                <w:color w:val="163A5F"/>
                <w:sz w:val="18"/>
              </w:rPr>
              <w:t>Activity</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09:30-10:15</w:t>
            </w:r>
          </w:p>
        </w:tc>
        <w:tc>
          <w:tcPr>
            <w:tcW w:type="dxa" w:w="7160"/>
            <w:tcMar>
              <w:top w:w="80" w:type="dxa"/>
              <w:start w:w="120" w:type="dxa"/>
              <w:bottom w:w="80" w:type="dxa"/>
              <w:end w:w="120" w:type="dxa"/>
            </w:tcMar>
            <w:vAlign w:val="center"/>
          </w:tcPr>
          <w:p>
            <w:pPr>
              <w:spacing w:after="0"/>
            </w:pPr>
            <w:r>
              <w:rPr>
                <w:rFonts w:ascii="Calibri" w:hAnsi="Calibri"/>
                <w:color w:val="1F2937"/>
                <w:sz w:val="18"/>
              </w:rPr>
              <w:t>Concept and real-world problem</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10:15-11:00</w:t>
            </w:r>
          </w:p>
        </w:tc>
        <w:tc>
          <w:tcPr>
            <w:tcW w:type="dxa" w:w="7160"/>
            <w:tcMar>
              <w:top w:w="80" w:type="dxa"/>
              <w:start w:w="120" w:type="dxa"/>
              <w:bottom w:w="80" w:type="dxa"/>
              <w:end w:w="120" w:type="dxa"/>
            </w:tcMar>
            <w:vAlign w:val="center"/>
          </w:tcPr>
          <w:p>
            <w:pPr>
              <w:spacing w:after="0"/>
            </w:pPr>
            <w:r>
              <w:rPr>
                <w:rFonts w:ascii="Calibri" w:hAnsi="Calibri"/>
                <w:color w:val="1F2937"/>
                <w:sz w:val="18"/>
              </w:rPr>
              <w:t>Architecture or code walkthrough</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11:15-12:45</w:t>
            </w:r>
          </w:p>
        </w:tc>
        <w:tc>
          <w:tcPr>
            <w:tcW w:type="dxa" w:w="7160"/>
            <w:tcMar>
              <w:top w:w="80" w:type="dxa"/>
              <w:start w:w="120" w:type="dxa"/>
              <w:bottom w:w="80" w:type="dxa"/>
              <w:end w:w="120" w:type="dxa"/>
            </w:tcMar>
            <w:vAlign w:val="center"/>
          </w:tcPr>
          <w:p>
            <w:pPr>
              <w:spacing w:after="0"/>
            </w:pPr>
            <w:r>
              <w:rPr>
                <w:rFonts w:ascii="Calibri" w:hAnsi="Calibri"/>
                <w:color w:val="1F2937"/>
                <w:sz w:val="18"/>
              </w:rPr>
              <w:t>Guided hands-on lab</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13:45-14:30</w:t>
            </w:r>
          </w:p>
        </w:tc>
        <w:tc>
          <w:tcPr>
            <w:tcW w:type="dxa" w:w="7160"/>
            <w:tcMar>
              <w:top w:w="80" w:type="dxa"/>
              <w:start w:w="120" w:type="dxa"/>
              <w:bottom w:w="80" w:type="dxa"/>
              <w:end w:w="120" w:type="dxa"/>
            </w:tcMar>
            <w:vAlign w:val="center"/>
          </w:tcPr>
          <w:p>
            <w:pPr>
              <w:spacing w:after="0"/>
            </w:pPr>
            <w:r>
              <w:rPr>
                <w:rFonts w:ascii="Calibri" w:hAnsi="Calibri"/>
                <w:color w:val="1F2937"/>
                <w:sz w:val="18"/>
              </w:rPr>
              <w:t>Debrief, verification and troubleshooting</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14:30-15:30</w:t>
            </w:r>
          </w:p>
        </w:tc>
        <w:tc>
          <w:tcPr>
            <w:tcW w:type="dxa" w:w="7160"/>
            <w:tcMar>
              <w:top w:w="80" w:type="dxa"/>
              <w:start w:w="120" w:type="dxa"/>
              <w:bottom w:w="80" w:type="dxa"/>
              <w:end w:w="120" w:type="dxa"/>
            </w:tcMar>
            <w:vAlign w:val="center"/>
          </w:tcPr>
          <w:p>
            <w:pPr>
              <w:spacing w:after="0"/>
            </w:pPr>
            <w:r>
              <w:rPr>
                <w:rFonts w:ascii="Calibri" w:hAnsi="Calibri"/>
                <w:color w:val="1F2937"/>
                <w:sz w:val="18"/>
              </w:rPr>
              <w:t>Advanced topic or trainer demonstration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15:45-16:45</w:t>
            </w:r>
          </w:p>
        </w:tc>
        <w:tc>
          <w:tcPr>
            <w:tcW w:type="dxa" w:w="7160"/>
            <w:tcMar>
              <w:top w:w="80" w:type="dxa"/>
              <w:start w:w="120" w:type="dxa"/>
              <w:bottom w:w="80" w:type="dxa"/>
              <w:end w:w="120" w:type="dxa"/>
            </w:tcMar>
            <w:vAlign w:val="center"/>
          </w:tcPr>
          <w:p>
            <w:pPr>
              <w:spacing w:after="0"/>
            </w:pPr>
            <w:r>
              <w:rPr>
                <w:rFonts w:ascii="Calibri" w:hAnsi="Calibri"/>
                <w:color w:val="1F2937"/>
                <w:sz w:val="18"/>
              </w:rPr>
              <w:t>Independent challenge / pair exercise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16:45-17:15</w:t>
            </w:r>
          </w:p>
        </w:tc>
        <w:tc>
          <w:tcPr>
            <w:tcW w:type="dxa" w:w="7160"/>
            <w:tcMar>
              <w:top w:w="80" w:type="dxa"/>
              <w:start w:w="120" w:type="dxa"/>
              <w:bottom w:w="80" w:type="dxa"/>
              <w:end w:w="120" w:type="dxa"/>
            </w:tcMar>
            <w:vAlign w:val="center"/>
          </w:tcPr>
          <w:p>
            <w:pPr>
              <w:spacing w:after="0"/>
            </w:pPr>
            <w:r>
              <w:rPr>
                <w:rFonts w:ascii="Calibri" w:hAnsi="Calibri"/>
                <w:color w:val="1F2937"/>
                <w:sz w:val="18"/>
              </w:rPr>
              <w:t>Quiz, recap, cost check and cleanup</w:t>
            </w:r>
          </w:p>
        </w:tc>
      </w:tr>
    </w:tbl>
    <w:p>
      <w:pPr>
        <w:spacing w:after="40"/>
      </w:pPr>
    </w:p>
    <w:p>
      <w:pPr>
        <w:pStyle w:val="Heading1"/>
        <w:pageBreakBefore/>
      </w:pPr>
      <w:r>
        <w:t>Part 4 - Azure lab environment for 14 learners</w:t>
      </w:r>
    </w:p>
    <w:p>
      <w:pPr>
        <w:pStyle w:val="Heading2"/>
      </w:pPr>
      <w:r>
        <w:t>1. Recommended classroom topology</w:t>
      </w:r>
    </w:p>
    <w:tbl>
      <w:tblPr>
        <w:tblStyle w:val="TableGrid"/>
        <w:tblW w:type="dxa" w:w="9360"/>
        <w:tblLayout w:type="fixed"/>
        <w:tblLook w:firstColumn="1" w:firstRow="1" w:lastColumn="0" w:lastRow="0" w:noHBand="0" w:noVBand="1" w:val="04A0"/>
        <w:jc w:val="left"/>
        <w:tblInd w:w="120" w:type="dxa"/>
      </w:tblPr>
      <w:tblGrid>
        <w:gridCol w:w="1700"/>
        <w:gridCol w:w="4080"/>
        <w:gridCol w:w="358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color w:val="163A5F"/>
                <w:sz w:val="18"/>
              </w:rPr>
              <w:t>Component</w:t>
            </w:r>
          </w:p>
        </w:tc>
        <w:tc>
          <w:tcPr>
            <w:tcW w:type="dxa" w:w="4080"/>
            <w:tcMar>
              <w:top w:w="80" w:type="dxa"/>
              <w:start w:w="120" w:type="dxa"/>
              <w:bottom w:w="80" w:type="dxa"/>
              <w:end w:w="120" w:type="dxa"/>
            </w:tcMar>
            <w:vAlign w:val="center"/>
            <w:shd w:fill="E8EEF5"/>
          </w:tcPr>
          <w:p>
            <w:pPr>
              <w:spacing w:after="0"/>
            </w:pPr>
            <w:r>
              <w:rPr>
                <w:rFonts w:ascii="Calibri" w:hAnsi="Calibri"/>
                <w:b/>
                <w:color w:val="163A5F"/>
                <w:sz w:val="18"/>
              </w:rPr>
              <w:t>Recommended quantity/configuration</w:t>
            </w:r>
          </w:p>
        </w:tc>
        <w:tc>
          <w:tcPr>
            <w:tcW w:type="dxa" w:w="3580"/>
            <w:tcMar>
              <w:top w:w="80" w:type="dxa"/>
              <w:start w:w="120" w:type="dxa"/>
              <w:bottom w:w="80" w:type="dxa"/>
              <w:end w:w="120" w:type="dxa"/>
            </w:tcMar>
            <w:vAlign w:val="center"/>
            <w:shd w:fill="E8EEF5"/>
          </w:tcPr>
          <w:p>
            <w:pPr>
              <w:spacing w:after="0"/>
            </w:pPr>
            <w:r>
              <w:rPr>
                <w:rFonts w:ascii="Calibri" w:hAnsi="Calibri"/>
                <w:b/>
                <w:color w:val="163A5F"/>
                <w:sz w:val="18"/>
              </w:rPr>
              <w:t>Purpose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Resource group</w:t>
            </w:r>
          </w:p>
        </w:tc>
        <w:tc>
          <w:tcPr>
            <w:tcW w:type="dxa" w:w="4080"/>
            <w:tcMar>
              <w:top w:w="80" w:type="dxa"/>
              <w:start w:w="120" w:type="dxa"/>
              <w:bottom w:w="80" w:type="dxa"/>
              <w:end w:w="120" w:type="dxa"/>
            </w:tcMar>
            <w:vAlign w:val="center"/>
          </w:tcPr>
          <w:p>
            <w:pPr>
              <w:spacing w:after="0"/>
            </w:pPr>
            <w:r>
              <w:rPr>
                <w:rFonts w:ascii="Calibri" w:hAnsi="Calibri"/>
                <w:color w:val="1F2937"/>
                <w:sz w:val="16"/>
              </w:rPr>
              <w:t>1: rg-dbx-training-&lt;batch&gt;</w:t>
            </w:r>
          </w:p>
        </w:tc>
        <w:tc>
          <w:tcPr>
            <w:tcW w:type="dxa" w:w="3580"/>
            <w:tcMar>
              <w:top w:w="80" w:type="dxa"/>
              <w:start w:w="120" w:type="dxa"/>
              <w:bottom w:w="80" w:type="dxa"/>
              <w:end w:w="120" w:type="dxa"/>
            </w:tcMar>
            <w:vAlign w:val="center"/>
          </w:tcPr>
          <w:p>
            <w:pPr>
              <w:spacing w:after="0"/>
            </w:pPr>
            <w:r>
              <w:rPr>
                <w:rFonts w:ascii="Calibri" w:hAnsi="Calibri"/>
                <w:color w:val="1F2937"/>
                <w:sz w:val="16"/>
              </w:rPr>
              <w:t>Cost boundary and cleanup boundary.</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Azure Databricks</w:t>
            </w:r>
          </w:p>
        </w:tc>
        <w:tc>
          <w:tcPr>
            <w:tcW w:type="dxa" w:w="4080"/>
            <w:tcMar>
              <w:top w:w="80" w:type="dxa"/>
              <w:start w:w="120" w:type="dxa"/>
              <w:bottom w:w="80" w:type="dxa"/>
              <w:end w:w="120" w:type="dxa"/>
            </w:tcMar>
            <w:vAlign w:val="center"/>
          </w:tcPr>
          <w:p>
            <w:pPr>
              <w:spacing w:after="0"/>
            </w:pPr>
            <w:r>
              <w:rPr>
                <w:rFonts w:ascii="Calibri" w:hAnsi="Calibri"/>
                <w:color w:val="1F2937"/>
                <w:sz w:val="16"/>
              </w:rPr>
              <w:t>1 Premium workspace in a supported region</w:t>
            </w:r>
          </w:p>
        </w:tc>
        <w:tc>
          <w:tcPr>
            <w:tcW w:type="dxa" w:w="3580"/>
            <w:tcMar>
              <w:top w:w="80" w:type="dxa"/>
              <w:start w:w="120" w:type="dxa"/>
              <w:bottom w:w="80" w:type="dxa"/>
              <w:end w:w="120" w:type="dxa"/>
            </w:tcMar>
            <w:vAlign w:val="center"/>
          </w:tcPr>
          <w:p>
            <w:pPr>
              <w:spacing w:after="0"/>
            </w:pPr>
            <w:r>
              <w:rPr>
                <w:rFonts w:ascii="Calibri" w:hAnsi="Calibri"/>
                <w:color w:val="1F2937"/>
                <w:sz w:val="16"/>
              </w:rPr>
              <w:t>Shared collaborative workspace with Unity Catalog.</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Microsoft Entra ID group</w:t>
            </w:r>
          </w:p>
        </w:tc>
        <w:tc>
          <w:tcPr>
            <w:tcW w:type="dxa" w:w="4080"/>
            <w:tcMar>
              <w:top w:w="80" w:type="dxa"/>
              <w:start w:w="120" w:type="dxa"/>
              <w:bottom w:w="80" w:type="dxa"/>
              <w:end w:w="120" w:type="dxa"/>
            </w:tcMar>
            <w:vAlign w:val="center"/>
          </w:tcPr>
          <w:p>
            <w:pPr>
              <w:spacing w:after="0"/>
            </w:pPr>
            <w:r>
              <w:rPr>
                <w:rFonts w:ascii="Calibri" w:hAnsi="Calibri"/>
                <w:color w:val="1F2937"/>
                <w:sz w:val="16"/>
              </w:rPr>
              <w:t>1 group containing 14 learners</w:t>
            </w:r>
          </w:p>
        </w:tc>
        <w:tc>
          <w:tcPr>
            <w:tcW w:type="dxa" w:w="3580"/>
            <w:tcMar>
              <w:top w:w="80" w:type="dxa"/>
              <w:start w:w="120" w:type="dxa"/>
              <w:bottom w:w="80" w:type="dxa"/>
              <w:end w:w="120" w:type="dxa"/>
            </w:tcMar>
            <w:vAlign w:val="center"/>
          </w:tcPr>
          <w:p>
            <w:pPr>
              <w:spacing w:after="0"/>
            </w:pPr>
            <w:r>
              <w:rPr>
                <w:rFonts w:ascii="Calibri" w:hAnsi="Calibri"/>
                <w:color w:val="1F2937"/>
                <w:sz w:val="16"/>
              </w:rPr>
              <w:t>Workspace assignment and group-based permissions.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Unity Catalog</w:t>
            </w:r>
          </w:p>
        </w:tc>
        <w:tc>
          <w:tcPr>
            <w:tcW w:type="dxa" w:w="4080"/>
            <w:tcMar>
              <w:top w:w="80" w:type="dxa"/>
              <w:start w:w="120" w:type="dxa"/>
              <w:bottom w:w="80" w:type="dxa"/>
              <w:end w:w="120" w:type="dxa"/>
            </w:tcMar>
            <w:vAlign w:val="center"/>
          </w:tcPr>
          <w:p>
            <w:pPr>
              <w:spacing w:after="0"/>
            </w:pPr>
            <w:r>
              <w:rPr>
                <w:rFonts w:ascii="Calibri" w:hAnsi="Calibri"/>
                <w:color w:val="1F2937"/>
                <w:sz w:val="16"/>
              </w:rPr>
              <w:t>1 training catalog; one schema per learner/team</w:t>
            </w:r>
          </w:p>
        </w:tc>
        <w:tc>
          <w:tcPr>
            <w:tcW w:type="dxa" w:w="3580"/>
            <w:tcMar>
              <w:top w:w="80" w:type="dxa"/>
              <w:start w:w="120" w:type="dxa"/>
              <w:bottom w:w="80" w:type="dxa"/>
              <w:end w:w="120" w:type="dxa"/>
            </w:tcMar>
            <w:vAlign w:val="center"/>
          </w:tcPr>
          <w:p>
            <w:pPr>
              <w:spacing w:after="0"/>
            </w:pPr>
            <w:r>
              <w:rPr>
                <w:rFonts w:ascii="Calibri" w:hAnsi="Calibri"/>
                <w:color w:val="1F2937"/>
                <w:sz w:val="16"/>
              </w:rPr>
              <w:t>Governed isolation without creating 14 workspaces.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Compute</w:t>
            </w:r>
          </w:p>
        </w:tc>
        <w:tc>
          <w:tcPr>
            <w:tcW w:type="dxa" w:w="4080"/>
            <w:tcMar>
              <w:top w:w="80" w:type="dxa"/>
              <w:start w:w="120" w:type="dxa"/>
              <w:bottom w:w="80" w:type="dxa"/>
              <w:end w:w="120" w:type="dxa"/>
            </w:tcMar>
            <w:vAlign w:val="center"/>
          </w:tcPr>
          <w:p>
            <w:pPr>
              <w:spacing w:after="0"/>
            </w:pPr>
            <w:r>
              <w:rPr>
                <w:rFonts w:ascii="Calibri" w:hAnsi="Calibri"/>
                <w:color w:val="1F2937"/>
                <w:sz w:val="16"/>
              </w:rPr>
              <w:t>Serverless where available; otherwise one Shared Compute policy with a small allowed size and 15-minute auto-termination</w:t>
            </w:r>
          </w:p>
        </w:tc>
        <w:tc>
          <w:tcPr>
            <w:tcW w:type="dxa" w:w="3580"/>
            <w:tcMar>
              <w:top w:w="80" w:type="dxa"/>
              <w:start w:w="120" w:type="dxa"/>
              <w:bottom w:w="80" w:type="dxa"/>
              <w:end w:w="120" w:type="dxa"/>
            </w:tcMar>
            <w:vAlign w:val="center"/>
          </w:tcPr>
          <w:p>
            <w:pPr>
              <w:spacing w:after="0"/>
            </w:pPr>
            <w:r>
              <w:rPr>
                <w:rFonts w:ascii="Calibri" w:hAnsi="Calibri"/>
                <w:color w:val="1F2937"/>
                <w:sz w:val="16"/>
              </w:rPr>
              <w:t>Prevents every learner from launching unrestricted clusters.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SQL warehouse</w:t>
            </w:r>
          </w:p>
        </w:tc>
        <w:tc>
          <w:tcPr>
            <w:tcW w:type="dxa" w:w="4080"/>
            <w:tcMar>
              <w:top w:w="80" w:type="dxa"/>
              <w:start w:w="120" w:type="dxa"/>
              <w:bottom w:w="80" w:type="dxa"/>
              <w:end w:w="120" w:type="dxa"/>
            </w:tcMar>
            <w:vAlign w:val="center"/>
          </w:tcPr>
          <w:p>
            <w:pPr>
              <w:spacing w:after="0"/>
            </w:pPr>
            <w:r>
              <w:rPr>
                <w:rFonts w:ascii="Calibri" w:hAnsi="Calibri"/>
                <w:color w:val="1F2937"/>
                <w:sz w:val="16"/>
              </w:rPr>
              <w:t>1 shared serverless or smallest supported warehouse, auto-stop enabled</w:t>
            </w:r>
          </w:p>
        </w:tc>
        <w:tc>
          <w:tcPr>
            <w:tcW w:type="dxa" w:w="3580"/>
            <w:tcMar>
              <w:top w:w="80" w:type="dxa"/>
              <w:start w:w="120" w:type="dxa"/>
              <w:bottom w:w="80" w:type="dxa"/>
              <w:end w:w="120" w:type="dxa"/>
            </w:tcMar>
            <w:vAlign w:val="center"/>
          </w:tcPr>
          <w:p>
            <w:pPr>
              <w:spacing w:after="0"/>
            </w:pPr>
            <w:r>
              <w:rPr>
                <w:rFonts w:ascii="Calibri" w:hAnsi="Calibri"/>
                <w:color w:val="1F2937"/>
                <w:sz w:val="16"/>
              </w:rPr>
              <w:t>SQL editor, dashboards, alerts and BI.</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ADLS Gen2</w:t>
            </w:r>
          </w:p>
        </w:tc>
        <w:tc>
          <w:tcPr>
            <w:tcW w:type="dxa" w:w="4080"/>
            <w:tcMar>
              <w:top w:w="80" w:type="dxa"/>
              <w:start w:w="120" w:type="dxa"/>
              <w:bottom w:w="80" w:type="dxa"/>
              <w:end w:w="120" w:type="dxa"/>
            </w:tcMar>
            <w:vAlign w:val="center"/>
          </w:tcPr>
          <w:p>
            <w:pPr>
              <w:spacing w:after="0"/>
            </w:pPr>
            <w:r>
              <w:rPr>
                <w:rFonts w:ascii="Calibri" w:hAnsi="Calibri"/>
                <w:color w:val="1F2937"/>
                <w:sz w:val="16"/>
              </w:rPr>
              <w:t>1 storage account, HNS enabled, containers landing and curated</w:t>
            </w:r>
          </w:p>
        </w:tc>
        <w:tc>
          <w:tcPr>
            <w:tcW w:type="dxa" w:w="3580"/>
            <w:tcMar>
              <w:top w:w="80" w:type="dxa"/>
              <w:start w:w="120" w:type="dxa"/>
              <w:bottom w:w="80" w:type="dxa"/>
              <w:end w:w="120" w:type="dxa"/>
            </w:tcMar>
            <w:vAlign w:val="center"/>
          </w:tcPr>
          <w:p>
            <w:pPr>
              <w:spacing w:after="0"/>
            </w:pPr>
            <w:r>
              <w:rPr>
                <w:rFonts w:ascii="Calibri" w:hAnsi="Calibri"/>
                <w:color w:val="1F2937"/>
                <w:sz w:val="16"/>
              </w:rPr>
              <w:t>Azure integration and external data lab.</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Access Connector</w:t>
            </w:r>
          </w:p>
        </w:tc>
        <w:tc>
          <w:tcPr>
            <w:tcW w:type="dxa" w:w="4080"/>
            <w:tcMar>
              <w:top w:w="80" w:type="dxa"/>
              <w:start w:w="120" w:type="dxa"/>
              <w:bottom w:w="80" w:type="dxa"/>
              <w:end w:w="120" w:type="dxa"/>
            </w:tcMar>
            <w:vAlign w:val="center"/>
          </w:tcPr>
          <w:p>
            <w:pPr>
              <w:spacing w:after="0"/>
            </w:pPr>
            <w:r>
              <w:rPr>
                <w:rFonts w:ascii="Calibri" w:hAnsi="Calibri"/>
                <w:color w:val="1F2937"/>
                <w:sz w:val="16"/>
              </w:rPr>
              <w:t>1 system-assigned managed identity</w:t>
            </w:r>
          </w:p>
        </w:tc>
        <w:tc>
          <w:tcPr>
            <w:tcW w:type="dxa" w:w="3580"/>
            <w:tcMar>
              <w:top w:w="80" w:type="dxa"/>
              <w:start w:w="120" w:type="dxa"/>
              <w:bottom w:w="80" w:type="dxa"/>
              <w:end w:w="120" w:type="dxa"/>
            </w:tcMar>
            <w:vAlign w:val="center"/>
          </w:tcPr>
          <w:p>
            <w:pPr>
              <w:spacing w:after="0"/>
            </w:pPr>
            <w:r>
              <w:rPr>
                <w:rFonts w:ascii="Calibri" w:hAnsi="Calibri"/>
                <w:color w:val="1F2937"/>
                <w:sz w:val="16"/>
              </w:rPr>
              <w:t>Secretless Azure storage access through Unity Catalog.</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Azure Data Factory</w:t>
            </w:r>
          </w:p>
        </w:tc>
        <w:tc>
          <w:tcPr>
            <w:tcW w:type="dxa" w:w="4080"/>
            <w:tcMar>
              <w:top w:w="80" w:type="dxa"/>
              <w:start w:w="120" w:type="dxa"/>
              <w:bottom w:w="80" w:type="dxa"/>
              <w:end w:w="120" w:type="dxa"/>
            </w:tcMar>
            <w:vAlign w:val="center"/>
          </w:tcPr>
          <w:p>
            <w:pPr>
              <w:spacing w:after="0"/>
            </w:pPr>
            <w:r>
              <w:rPr>
                <w:rFonts w:ascii="Calibri" w:hAnsi="Calibri"/>
                <w:color w:val="1F2937"/>
                <w:sz w:val="16"/>
              </w:rPr>
              <w:t>1 factory; trainer/student pair usage</w:t>
            </w:r>
          </w:p>
        </w:tc>
        <w:tc>
          <w:tcPr>
            <w:tcW w:type="dxa" w:w="3580"/>
            <w:tcMar>
              <w:top w:w="80" w:type="dxa"/>
              <w:start w:w="120" w:type="dxa"/>
              <w:bottom w:w="80" w:type="dxa"/>
              <w:end w:w="120" w:type="dxa"/>
            </w:tcMar>
            <w:vAlign w:val="center"/>
          </w:tcPr>
          <w:p>
            <w:pPr>
              <w:spacing w:after="0"/>
            </w:pPr>
            <w:r>
              <w:rPr>
                <w:rFonts w:ascii="Calibri" w:hAnsi="Calibri"/>
                <w:color w:val="1F2937"/>
                <w:sz w:val="16"/>
              </w:rPr>
              <w:t>External orchestration demonstration.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Event Hubs</w:t>
            </w:r>
          </w:p>
        </w:tc>
        <w:tc>
          <w:tcPr>
            <w:tcW w:type="dxa" w:w="4080"/>
            <w:tcMar>
              <w:top w:w="80" w:type="dxa"/>
              <w:start w:w="120" w:type="dxa"/>
              <w:bottom w:w="80" w:type="dxa"/>
              <w:end w:w="120" w:type="dxa"/>
            </w:tcMar>
            <w:vAlign w:val="center"/>
          </w:tcPr>
          <w:p>
            <w:pPr>
              <w:spacing w:after="0"/>
            </w:pPr>
            <w:r>
              <w:rPr>
                <w:rFonts w:ascii="Calibri" w:hAnsi="Calibri"/>
                <w:color w:val="1F2937"/>
                <w:sz w:val="16"/>
              </w:rPr>
              <w:t>1 Standard namespace + one event hub; managed identity and a Unity Catalog service credential preferred</w:t>
            </w:r>
          </w:p>
        </w:tc>
        <w:tc>
          <w:tcPr>
            <w:tcW w:type="dxa" w:w="3580"/>
            <w:tcMar>
              <w:top w:w="80" w:type="dxa"/>
              <w:start w:w="120" w:type="dxa"/>
              <w:bottom w:w="80" w:type="dxa"/>
              <w:end w:w="120" w:type="dxa"/>
            </w:tcMar>
            <w:vAlign w:val="center"/>
          </w:tcPr>
          <w:p>
            <w:pPr>
              <w:spacing w:after="0"/>
            </w:pPr>
            <w:r>
              <w:rPr>
                <w:rFonts w:ascii="Calibri" w:hAnsi="Calibri"/>
                <w:color w:val="1F2937"/>
                <w:sz w:val="16"/>
              </w:rPr>
              <w:t>Streaming demonstration. Delete immediately after Day 24.</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Log Analytics</w:t>
            </w:r>
          </w:p>
        </w:tc>
        <w:tc>
          <w:tcPr>
            <w:tcW w:type="dxa" w:w="4080"/>
            <w:tcMar>
              <w:top w:w="80" w:type="dxa"/>
              <w:start w:w="120" w:type="dxa"/>
              <w:bottom w:w="80" w:type="dxa"/>
              <w:end w:w="120" w:type="dxa"/>
            </w:tcMar>
            <w:vAlign w:val="center"/>
          </w:tcPr>
          <w:p>
            <w:pPr>
              <w:spacing w:after="0"/>
            </w:pPr>
            <w:r>
              <w:rPr>
                <w:rFonts w:ascii="Calibri" w:hAnsi="Calibri"/>
                <w:color w:val="1F2937"/>
                <w:sz w:val="16"/>
              </w:rPr>
              <w:t>1 workspace if platform monitoring is in scope</w:t>
            </w:r>
          </w:p>
        </w:tc>
        <w:tc>
          <w:tcPr>
            <w:tcW w:type="dxa" w:w="3580"/>
            <w:tcMar>
              <w:top w:w="80" w:type="dxa"/>
              <w:start w:w="120" w:type="dxa"/>
              <w:bottom w:w="80" w:type="dxa"/>
              <w:end w:w="120" w:type="dxa"/>
            </w:tcMar>
            <w:vAlign w:val="center"/>
          </w:tcPr>
          <w:p>
            <w:pPr>
              <w:spacing w:after="0"/>
            </w:pPr>
            <w:r>
              <w:rPr>
                <w:rFonts w:ascii="Calibri" w:hAnsi="Calibri"/>
                <w:color w:val="1F2937"/>
                <w:sz w:val="16"/>
              </w:rPr>
              <w:t>Azure diagnostic logs and monitoring demonstration.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6"/>
              </w:rPr>
              <w:t>Key Vault</w:t>
            </w:r>
          </w:p>
        </w:tc>
        <w:tc>
          <w:tcPr>
            <w:tcW w:type="dxa" w:w="4080"/>
            <w:tcMar>
              <w:top w:w="80" w:type="dxa"/>
              <w:start w:w="120" w:type="dxa"/>
              <w:bottom w:w="80" w:type="dxa"/>
              <w:end w:w="120" w:type="dxa"/>
            </w:tcMar>
            <w:vAlign w:val="center"/>
          </w:tcPr>
          <w:p>
            <w:pPr>
              <w:spacing w:after="0"/>
            </w:pPr>
            <w:r>
              <w:rPr>
                <w:rFonts w:ascii="Calibri" w:hAnsi="Calibri"/>
                <w:color w:val="1F2937"/>
                <w:sz w:val="16"/>
              </w:rPr>
              <w:t>Optional; one vault</w:t>
            </w:r>
          </w:p>
        </w:tc>
        <w:tc>
          <w:tcPr>
            <w:tcW w:type="dxa" w:w="3580"/>
            <w:tcMar>
              <w:top w:w="80" w:type="dxa"/>
              <w:start w:w="120" w:type="dxa"/>
              <w:bottom w:w="80" w:type="dxa"/>
              <w:end w:w="120" w:type="dxa"/>
            </w:tcMar>
            <w:vAlign w:val="center"/>
          </w:tcPr>
          <w:p>
            <w:pPr>
              <w:spacing w:after="0"/>
            </w:pPr>
            <w:r>
              <w:rPr>
                <w:rFonts w:ascii="Calibri" w:hAnsi="Calibri"/>
                <w:color w:val="1F2937"/>
                <w:sz w:val="16"/>
              </w:rPr>
              <w:t>Demonstrates secret lifecycle when a connector requires a secret.</w:t>
            </w:r>
          </w:p>
        </w:tc>
      </w:tr>
    </w:tbl>
    <w:p>
      <w:pPr>
        <w:spacing w:after="40"/>
      </w:pPr>
    </w:p>
    <w:p>
      <w:pPr>
        <w:pStyle w:val="Heading2"/>
      </w:pPr>
      <w:r>
        <w:t>2. Why not create 14 workspaces?</w:t>
      </w:r>
    </w:p>
    <w:p>
      <w:pPr>
        <w:pStyle w:val="ListBullet"/>
      </w:pPr>
      <w:r>
        <w:t>It multiplies setup time, network resources, administrative overhead and cleanup risk.</w:t>
      </w:r>
    </w:p>
    <w:p>
      <w:pPr>
        <w:pStyle w:val="ListBullet"/>
      </w:pPr>
      <w:r>
        <w:t>The learning goal is multi-user governance. One workspace plus Unity Catalog schemas demonstrates that more effectively.</w:t>
      </w:r>
    </w:p>
    <w:p>
      <w:pPr>
        <w:pStyle w:val="ListBullet"/>
      </w:pPr>
      <w:r>
        <w:t>Shared compute policies and per-user schemas keep learners separated while the trainer can monitor the entire class.</w:t>
      </w:r>
    </w:p>
    <w:p>
      <w:pPr>
        <w:pStyle w:val="ListBullet"/>
      </w:pPr>
      <w:r>
        <w:t>Create separate workspaces only when workspace-level isolation itself is a learning objective.</w:t>
      </w:r>
    </w:p>
    <w:p>
      <w:pPr>
        <w:pStyle w:val="Heading2"/>
      </w:pPr>
      <w:r>
        <w:t>3. Free Edition versus paid Azure workspace</w:t>
      </w:r>
    </w:p>
    <w:tbl>
      <w:tblPr>
        <w:tblStyle w:val="TableGrid"/>
        <w:tblW w:type="dxa" w:w="9360"/>
        <w:tblLayout w:type="fixed"/>
        <w:tblLook w:firstColumn="1" w:firstRow="1" w:lastColumn="0" w:lastRow="0" w:noHBand="0" w:noVBand="1" w:val="04A0"/>
        <w:jc w:val="left"/>
        <w:tblInd w:w="120" w:type="dxa"/>
      </w:tblPr>
      <w:tblGrid>
        <w:gridCol w:w="2300"/>
        <w:gridCol w:w="3530"/>
        <w:gridCol w:w="353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color w:val="163A5F"/>
                <w:sz w:val="18"/>
              </w:rPr>
              <w:t>Option</w:t>
            </w:r>
          </w:p>
        </w:tc>
        <w:tc>
          <w:tcPr>
            <w:tcW w:type="dxa" w:w="3530"/>
            <w:tcMar>
              <w:top w:w="80" w:type="dxa"/>
              <w:start w:w="120" w:type="dxa"/>
              <w:bottom w:w="80" w:type="dxa"/>
              <w:end w:w="120" w:type="dxa"/>
            </w:tcMar>
            <w:vAlign w:val="center"/>
            <w:shd w:fill="E8EEF5"/>
          </w:tcPr>
          <w:p>
            <w:pPr>
              <w:spacing w:after="0"/>
            </w:pPr>
            <w:r>
              <w:rPr>
                <w:rFonts w:ascii="Calibri" w:hAnsi="Calibri"/>
                <w:b/>
                <w:color w:val="163A5F"/>
                <w:sz w:val="18"/>
              </w:rPr>
              <w:t>Good for</w:t>
            </w:r>
          </w:p>
        </w:tc>
        <w:tc>
          <w:tcPr>
            <w:tcW w:type="dxa" w:w="3530"/>
            <w:tcMar>
              <w:top w:w="80" w:type="dxa"/>
              <w:start w:w="120" w:type="dxa"/>
              <w:bottom w:w="80" w:type="dxa"/>
              <w:end w:w="120" w:type="dxa"/>
            </w:tcMar>
            <w:vAlign w:val="center"/>
            <w:shd w:fill="E8EEF5"/>
          </w:tcPr>
          <w:p>
            <w:pPr>
              <w:spacing w:after="0"/>
            </w:pPr>
            <w:r>
              <w:rPr>
                <w:rFonts w:ascii="Calibri" w:hAnsi="Calibri"/>
                <w:b/>
                <w:color w:val="163A5F"/>
                <w:sz w:val="18"/>
              </w:rPr>
              <w:t>Do not use it for</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Databricks Free Edition</w:t>
            </w:r>
          </w:p>
        </w:tc>
        <w:tc>
          <w:tcPr>
            <w:tcW w:type="dxa" w:w="3530"/>
            <w:tcMar>
              <w:top w:w="80" w:type="dxa"/>
              <w:start w:w="120" w:type="dxa"/>
              <w:bottom w:w="80" w:type="dxa"/>
              <w:end w:w="120" w:type="dxa"/>
            </w:tcMar>
            <w:vAlign w:val="center"/>
          </w:tcPr>
          <w:p>
            <w:pPr>
              <w:spacing w:after="0"/>
            </w:pPr>
            <w:r>
              <w:rPr>
                <w:rFonts w:ascii="Calibri" w:hAnsi="Calibri"/>
                <w:color w:val="1F2937"/>
                <w:sz w:val="18"/>
              </w:rPr>
              <w:t>Personal learning, notebooks, SQL, sample data and lightweight experimentation.</w:t>
            </w:r>
          </w:p>
        </w:tc>
        <w:tc>
          <w:tcPr>
            <w:tcW w:type="dxa" w:w="3530"/>
            <w:tcMar>
              <w:top w:w="80" w:type="dxa"/>
              <w:start w:w="120" w:type="dxa"/>
              <w:bottom w:w="80" w:type="dxa"/>
              <w:end w:w="120" w:type="dxa"/>
            </w:tcMar>
            <w:vAlign w:val="center"/>
          </w:tcPr>
          <w:p>
            <w:pPr>
              <w:spacing w:after="0"/>
            </w:pPr>
            <w:r>
              <w:rPr>
                <w:rFonts w:ascii="Calibri" w:hAnsi="Calibri"/>
                <w:color w:val="1F2937"/>
                <w:sz w:val="18"/>
              </w:rPr>
              <w:t>Corporate/proprietary data, Azure VNet/private connectivity labs, full admin/governance demonstrations or features excluded by the free limits.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Azure Databricks trial/paid workspace</w:t>
            </w:r>
          </w:p>
        </w:tc>
        <w:tc>
          <w:tcPr>
            <w:tcW w:type="dxa" w:w="3530"/>
            <w:tcMar>
              <w:top w:w="80" w:type="dxa"/>
              <w:start w:w="120" w:type="dxa"/>
              <w:bottom w:w="80" w:type="dxa"/>
              <w:end w:w="120" w:type="dxa"/>
            </w:tcMar>
            <w:vAlign w:val="center"/>
          </w:tcPr>
          <w:p>
            <w:pPr>
              <w:spacing w:after="0"/>
            </w:pPr>
            <w:r>
              <w:rPr>
                <w:rFonts w:ascii="Calibri" w:hAnsi="Calibri"/>
                <w:color w:val="1F2937"/>
                <w:sz w:val="18"/>
              </w:rPr>
              <w:t>The complete Days 16-25 path including Azure integrations, admin, security, orchestration and networking concepts.</w:t>
            </w:r>
          </w:p>
        </w:tc>
        <w:tc>
          <w:tcPr>
            <w:tcW w:type="dxa" w:w="3530"/>
            <w:tcMar>
              <w:top w:w="80" w:type="dxa"/>
              <w:start w:w="120" w:type="dxa"/>
              <w:bottom w:w="80" w:type="dxa"/>
              <w:end w:w="120" w:type="dxa"/>
            </w:tcMar>
            <w:vAlign w:val="center"/>
          </w:tcPr>
          <w:p>
            <w:pPr>
              <w:spacing w:after="0"/>
            </w:pPr>
            <w:r>
              <w:rPr>
                <w:rFonts w:ascii="Calibri" w:hAnsi="Calibri"/>
                <w:color w:val="1F2937"/>
                <w:sz w:val="18"/>
              </w:rPr>
              <w:t>Uncontrolled classroom usage without budgets, auto-stop, policies and cleanup ownership.</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0"/>
            </w:pPr>
            <w:r>
              <w:rPr>
                <w:rFonts w:ascii="Calibri" w:hAnsi="Calibri"/>
                <w:b/>
                <w:color w:val="9B1C1C"/>
                <w:sz w:val="20"/>
              </w:rPr>
              <w:t xml:space="preserve">CORPORATE TRAINING CAUTION: </w:t>
            </w:r>
            <w:r>
              <w:rPr>
                <w:rFonts w:ascii="Calibri" w:hAnsi="Calibri"/>
                <w:color w:val="1F2937"/>
                <w:sz w:val="20"/>
              </w:rPr>
              <w:t>Free Edition is designed for non-commercial learning and has platform limitations. Its terms also require careful data handling. For a corporate batch, use approved synthetic data in a paid/trial Azure Databricks environment.</w:t>
            </w:r>
          </w:p>
        </w:tc>
      </w:tr>
    </w:tbl>
    <w:p>
      <w:pPr>
        <w:pStyle w:val="Heading2"/>
      </w:pPr>
      <w:r>
        <w:t>4. Roles and permissions</w:t>
      </w:r>
    </w:p>
    <w:tbl>
      <w:tblPr>
        <w:tblStyle w:val="TableGrid"/>
        <w:tblW w:type="dxa" w:w="9360"/>
        <w:tblLayout w:type="fixed"/>
        <w:tblLook w:firstColumn="1" w:firstRow="1" w:lastColumn="0" w:lastRow="0" w:noHBand="0" w:noVBand="1" w:val="04A0"/>
        <w:jc w:val="left"/>
        <w:tblInd w:w="120" w:type="dxa"/>
      </w:tblPr>
      <w:tblGrid>
        <w:gridCol w:w="2550"/>
        <w:gridCol w:w="6810"/>
      </w:tblGrid>
      <w:tr>
        <w:trPr>
          <w:tblHeader w:val="true"/>
          <w:cantSplit/>
        </w:trPr>
        <w:tc>
          <w:tcPr>
            <w:tcW w:type="dxa" w:w="2550"/>
            <w:tcMar>
              <w:top w:w="80" w:type="dxa"/>
              <w:start w:w="120" w:type="dxa"/>
              <w:bottom w:w="80" w:type="dxa"/>
              <w:end w:w="120" w:type="dxa"/>
            </w:tcMar>
            <w:vAlign w:val="center"/>
            <w:shd w:fill="E8EEF5"/>
          </w:tcPr>
          <w:p>
            <w:pPr>
              <w:spacing w:after="0"/>
            </w:pPr>
            <w:r>
              <w:rPr>
                <w:rFonts w:ascii="Calibri" w:hAnsi="Calibri"/>
                <w:b/>
                <w:color w:val="163A5F"/>
                <w:sz w:val="18"/>
              </w:rPr>
              <w:t>Identity</w:t>
            </w:r>
          </w:p>
        </w:tc>
        <w:tc>
          <w:tcPr>
            <w:tcW w:type="dxa" w:w="6810"/>
            <w:tcMar>
              <w:top w:w="80" w:type="dxa"/>
              <w:start w:w="120" w:type="dxa"/>
              <w:bottom w:w="80" w:type="dxa"/>
              <w:end w:w="120" w:type="dxa"/>
            </w:tcMar>
            <w:vAlign w:val="center"/>
            <w:shd w:fill="E8EEF5"/>
          </w:tcPr>
          <w:p>
            <w:pPr>
              <w:spacing w:after="0"/>
            </w:pPr>
            <w:r>
              <w:rPr>
                <w:rFonts w:ascii="Calibri" w:hAnsi="Calibri"/>
                <w:b/>
                <w:color w:val="163A5F"/>
                <w:sz w:val="18"/>
              </w:rPr>
              <w:t>Minimum practical role for the labs</w:t>
            </w:r>
          </w:p>
        </w:tc>
      </w:tr>
      <w:tr>
        <w:trPr>
          <w:cantSplit/>
        </w:trPr>
        <w:tc>
          <w:tcPr>
            <w:tcW w:type="dxa" w:w="2550"/>
            <w:tcMar>
              <w:top w:w="80" w:type="dxa"/>
              <w:start w:w="120" w:type="dxa"/>
              <w:bottom w:w="80" w:type="dxa"/>
              <w:end w:w="120" w:type="dxa"/>
            </w:tcMar>
            <w:vAlign w:val="center"/>
          </w:tcPr>
          <w:p>
            <w:pPr>
              <w:spacing w:after="0"/>
            </w:pPr>
            <w:r>
              <w:rPr>
                <w:rFonts w:ascii="Calibri" w:hAnsi="Calibri"/>
                <w:color w:val="1F2937"/>
                <w:sz w:val="18"/>
              </w:rPr>
              <w:t>Trainer / setup owner</w:t>
            </w:r>
          </w:p>
        </w:tc>
        <w:tc>
          <w:tcPr>
            <w:tcW w:type="dxa" w:w="6810"/>
            <w:tcMar>
              <w:top w:w="80" w:type="dxa"/>
              <w:start w:w="120" w:type="dxa"/>
              <w:bottom w:w="80" w:type="dxa"/>
              <w:end w:w="120" w:type="dxa"/>
            </w:tcMar>
            <w:vAlign w:val="center"/>
          </w:tcPr>
          <w:p>
            <w:pPr>
              <w:spacing w:after="0"/>
            </w:pPr>
            <w:r>
              <w:rPr>
                <w:rFonts w:ascii="Calibri" w:hAnsi="Calibri"/>
                <w:color w:val="1F2937"/>
                <w:sz w:val="18"/>
              </w:rPr>
              <w:t>Contributor on the training resource group; permission to assign storage data roles (Owner or User Access Administrator as approved); Databricks workspace admin; Unity Catalog metastore/catalog administration as required.</w:t>
            </w:r>
          </w:p>
        </w:tc>
      </w:tr>
      <w:tr>
        <w:trPr>
          <w:cantSplit/>
        </w:trPr>
        <w:tc>
          <w:tcPr>
            <w:tcW w:type="dxa" w:w="2550"/>
            <w:tcMar>
              <w:top w:w="80" w:type="dxa"/>
              <w:start w:w="120" w:type="dxa"/>
              <w:bottom w:w="80" w:type="dxa"/>
              <w:end w:w="120" w:type="dxa"/>
            </w:tcMar>
            <w:vAlign w:val="center"/>
          </w:tcPr>
          <w:p>
            <w:pPr>
              <w:spacing w:after="0"/>
            </w:pPr>
            <w:r>
              <w:rPr>
                <w:rFonts w:ascii="Calibri" w:hAnsi="Calibri"/>
                <w:color w:val="1F2937"/>
                <w:sz w:val="18"/>
              </w:rPr>
              <w:t>Student Entra group</w:t>
            </w:r>
          </w:p>
        </w:tc>
        <w:tc>
          <w:tcPr>
            <w:tcW w:type="dxa" w:w="6810"/>
            <w:tcMar>
              <w:top w:w="80" w:type="dxa"/>
              <w:start w:w="120" w:type="dxa"/>
              <w:bottom w:w="80" w:type="dxa"/>
              <w:end w:w="120" w:type="dxa"/>
            </w:tcMar>
            <w:vAlign w:val="center"/>
          </w:tcPr>
          <w:p>
            <w:pPr>
              <w:spacing w:after="0"/>
            </w:pPr>
            <w:r>
              <w:rPr>
                <w:rFonts w:ascii="Calibri" w:hAnsi="Calibri"/>
                <w:color w:val="1F2937"/>
                <w:sz w:val="18"/>
              </w:rPr>
              <w:t>Workspace access and Databricks SQL entitlement; permission to use the approved compute/warehouse; USE CATALOG plus CREATE SCHEMA on the training catalog, or ownership of pre-created schemas.</w:t>
            </w:r>
          </w:p>
        </w:tc>
      </w:tr>
      <w:tr>
        <w:trPr>
          <w:cantSplit/>
        </w:trPr>
        <w:tc>
          <w:tcPr>
            <w:tcW w:type="dxa" w:w="2550"/>
            <w:tcMar>
              <w:top w:w="80" w:type="dxa"/>
              <w:start w:w="120" w:type="dxa"/>
              <w:bottom w:w="80" w:type="dxa"/>
              <w:end w:w="120" w:type="dxa"/>
            </w:tcMar>
            <w:vAlign w:val="center"/>
          </w:tcPr>
          <w:p>
            <w:pPr>
              <w:spacing w:after="0"/>
            </w:pPr>
            <w:r>
              <w:rPr>
                <w:rFonts w:ascii="Calibri" w:hAnsi="Calibri"/>
                <w:color w:val="1F2937"/>
                <w:sz w:val="18"/>
              </w:rPr>
              <w:t>Access Connector managed identity</w:t>
            </w:r>
          </w:p>
        </w:tc>
        <w:tc>
          <w:tcPr>
            <w:tcW w:type="dxa" w:w="6810"/>
            <w:tcMar>
              <w:top w:w="80" w:type="dxa"/>
              <w:start w:w="120" w:type="dxa"/>
              <w:bottom w:w="80" w:type="dxa"/>
              <w:end w:w="120" w:type="dxa"/>
            </w:tcMar>
            <w:vAlign w:val="center"/>
          </w:tcPr>
          <w:p>
            <w:pPr>
              <w:spacing w:after="0"/>
            </w:pPr>
            <w:r>
              <w:rPr>
                <w:rFonts w:ascii="Calibri" w:hAnsi="Calibri"/>
                <w:color w:val="1F2937"/>
                <w:sz w:val="18"/>
              </w:rPr>
              <w:t>Storage Blob Data Contributor on the required ADLS container/account scope, then referenced by a Unity Catalog storage credential.</w:t>
            </w:r>
          </w:p>
        </w:tc>
      </w:tr>
      <w:tr>
        <w:trPr>
          <w:cantSplit/>
        </w:trPr>
        <w:tc>
          <w:tcPr>
            <w:tcW w:type="dxa" w:w="2550"/>
            <w:tcMar>
              <w:top w:w="80" w:type="dxa"/>
              <w:start w:w="120" w:type="dxa"/>
              <w:bottom w:w="80" w:type="dxa"/>
              <w:end w:w="120" w:type="dxa"/>
            </w:tcMar>
            <w:vAlign w:val="center"/>
          </w:tcPr>
          <w:p>
            <w:pPr>
              <w:spacing w:after="0"/>
            </w:pPr>
            <w:r>
              <w:rPr>
                <w:rFonts w:ascii="Calibri" w:hAnsi="Calibri"/>
                <w:color w:val="1F2937"/>
                <w:sz w:val="18"/>
              </w:rPr>
              <w:t>Production job identity</w:t>
            </w:r>
          </w:p>
        </w:tc>
        <w:tc>
          <w:tcPr>
            <w:tcW w:type="dxa" w:w="6810"/>
            <w:tcMar>
              <w:top w:w="80" w:type="dxa"/>
              <w:start w:w="120" w:type="dxa"/>
              <w:bottom w:w="80" w:type="dxa"/>
              <w:end w:w="120" w:type="dxa"/>
            </w:tcMar>
            <w:vAlign w:val="center"/>
          </w:tcPr>
          <w:p>
            <w:pPr>
              <w:spacing w:after="0"/>
            </w:pPr>
            <w:r>
              <w:rPr>
                <w:rFonts w:ascii="Calibri" w:hAnsi="Calibri"/>
                <w:color w:val="1F2937"/>
                <w:sz w:val="18"/>
              </w:rPr>
              <w:t>Service principal with least-privilege access to the required catalog/schema/tables and job resources. Do not use a trainer account as a production run identity.</w:t>
            </w:r>
          </w:p>
        </w:tc>
      </w:tr>
    </w:tbl>
    <w:p>
      <w:pPr>
        <w:spacing w:after="40"/>
      </w:pPr>
    </w:p>
    <w:p>
      <w:pPr>
        <w:pStyle w:val="Heading2"/>
      </w:pPr>
      <w:r>
        <w:t>5. Naming standard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Resource group:   rg-dbx-training-aug26</w:t>
              <w:br/>
              <w:t>Workspace:        dbw-training-aug26</w:t>
              <w:br/>
              <w:t>Storage account:  stdbxtraining&lt;unique&gt;</w:t>
              <w:br/>
              <w:t>Access connector: ac-dbx-training-aug26</w:t>
              <w:br/>
              <w:t>Data Factory:     adf-dbx-training-aug26</w:t>
              <w:br/>
              <w:t>Event Hubs:       evh-dbx-training-aug26</w:t>
              <w:br/>
              <w:t>Catalog:          training_lab</w:t>
              <w:br/>
              <w:t>Schemas:          student_01 ... student_14</w:t>
              <w:br/>
              <w:t>Job tags:         purpose=training, batch=aug26, owner=&lt;trainer&gt;</w:t>
            </w:r>
          </w:p>
        </w:tc>
      </w:tr>
    </w:tbl>
    <w:p>
      <w:pPr>
        <w:spacing w:after="20"/>
      </w:pPr>
    </w:p>
    <w:p>
      <w:pPr>
        <w:pStyle w:val="Heading2"/>
      </w:pPr>
      <w:r>
        <w:t>6. Cost-control guardrails</w:t>
      </w:r>
    </w:p>
    <w:p>
      <w:pPr>
        <w:pStyle w:val="ListBullet"/>
      </w:pPr>
      <w:r>
        <w:t>Prefer serverless for supported notebooks, jobs, pipelines and SQL, or enforce a small shared compute policy.</w:t>
      </w:r>
    </w:p>
    <w:p>
      <w:pPr>
        <w:pStyle w:val="ListBullet"/>
      </w:pPr>
      <w:r>
        <w:t>If classic compute is required, set auto-termination to 15 minutes, restrict worker range and use a current LTS runtime.</w:t>
      </w:r>
    </w:p>
    <w:p>
      <w:pPr>
        <w:pStyle w:val="ListBullet"/>
      </w:pPr>
      <w:r>
        <w:t>Use jobs compute for scheduled tasks; avoid running production-style jobs on all-purpose compute.</w:t>
      </w:r>
    </w:p>
    <w:p>
      <w:pPr>
        <w:pStyle w:val="ListBullet"/>
      </w:pPr>
      <w:r>
        <w:t>Configure SQL warehouse auto-stop and use the smallest size that meets the lab.</w:t>
      </w:r>
    </w:p>
    <w:p>
      <w:pPr>
        <w:pStyle w:val="ListBullet"/>
      </w:pPr>
      <w:r>
        <w:t>Apply tags/policies so usage can be attributed by batch and owner.</w:t>
      </w:r>
    </w:p>
    <w:p>
      <w:pPr>
        <w:pStyle w:val="ListBullet"/>
      </w:pPr>
      <w:r>
        <w:t>Create Azure budgets and Databricks budget alerts, but explain that alerts are monitoring controls and may not be an immediate hard stop.</w:t>
      </w:r>
    </w:p>
    <w:p>
      <w:pPr>
        <w:pStyle w:val="ListBullet"/>
      </w:pPr>
      <w:r>
        <w:t>Check running compute before lunch and at the end of every day.</w:t>
      </w:r>
    </w:p>
    <w:p>
      <w:pPr>
        <w:pStyle w:val="ListBullet"/>
      </w:pPr>
      <w:r>
        <w:t>Delete Event Hubs, ADF, Log Analytics and the entire training resource group after evidence is exported and approval is received.</w:t>
      </w:r>
    </w:p>
    <w:p>
      <w:pPr>
        <w:pStyle w:val="Heading2"/>
      </w:pPr>
      <w:r>
        <w:t>7. Day-minus-two setup procedure</w:t>
      </w:r>
    </w:p>
    <w:p>
      <w:pPr>
        <w:pStyle w:val="ListNumber"/>
        <w:numPr>
          <w:ilvl w:val="0"/>
          <w:numId w:val="11"/>
        </w:numPr>
      </w:pPr>
      <w:r>
        <w:t>Confirm the Azure subscription, region, quota, corporate network access and whether serverless features are available.</w:t>
      </w:r>
    </w:p>
    <w:p>
      <w:pPr>
        <w:pStyle w:val="ListNumber"/>
        <w:numPr>
          <w:ilvl w:val="0"/>
          <w:numId w:val="11"/>
        </w:numPr>
      </w:pPr>
      <w:r>
        <w:t>Create the resource group and Azure Databricks Premium workspace. Open the workspace and verify Unity Catalog is enabled.</w:t>
      </w:r>
    </w:p>
    <w:p>
      <w:pPr>
        <w:pStyle w:val="ListNumber"/>
        <w:numPr>
          <w:ilvl w:val="0"/>
          <w:numId w:val="11"/>
        </w:numPr>
      </w:pPr>
      <w:r>
        <w:t>Create or synchronize the Entra group, add 14 learners and assign the group to the workspace.</w:t>
      </w:r>
    </w:p>
    <w:p>
      <w:pPr>
        <w:pStyle w:val="ListNumber"/>
        <w:numPr>
          <w:ilvl w:val="0"/>
          <w:numId w:val="11"/>
        </w:numPr>
      </w:pPr>
      <w:r>
        <w:t>Create catalog training_lab. Either grant CREATE SCHEMA to the student group or pre-create student_01 through student_14 and assign ownership.</w:t>
      </w:r>
    </w:p>
    <w:p>
      <w:pPr>
        <w:pStyle w:val="ListNumber"/>
        <w:numPr>
          <w:ilvl w:val="0"/>
          <w:numId w:val="11"/>
        </w:numPr>
      </w:pPr>
      <w:r>
        <w:t>Create approved compute/warehouse. Configure policy, auto-stop, runtime, access mode and group permissions.</w:t>
      </w:r>
    </w:p>
    <w:p>
      <w:pPr>
        <w:pStyle w:val="ListNumber"/>
        <w:numPr>
          <w:ilvl w:val="0"/>
          <w:numId w:val="11"/>
        </w:numPr>
      </w:pPr>
      <w:r>
        <w:t>Create ADLS Gen2 and the Databricks Access Connector. Assign Storage Blob Data Contributor at the narrowest useful scope.</w:t>
      </w:r>
    </w:p>
    <w:p>
      <w:pPr>
        <w:pStyle w:val="ListNumber"/>
        <w:numPr>
          <w:ilvl w:val="0"/>
          <w:numId w:val="11"/>
        </w:numPr>
      </w:pPr>
      <w:r>
        <w:t>Create a Unity Catalog storage credential and external location. Validate with a trainer notebook before students arrive.</w:t>
      </w:r>
    </w:p>
    <w:p>
      <w:pPr>
        <w:pStyle w:val="ListNumber"/>
        <w:numPr>
          <w:ilvl w:val="0"/>
          <w:numId w:val="11"/>
        </w:numPr>
      </w:pPr>
      <w:r>
        <w:t>Create the optional ADF, Event Hubs and Log Analytics resources. Grant the Access Connector managed identity Azure Event Hubs Data Receiver and create a Unity Catalog service credential; retain a secret-scope connection only as an approved fallback.</w:t>
      </w:r>
    </w:p>
    <w:p>
      <w:pPr>
        <w:pStyle w:val="ListNumber"/>
        <w:numPr>
          <w:ilvl w:val="0"/>
          <w:numId w:val="11"/>
        </w:numPr>
      </w:pPr>
      <w:r>
        <w:t>Run Labs 01, 05, 10 and 13 end to end using a test learner identity.</w:t>
      </w:r>
    </w:p>
    <w:p>
      <w:pPr>
        <w:pStyle w:val="ListNumber"/>
        <w:numPr>
          <w:ilvl w:val="0"/>
          <w:numId w:val="11"/>
        </w:numPr>
      </w:pPr>
      <w:r>
        <w:t>Prepare a fallback: synthetic in-workspace data plus the rate streaming source, so training can continue if an Azure integration is blocked.</w:t>
      </w:r>
    </w:p>
    <w:p>
      <w:pPr>
        <w:pStyle w:val="Heading2"/>
      </w:pPr>
      <w:r>
        <w:t>8. Student preflight</w:t>
      </w:r>
    </w:p>
    <w:p>
      <w:pPr>
        <w:pStyle w:val="ListBullet"/>
      </w:pPr>
      <w:r>
        <w:t>Sign in with the assigned organizational account and open the correct directory/tenant.</w:t>
      </w:r>
    </w:p>
    <w:p>
      <w:pPr>
        <w:pStyle w:val="ListBullet"/>
      </w:pPr>
      <w:r>
        <w:t>Open the Azure Databricks workspace and confirm the Catalog, Workspace, Compute, SQL and Jobs &amp; Pipelines navigation is visible as expected.</w:t>
      </w:r>
    </w:p>
    <w:p>
      <w:pPr>
        <w:pStyle w:val="ListBullet"/>
      </w:pPr>
      <w:r>
        <w:t>Confirm access to the approved compute or serverless option. Students must not create arbitrary compute.</w:t>
      </w:r>
    </w:p>
    <w:p>
      <w:pPr>
        <w:pStyle w:val="ListBullet"/>
      </w:pPr>
      <w:r>
        <w:t>Create or open the assigned schema and run SELECT current_user(), current_catalog(), current_schema().</w:t>
      </w:r>
    </w:p>
    <w:p>
      <w:pPr>
        <w:pStyle w:val="ListBullet"/>
      </w:pPr>
      <w:r>
        <w:t>Run SELECT 1 and a small PySpark range operation. Record the result as preflight evidence.</w:t>
      </w:r>
    </w:p>
    <w:p>
      <w:pPr>
        <w:pageBreakBefore/>
        <w:spacing w:after="60"/>
      </w:pPr>
      <w:r>
        <w:rPr>
          <w:rFonts w:ascii="Calibri" w:hAnsi="Calibri"/>
          <w:b/>
          <w:color w:val="2E74B5"/>
          <w:sz w:val="20"/>
        </w:rPr>
        <w:t>LAB 01</w:t>
      </w:r>
    </w:p>
    <w:p>
      <w:pPr>
        <w:pStyle w:val="Heading1"/>
      </w:pPr>
      <w:r>
        <w:t>Workspace, notebook and governed learner schema</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45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Orient learners in the workspace, attach approved compute and create an isolated Unity Catalog schema.</w:t>
      </w:r>
    </w:p>
    <w:p>
      <w:pPr>
        <w:pStyle w:val="Heading2"/>
      </w:pPr>
      <w:r>
        <w:t>Prerequisites</w:t>
      </w:r>
    </w:p>
    <w:p>
      <w:pPr>
        <w:pStyle w:val="ListBullet"/>
      </w:pPr>
      <w:r>
        <w:t>Workspace invitation is accepted.</w:t>
      </w:r>
    </w:p>
    <w:p>
      <w:pPr>
        <w:pStyle w:val="ListBullet"/>
      </w:pPr>
      <w:r>
        <w:t>Trainer has granted USE CATALOG and CREATE SCHEMA on training_lab, or has pre-created the learner schema.</w:t>
      </w:r>
    </w:p>
    <w:p>
      <w:pPr>
        <w:pStyle w:val="ListBullet"/>
      </w:pPr>
      <w:r>
        <w:t>Approved notebook compute is available.</w:t>
      </w:r>
    </w:p>
    <w:p>
      <w:pPr>
        <w:pStyle w:val="Heading2"/>
      </w:pPr>
      <w:r>
        <w:t>Expected outcome</w:t>
      </w:r>
    </w:p>
    <w:p>
      <w:r>
        <w:rPr>
          <w:i w:val="0"/>
        </w:rPr>
        <w:t>Each learner has a notebook under their user folder and a schema such as training_lab.student_01.</w:t>
      </w:r>
    </w:p>
    <w:p>
      <w:pPr>
        <w:pStyle w:val="Heading2"/>
      </w:pPr>
      <w:r>
        <w:t>Trainer explanation before the lab</w:t>
      </w:r>
    </w:p>
    <w:p>
      <w:r>
        <w:rPr>
          <w:i w:val="0"/>
        </w:rPr>
        <w:t>A notebook is the development surface. Compute executes the commands. Unity Catalog decides whether the identity may use the data object. Keeping those responsibilities separate is the foundation for secure architecture.</w:t>
      </w:r>
    </w:p>
    <w:p>
      <w:pPr>
        <w:pStyle w:val="Heading2"/>
      </w:pPr>
      <w:r>
        <w:t>Steps</w:t>
      </w:r>
    </w:p>
    <w:p>
      <w:pPr>
        <w:pStyle w:val="ListNumber"/>
        <w:numPr>
          <w:ilvl w:val="0"/>
          <w:numId w:val="12"/>
        </w:numPr>
      </w:pPr>
      <w:r>
        <w:t>Open the workspace and select New &gt; Notebook. Name it 01_foundations_&lt;student-id&gt;.</w:t>
      </w:r>
    </w:p>
    <w:p>
      <w:pPr>
        <w:pStyle w:val="ListNumber"/>
        <w:numPr>
          <w:ilvl w:val="0"/>
          <w:numId w:val="12"/>
        </w:numPr>
      </w:pPr>
      <w:r>
        <w:t>Select Python as the default language and connect to the trainer-approved compute.</w:t>
      </w:r>
    </w:p>
    <w:p>
      <w:pPr>
        <w:pStyle w:val="ListNumber"/>
        <w:numPr>
          <w:ilvl w:val="0"/>
          <w:numId w:val="12"/>
        </w:numPr>
      </w:pPr>
      <w:r>
        <w:t>Run the identity and runtime checks below.</w:t>
      </w:r>
    </w:p>
    <w:p>
      <w:pPr>
        <w:pStyle w:val="ListNumber"/>
        <w:numPr>
          <w:ilvl w:val="0"/>
          <w:numId w:val="12"/>
        </w:numPr>
      </w:pPr>
      <w:r>
        <w:t>Set your student identifier and create your schema.</w:t>
      </w:r>
    </w:p>
    <w:p>
      <w:pPr>
        <w:pStyle w:val="ListNumber"/>
        <w:numPr>
          <w:ilvl w:val="0"/>
          <w:numId w:val="12"/>
        </w:numPr>
      </w:pPr>
      <w:r>
        <w:t>Create a managed volume for lab landing files.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Python cell</w:t>
              <w:br/>
              <w:t>student_id = "01"                 # change to your assigned number</w:t>
              <w:br/>
              <w:t>catalog = "training_lab"</w:t>
              <w:br/>
              <w:t>schema = f"student_{student_id}"</w:t>
              <w:br/>
              <w:br/>
              <w:t>print("Spark version:", spark.version)</w:t>
              <w:br/>
              <w:t>print("Current user:", spark.sql("SELECT current_user()").first()[0])</w:t>
              <w:br/>
              <w:br/>
              <w:t>spark.sql(f"CREATE SCHEMA IF NOT EXISTS {catalog}.{schema}")</w:t>
              <w:br/>
              <w:t>spark.sql(f"USE CATALOG {catalog}")</w:t>
              <w:br/>
              <w:t>spark.sql(f"USE SCHEMA {schema}")</w:t>
              <w:br/>
              <w:t>spark.sql("CREATE VOLUME IF NOT EXISTS landing")</w:t>
              <w:br/>
              <w:br/>
              <w:t>display(spark.sql("SELECT current_catalog(), current_schema(), current_user()"))</w:t>
            </w:r>
          </w:p>
        </w:tc>
      </w:tr>
    </w:tbl>
    <w:p>
      <w:pPr>
        <w:spacing w:after="20"/>
      </w:pPr>
    </w:p>
    <w:p>
      <w:pPr>
        <w:pStyle w:val="Heading2"/>
      </w:pPr>
      <w:r>
        <w:t>Validation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SHOW SCHEMAS IN training_lab;</w:t>
              <w:br/>
              <w:t>SHOW VOLUMES IN training_lab.student_01;</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9F5EF"/>
          </w:tcPr>
          <w:p>
            <w:pPr>
              <w:spacing w:after="0"/>
            </w:pPr>
            <w:r>
              <w:rPr>
                <w:rFonts w:ascii="Calibri" w:hAnsi="Calibri"/>
                <w:b/>
                <w:color w:val="1F6B4F"/>
                <w:sz w:val="20"/>
              </w:rPr>
              <w:t xml:space="preserve">EXPECTED: </w:t>
            </w:r>
            <w:r>
              <w:rPr>
                <w:rFonts w:ascii="Calibri" w:hAnsi="Calibri"/>
                <w:color w:val="1F2937"/>
                <w:sz w:val="20"/>
              </w:rPr>
              <w:t>Your schema and landing volume appear. If CREATE SCHEMA fails, do not request broader permissions; ask the trainer to verify the catalog grant or use the pre-created schema.</w:t>
            </w:r>
          </w:p>
        </w:tc>
      </w:tr>
    </w:tbl>
    <w:p>
      <w:pPr>
        <w:pageBreakBefore/>
        <w:spacing w:after="60"/>
      </w:pPr>
      <w:r>
        <w:rPr>
          <w:rFonts w:ascii="Calibri" w:hAnsi="Calibri"/>
          <w:b/>
          <w:color w:val="2E74B5"/>
          <w:sz w:val="20"/>
        </w:rPr>
        <w:t>LAB 02</w:t>
      </w:r>
    </w:p>
    <w:p>
      <w:pPr>
        <w:pStyle w:val="Heading1"/>
      </w:pPr>
      <w:r>
        <w:t>DataFrames, lazy evaluation and file formats</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75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Create a deterministic retail dataset, demonstrate transformations/actions and compare CSV, JSON, Parquet and Delta.</w:t>
      </w:r>
    </w:p>
    <w:p>
      <w:pPr>
        <w:pStyle w:val="Heading2"/>
      </w:pPr>
      <w:r>
        <w:t>Prerequisites</w:t>
      </w:r>
    </w:p>
    <w:p>
      <w:pPr>
        <w:pStyle w:val="ListBullet"/>
      </w:pPr>
      <w:r>
        <w:t>Lab 01 completed.</w:t>
      </w:r>
    </w:p>
    <w:p>
      <w:pPr>
        <w:pStyle w:val="ListBullet"/>
      </w:pPr>
      <w:r>
        <w:t>The learner has CREATE TABLE and CREATE VOLUME in their schema.</w:t>
      </w:r>
    </w:p>
    <w:p>
      <w:pPr>
        <w:pStyle w:val="Heading2"/>
      </w:pPr>
      <w:r>
        <w:t>Expected outcome</w:t>
      </w:r>
    </w:p>
    <w:p>
      <w:r>
        <w:rPr>
          <w:i w:val="0"/>
        </w:rPr>
        <w:t>A raw order DataFrame is written to multiple formats and the learner can explain why Parquet/Delta preserve schema better than CSV.</w:t>
      </w:r>
    </w:p>
    <w:p>
      <w:pPr>
        <w:pStyle w:val="Heading2"/>
      </w:pPr>
      <w:r>
        <w:t>Generate synthetic data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from pyspark.sql import functions as F</w:t>
              <w:br/>
              <w:t>from pyspark.sql import types as T</w:t>
              <w:br/>
              <w:br/>
              <w:t>rows = [</w:t>
              <w:br/>
              <w:t xml:space="preserve"> ("o1001","c01","Laptop","Electronics",1,55000.0,"2026-08-01 10:15:00","Bengaluru","PAID"),</w:t>
              <w:br/>
              <w:t xml:space="preserve"> ("o1002","c02","Mouse","Electronics",2,750.0,"2026-08-01 10:30:00","Mysuru","PAID"),</w:t>
              <w:br/>
              <w:t xml:space="preserve"> ("o1003","c01","Chair","Furniture",1,6200.0,"2026-08-02 09:05:00","Bengaluru","SHIPPED"),</w:t>
              <w:br/>
              <w:t xml:space="preserve"> ("o1004","c03","Desk","Furniture",1,14500.0,"2026-08-02 11:25:00","Chennai","CANCELLED"),</w:t>
              <w:br/>
              <w:t xml:space="preserve"> ("o1005","c04","Keyboard","Electronics",None,1800.0,"2026-08-03 15:40:00","Bengaluru","PAID"),</w:t>
              <w:br/>
              <w:t xml:space="preserve"> ("o1005","c04","Keyboard","Electronics",1,1800.0,"2026-08-03 15:40:00","Bengaluru","PAID"),</w:t>
              <w:br/>
              <w:t xml:space="preserve"> ("o1006",None,"Monitor","Electronics",1,15000.0,"bad-date","Hyderabad","PAID"),</w:t>
              <w:br/>
              <w:t>]</w:t>
              <w:br/>
              <w:t>schema_def = "order_id string, customer_id string, product string, category string, qty int, unit_price double, order_ts string, city string, status string"</w:t>
              <w:br/>
              <w:t>raw_df = spark.createDataFrame(rows, schema_def)</w:t>
              <w:br/>
              <w:br/>
              <w:t># Transformation: lazy until an action occurs</w:t>
              <w:br/>
              <w:t>projected = raw_df.withColumn("amount", F.col("qty") * F.col("unit_price"))</w:t>
              <w:br/>
              <w:t>print("Row count action:", projected.count())</w:t>
              <w:br/>
              <w:t>display(projected)</w:t>
            </w:r>
          </w:p>
        </w:tc>
      </w:tr>
    </w:tbl>
    <w:p>
      <w:pPr>
        <w:spacing w:after="20"/>
      </w:pPr>
    </w:p>
    <w:p>
      <w:pPr>
        <w:pStyle w:val="Heading2"/>
      </w:pPr>
      <w:r>
        <w:t>Write and read formats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base = f"/Volumes/{catalog}/{schema}/landing/formats"</w:t>
              <w:br/>
              <w:t>raw_df.write.mode("overwrite").option("header", True).csv(base + "/csv")</w:t>
              <w:br/>
              <w:t>raw_df.write.mode("overwrite").json(base + "/json")</w:t>
              <w:br/>
              <w:t>raw_df.write.mode("overwrite").parquet(base + "/parquet")</w:t>
              <w:br/>
              <w:t>raw_df.write.format("delta").mode("overwrite").save(base + "/delta")</w:t>
              <w:br/>
              <w:br/>
              <w:t>csv_df = spark.read.option("header", True).csv(base + "/csv")</w:t>
              <w:br/>
              <w:t>parquet_df = spark.read.parquet(base + "/parquet")</w:t>
              <w:br/>
              <w:t>delta_df = spark.read.format("delta").load(base + "/delta")</w:t>
              <w:br/>
              <w:br/>
              <w:t>print("CSV types:", csv_df.dtypes)</w:t>
              <w:br/>
              <w:t>print("Parquet types:", parquet_df.dtypes)</w:t>
              <w:br/>
              <w:t>print("Delta types:", delta_df.dtypes)</w:t>
            </w:r>
          </w:p>
        </w:tc>
      </w:tr>
    </w:tbl>
    <w:p>
      <w:pPr>
        <w:spacing w:after="20"/>
      </w:pPr>
    </w:p>
    <w:p>
      <w:pPr>
        <w:pStyle w:val="Heading2"/>
      </w:pPr>
      <w:r>
        <w:t>Discussion</w:t>
      </w:r>
    </w:p>
    <w:p>
      <w:pPr>
        <w:pStyle w:val="ListBullet"/>
      </w:pPr>
      <w:r>
        <w:t>CSV is readable but has no embedded Spark schema; inference can be slow or inconsistent.</w:t>
      </w:r>
    </w:p>
    <w:p>
      <w:pPr>
        <w:pStyle w:val="ListBullet"/>
      </w:pPr>
      <w:r>
        <w:t>Parquet is columnar and stores schema, enabling column pruning and predicate pushdown.</w:t>
      </w:r>
    </w:p>
    <w:p>
      <w:pPr>
        <w:pStyle w:val="ListBullet"/>
      </w:pPr>
      <w:r>
        <w:t>Delta uses Parquet data files plus a transaction log, bringing table reliability and history.</w:t>
      </w:r>
    </w:p>
    <w:p>
      <w:pPr>
        <w:pStyle w:val="ListBullet"/>
      </w:pPr>
      <w:r>
        <w:t>A DataFrame is a logical plan until an action such as count, collect, write or display requires execution.</w:t>
      </w:r>
    </w:p>
    <w:p>
      <w:pPr>
        <w:pageBreakBefore/>
        <w:spacing w:after="60"/>
      </w:pPr>
      <w:r>
        <w:rPr>
          <w:rFonts w:ascii="Calibri" w:hAnsi="Calibri"/>
          <w:b/>
          <w:color w:val="2E74B5"/>
          <w:sz w:val="20"/>
        </w:rPr>
        <w:t>LAB 03</w:t>
      </w:r>
    </w:p>
    <w:p>
      <w:pPr>
        <w:pStyle w:val="Heading1"/>
      </w:pPr>
      <w:r>
        <w:t>Bronze-Silver-Gold ELT pipeline</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105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Build a repeatable medallion pipeline with operational metadata, validation, deduplication and business aggregates.</w:t>
      </w:r>
    </w:p>
    <w:p>
      <w:pPr>
        <w:pStyle w:val="Heading2"/>
      </w:pPr>
      <w:r>
        <w:t>Prerequisites</w:t>
      </w:r>
    </w:p>
    <w:p>
      <w:pPr>
        <w:pStyle w:val="ListBullet"/>
      </w:pPr>
      <w:r>
        <w:t>Labs 01-02 completed.</w:t>
      </w:r>
    </w:p>
    <w:p>
      <w:pPr>
        <w:pStyle w:val="ListBullet"/>
      </w:pPr>
      <w:r>
        <w:t>Synthetic raw_df is available or can be recreated.</w:t>
      </w:r>
    </w:p>
    <w:p>
      <w:pPr>
        <w:pStyle w:val="Heading2"/>
      </w:pPr>
      <w:r>
        <w:t>Expected outcome</w:t>
      </w:r>
    </w:p>
    <w:p>
      <w:r>
        <w:rPr>
          <w:i w:val="0"/>
        </w:rPr>
        <w:t>Three governed Delta tables exist: orders_bronze, orders_silver and sales_gold.</w:t>
      </w:r>
    </w:p>
    <w:p>
      <w:pPr>
        <w:pStyle w:val="Heading2"/>
      </w:pPr>
      <w:r>
        <w:t>Step 1 - Bronze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bronze = (raw_df</w:t>
              <w:br/>
              <w:t xml:space="preserve">    .withColumn("_ingested_at", F.current_timestamp())</w:t>
              <w:br/>
              <w:t xml:space="preserve">    .withColumn("_source", F.lit("synthetic_lab")))</w:t>
              <w:br/>
              <w:br/>
              <w:t>(bronze.write</w:t>
              <w:br/>
              <w:t xml:space="preserve">    .format("delta")</w:t>
              <w:br/>
              <w:t xml:space="preserve">    .mode("overwrite")</w:t>
              <w:br/>
              <w:t xml:space="preserve">    .option("overwriteSchema", "true")</w:t>
              <w:br/>
              <w:t xml:space="preserve">    .saveAsTable(f"{catalog}.{schema}.orders_bronze"))</w:t>
            </w:r>
          </w:p>
        </w:tc>
      </w:tr>
    </w:tbl>
    <w:p>
      <w:pPr>
        <w:spacing w:after="20"/>
      </w:pPr>
    </w:p>
    <w:p>
      <w:pPr>
        <w:pStyle w:val="Heading2"/>
      </w:pPr>
      <w:r>
        <w:t>Step 2 - Silver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from pyspark.sql.window import Window</w:t>
              <w:br/>
              <w:br/>
              <w:t>bronze_df = spark.table(f"{catalog}.{schema}.orders_bronze")</w:t>
              <w:br/>
              <w:t>dedupe_w = Window.partitionBy("order_id").orderBy(F.col("_ingested_at").desc())</w:t>
              <w:br/>
              <w:br/>
              <w:t>silver = (bronze_df</w:t>
              <w:br/>
              <w:t xml:space="preserve">    .withColumn("order_timestamp", F.to_timestamp("order_ts"))</w:t>
              <w:br/>
              <w:t xml:space="preserve">    .withColumn("rn", F.row_number().over(dedupe_w))</w:t>
              <w:br/>
              <w:t xml:space="preserve">    .filter(F.col("rn") == 1)</w:t>
              <w:br/>
              <w:t xml:space="preserve">    .drop("rn")</w:t>
              <w:br/>
              <w:t xml:space="preserve">    .filter(F.col("customer_id").isNotNull())</w:t>
              <w:br/>
              <w:t xml:space="preserve">    .filter(F.col("qty").isNotNull() &amp; (F.col("qty") &gt; 0))</w:t>
              <w:br/>
              <w:t xml:space="preserve">    .filter(F.col("order_timestamp").isNotNull())</w:t>
              <w:br/>
              <w:t xml:space="preserve">    .withColumn("amount", F.round(F.col("qty") * F.col("unit_price"), 2))</w:t>
              <w:br/>
              <w:t xml:space="preserve">    .withColumn("city", F.initcap(F.trim("city")))</w:t>
              <w:br/>
              <w:t xml:space="preserve">    .drop("order_ts"))</w:t>
              <w:br/>
              <w:br/>
              <w:t>(silver.write</w:t>
              <w:br/>
              <w:t xml:space="preserve">    .format("delta")</w:t>
              <w:br/>
              <w:t xml:space="preserve">    .mode("overwrite")</w:t>
              <w:br/>
              <w:t xml:space="preserve">    .option("overwriteSchema", "true")</w:t>
              <w:br/>
              <w:t xml:space="preserve">    .saveAsTable(f"{catalog}.{schema}.orders_silver"))</w:t>
            </w:r>
          </w:p>
        </w:tc>
      </w:tr>
    </w:tbl>
    <w:p>
      <w:pPr>
        <w:spacing w:after="20"/>
      </w:pPr>
    </w:p>
    <w:p>
      <w:pPr>
        <w:pStyle w:val="Heading2"/>
      </w:pPr>
      <w:r>
        <w:t>Step 3 - Gold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gold = (silver</w:t>
              <w:br/>
              <w:t xml:space="preserve">    .filter(F.col("status") != "CANCELLED")</w:t>
              <w:br/>
              <w:t xml:space="preserve">    .groupBy(F.to_date("order_timestamp").alias("order_date"), "city", "category")</w:t>
              <w:br/>
              <w:t xml:space="preserve">    .agg(F.countDistinct("order_id").alias("orders"),</w:t>
              <w:br/>
              <w:t xml:space="preserve">         F.sum("qty").alias("units"),</w:t>
              <w:br/>
              <w:t xml:space="preserve">         F.round(F.sum("amount"), 2).alias("revenue")))</w:t>
              <w:br/>
              <w:br/>
              <w:t>gold.write.format("delta").mode("overwrite").saveAsTable(</w:t>
              <w:br/>
              <w:t xml:space="preserve">    f"{catalog}.{schema}.sales_gold")</w:t>
              <w:br/>
              <w:t>display(spark.table(f"{catalog}.{schema}.sales_gold").orderBy("order_date", "city"))</w:t>
            </w:r>
          </w:p>
        </w:tc>
      </w:tr>
    </w:tbl>
    <w:p>
      <w:pPr>
        <w:spacing w:after="20"/>
      </w:pPr>
    </w:p>
    <w:p>
      <w:pPr>
        <w:pStyle w:val="Heading2"/>
      </w:pPr>
      <w:r>
        <w:t>Quality validation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SELECT</w:t>
              <w:br/>
              <w:t xml:space="preserve">  (SELECT count(*) FROM orders_bronze) AS bronze_rows,</w:t>
              <w:br/>
              <w:t xml:space="preserve">  (SELECT count(*) FROM orders_silver) AS silver_rows,</w:t>
              <w:br/>
              <w:t xml:space="preserve">  (SELECT count(*) FROM sales_gold) AS gold_rows;</w:t>
              <w:br/>
              <w:br/>
              <w:t>SELECT * FROM orders_silver</w:t>
              <w:br/>
              <w:t>WHERE order_id IS NULL OR customer_id IS NULL OR qty &lt;= 0 OR amount &lt; 0;</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7FB"/>
          </w:tcPr>
          <w:p>
            <w:pPr>
              <w:spacing w:after="0"/>
            </w:pPr>
            <w:r>
              <w:rPr>
                <w:rFonts w:ascii="Calibri" w:hAnsi="Calibri"/>
                <w:b/>
                <w:color w:val="163A5F"/>
                <w:sz w:val="20"/>
              </w:rPr>
              <w:t xml:space="preserve">TRAINER QUESTION: </w:t>
            </w:r>
            <w:r>
              <w:rPr>
                <w:rFonts w:ascii="Calibri" w:hAnsi="Calibri"/>
                <w:color w:val="1F2937"/>
                <w:sz w:val="20"/>
              </w:rPr>
              <w:t>Why is the Silver count lower than Bronze? The correct answer should mention invalid values, bad timestamps, missing keys and deduplication - not data loss caused by Spark.</w:t>
            </w:r>
          </w:p>
        </w:tc>
      </w:tr>
    </w:tbl>
    <w:p>
      <w:pPr>
        <w:pageBreakBefore/>
        <w:spacing w:after="60"/>
      </w:pPr>
      <w:r>
        <w:rPr>
          <w:rFonts w:ascii="Calibri" w:hAnsi="Calibri"/>
          <w:b/>
          <w:color w:val="2E74B5"/>
          <w:sz w:val="20"/>
        </w:rPr>
        <w:t>LAB 04</w:t>
      </w:r>
    </w:p>
    <w:p>
      <w:pPr>
        <w:pStyle w:val="Heading1"/>
      </w:pPr>
      <w:r>
        <w:t>Advanced joins, aggregations and window functions</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90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Enrich orders with customer data and calculate rank, running totals and customer-level measures.</w:t>
      </w:r>
    </w:p>
    <w:p>
      <w:pPr>
        <w:pStyle w:val="Heading2"/>
      </w:pPr>
      <w:r>
        <w:t>Prerequisites</w:t>
      </w:r>
    </w:p>
    <w:p>
      <w:pPr>
        <w:pStyle w:val="ListBullet"/>
      </w:pPr>
      <w:r>
        <w:t>orders_silver exists.</w:t>
      </w:r>
    </w:p>
    <w:p>
      <w:pPr>
        <w:pStyle w:val="Heading2"/>
      </w:pPr>
      <w:r>
        <w:t>Expected outcome</w:t>
      </w:r>
    </w:p>
    <w:p>
      <w:r>
        <w:rPr>
          <w:i w:val="0"/>
        </w:rPr>
        <w:t>Learners can distinguish groupBy aggregation from window calculations that retain row-level detail.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customers = spark.createDataFrame([</w:t>
              <w:br/>
              <w:t xml:space="preserve"> ("c01","Asha","Gold","Karnataka"),</w:t>
              <w:br/>
              <w:t xml:space="preserve"> ("c02","Ravi","Silver","Karnataka"),</w:t>
              <w:br/>
              <w:t xml:space="preserve"> ("c03","Meera","Bronze","Tamil Nadu"),</w:t>
              <w:br/>
              <w:t xml:space="preserve"> ("c04","Imran","Silver","Karnataka")</w:t>
              <w:br/>
              <w:t>], "customer_id string, customer_name string, segment string, state string")</w:t>
              <w:br/>
              <w:t>customers.write.mode("overwrite").saveAsTable(f"{catalog}.{schema}.customers")</w:t>
              <w:br/>
              <w:br/>
              <w:t>orders = spark.table(f"{catalog}.{schema}.orders_silver")</w:t>
              <w:br/>
              <w:t>enriched = orders.join(F.broadcast(customers), "customer_id", "left")</w:t>
              <w:br/>
              <w:t>w = Window.partitionBy("customer_id").orderBy("order_timestamp")</w:t>
              <w:br/>
              <w:br/>
              <w:t>result = (enriched</w:t>
              <w:br/>
              <w:t xml:space="preserve">    .withColumn("customer_order_number", F.row_number().over(w))</w:t>
              <w:br/>
              <w:t xml:space="preserve">    .withColumn("running_spend", F.sum("amount").over(w.rowsBetween(Window.unboundedPreceding, Window.currentRow)))</w:t>
              <w:br/>
              <w:t xml:space="preserve">    .withColumn("previous_amount", F.lag("amount").over(w)))</w:t>
              <w:br/>
              <w:t>display(result.orderBy("customer_id", "order_timestamp"))</w:t>
            </w:r>
          </w:p>
        </w:tc>
      </w:tr>
    </w:tbl>
    <w:p>
      <w:pPr>
        <w:spacing w:after="20"/>
      </w:pPr>
    </w:p>
    <w:p>
      <w:pPr>
        <w:pStyle w:val="Heading2"/>
      </w:pPr>
      <w:r>
        <w:t>SQL equivalent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WITH enriched AS (</w:t>
              <w:br/>
              <w:t xml:space="preserve">  SELECT o.*, c.customer_name, c.segment</w:t>
              <w:br/>
              <w:t xml:space="preserve">  FROM orders_silver o</w:t>
              <w:br/>
              <w:t xml:space="preserve">  LEFT JOIN customers c USING (customer_id)</w:t>
              <w:br/>
              <w:t>)</w:t>
              <w:br/>
              <w:t>SELECT *,</w:t>
              <w:br/>
              <w:t xml:space="preserve">  ROW_NUMBER() OVER (PARTITION BY customer_id ORDER BY order_timestamp) AS customer_order_number,</w:t>
              <w:br/>
              <w:t xml:space="preserve">  SUM(amount) OVER (</w:t>
              <w:br/>
              <w:t xml:space="preserve">    PARTITION BY customer_id ORDER BY order_timestamp</w:t>
              <w:br/>
              <w:t xml:space="preserve">    ROWS BETWEEN UNBOUNDED PRECEDING AND CURRENT ROW</w:t>
              <w:br/>
              <w:t xml:space="preserve">  ) AS running_spend,</w:t>
              <w:br/>
              <w:t xml:space="preserve">  LAG(amount) OVER (PARTITION BY customer_id ORDER BY order_timestamp) AS previous_amount</w:t>
              <w:br/>
              <w:t>FROM enriched;</w:t>
            </w:r>
          </w:p>
        </w:tc>
      </w:tr>
    </w:tbl>
    <w:p>
      <w:pPr>
        <w:spacing w:after="20"/>
      </w:pPr>
    </w:p>
    <w:p>
      <w:pPr>
        <w:pStyle w:val="Heading2"/>
      </w:pPr>
      <w:r>
        <w:t>Challenge</w:t>
      </w:r>
    </w:p>
    <w:p>
      <w:r>
        <w:rPr>
          <w:i w:val="0"/>
        </w:rPr>
        <w:t>Return the top two customers by revenue inside each city. Learners should aggregate customer revenue first, then apply DENSE_RANK partitioned by city. Discuss why ranking raw order rows would answer a different question.</w:t>
      </w:r>
    </w:p>
    <w:p>
      <w:pPr>
        <w:pageBreakBefore/>
        <w:spacing w:after="60"/>
      </w:pPr>
      <w:r>
        <w:rPr>
          <w:rFonts w:ascii="Calibri" w:hAnsi="Calibri"/>
          <w:b/>
          <w:color w:val="2E74B5"/>
          <w:sz w:val="20"/>
        </w:rPr>
        <w:t>LAB 05</w:t>
      </w:r>
    </w:p>
    <w:p>
      <w:pPr>
        <w:pStyle w:val="Heading1"/>
      </w:pPr>
      <w:r>
        <w:t>Databricks SQL and AI/BI dashboard</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90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Use a SQL warehouse to query Gold data, inspect query execution and build a shareable dashboard.</w:t>
      </w:r>
    </w:p>
    <w:p>
      <w:pPr>
        <w:pStyle w:val="Heading2"/>
      </w:pPr>
      <w:r>
        <w:t>Prerequisites</w:t>
      </w:r>
    </w:p>
    <w:p>
      <w:pPr>
        <w:pStyle w:val="ListBullet"/>
      </w:pPr>
      <w:r>
        <w:t>sales_gold exists.</w:t>
      </w:r>
    </w:p>
    <w:p>
      <w:pPr>
        <w:pStyle w:val="ListBullet"/>
      </w:pPr>
      <w:r>
        <w:t>Learner has CAN USE on the classroom SQL warehouse and dashboard entitlement.</w:t>
      </w:r>
    </w:p>
    <w:p>
      <w:pPr>
        <w:pStyle w:val="Heading2"/>
      </w:pPr>
      <w:r>
        <w:t>Expected outcome</w:t>
      </w:r>
    </w:p>
    <w:p>
      <w:r>
        <w:rPr>
          <w:i w:val="0"/>
        </w:rPr>
        <w:t>A draft/published dashboard contains revenue, order count and time-series visualizations.</w:t>
      </w:r>
    </w:p>
    <w:p>
      <w:pPr>
        <w:pStyle w:val="Heading2"/>
      </w:pPr>
      <w:r>
        <w:t>Create the dashboard dataset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SELECT</w:t>
              <w:br/>
              <w:t xml:space="preserve">  order_date,</w:t>
              <w:br/>
              <w:t xml:space="preserve">  city,</w:t>
              <w:br/>
              <w:t xml:space="preserve">  category,</w:t>
              <w:br/>
              <w:t xml:space="preserve">  SUM(orders) AS orders,</w:t>
              <w:br/>
              <w:t xml:space="preserve">  SUM(units) AS units,</w:t>
              <w:br/>
              <w:t xml:space="preserve">  ROUND(SUM(revenue), 2) AS revenue</w:t>
              <w:br/>
              <w:t>FROM training_lab.student_01.sales_gold</w:t>
              <w:br/>
              <w:t>GROUP BY order_date, city, category</w:t>
              <w:br/>
              <w:t>ORDER BY order_date, city, category;</w:t>
            </w:r>
          </w:p>
        </w:tc>
      </w:tr>
    </w:tbl>
    <w:p>
      <w:pPr>
        <w:spacing w:after="20"/>
      </w:pPr>
    </w:p>
    <w:p>
      <w:pPr>
        <w:pStyle w:val="ListNumber"/>
        <w:numPr>
          <w:ilvl w:val="0"/>
          <w:numId w:val="13"/>
        </w:numPr>
      </w:pPr>
      <w:r>
        <w:t>Open SQL Editor and select the approved SQL warehouse.</w:t>
      </w:r>
    </w:p>
    <w:p>
      <w:pPr>
        <w:pStyle w:val="ListNumber"/>
        <w:numPr>
          <w:ilvl w:val="0"/>
          <w:numId w:val="13"/>
        </w:numPr>
      </w:pPr>
      <w:r>
        <w:t>Run the query after replacing student_01 with your schema.</w:t>
      </w:r>
    </w:p>
    <w:p>
      <w:pPr>
        <w:pStyle w:val="ListNumber"/>
        <w:numPr>
          <w:ilvl w:val="0"/>
          <w:numId w:val="13"/>
        </w:numPr>
      </w:pPr>
      <w:r>
        <w:t>Open Query history or the query profile. Identify scan, aggregation and total duration.</w:t>
      </w:r>
    </w:p>
    <w:p>
      <w:pPr>
        <w:pStyle w:val="ListNumber"/>
        <w:numPr>
          <w:ilvl w:val="0"/>
          <w:numId w:val="13"/>
        </w:numPr>
      </w:pPr>
      <w:r>
        <w:t>Select New &gt; Dashboard. On the Data tab, add a SQL dataset using the query.</w:t>
      </w:r>
    </w:p>
    <w:p>
      <w:pPr>
        <w:pStyle w:val="ListNumber"/>
        <w:numPr>
          <w:ilvl w:val="0"/>
          <w:numId w:val="13"/>
        </w:numPr>
      </w:pPr>
      <w:r>
        <w:t>Add a KPI counter for total revenue, a line chart by order_date and a bar chart by city.</w:t>
      </w:r>
    </w:p>
    <w:p>
      <w:pPr>
        <w:pStyle w:val="ListNumber"/>
        <w:numPr>
          <w:ilvl w:val="0"/>
          <w:numId w:val="13"/>
        </w:numPr>
      </w:pPr>
      <w:r>
        <w:t>Add a category filter. Test that all visualizations react correctly.</w:t>
      </w:r>
    </w:p>
    <w:p>
      <w:pPr>
        <w:pStyle w:val="ListNumber"/>
        <w:numPr>
          <w:ilvl w:val="0"/>
          <w:numId w:val="13"/>
        </w:numPr>
      </w:pPr>
      <w:r>
        <w:t>Publish only to the approved class group. Discuss viewer credentials versus shared data permissions before enabling either.</w:t>
      </w:r>
    </w:p>
    <w:p>
      <w:pPr>
        <w:pageBreakBefore/>
        <w:spacing w:after="60"/>
      </w:pPr>
      <w:r>
        <w:rPr>
          <w:rFonts w:ascii="Calibri" w:hAnsi="Calibri"/>
          <w:b/>
          <w:color w:val="2E74B5"/>
          <w:sz w:val="20"/>
        </w:rPr>
        <w:t>LAB 06</w:t>
      </w:r>
    </w:p>
    <w:p>
      <w:pPr>
        <w:pStyle w:val="Heading1"/>
      </w:pPr>
      <w:r>
        <w:t>MLflow experiment and basic classification</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90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Guided hands-on / optional extension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Train a small classifier, log parameters and metrics with MLflow, and explain production model governance.</w:t>
      </w:r>
    </w:p>
    <w:p>
      <w:pPr>
        <w:pStyle w:val="Heading2"/>
      </w:pPr>
      <w:r>
        <w:t>Prerequisites</w:t>
      </w:r>
    </w:p>
    <w:p>
      <w:pPr>
        <w:pStyle w:val="ListBullet"/>
      </w:pPr>
      <w:r>
        <w:t>Approved ML runtime or compatible serverless Python environment.</w:t>
      </w:r>
    </w:p>
    <w:p>
      <w:pPr>
        <w:pStyle w:val="ListBullet"/>
      </w:pPr>
      <w:r>
        <w:t>scikit-learn and mlflow are available.</w:t>
      </w:r>
    </w:p>
    <w:p>
      <w:pPr>
        <w:pStyle w:val="Heading2"/>
      </w:pPr>
      <w:r>
        <w:t>Expected outcome</w:t>
      </w:r>
    </w:p>
    <w:p>
      <w:r>
        <w:rPr>
          <w:i w:val="0"/>
        </w:rPr>
        <w:t>An MLflow run records parameters, accuracy and the trained model artifact.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import mlflow</w:t>
              <w:br/>
              <w:t>import mlflow.sklearn</w:t>
              <w:br/>
              <w:t>from sklearn.datasets import load_breast_cancer</w:t>
              <w:br/>
              <w:t>from sklearn.model_selection import train_test_split</w:t>
              <w:br/>
              <w:t>from sklearn.ensemble import RandomForestClassifier</w:t>
              <w:br/>
              <w:t>from sklearn.metrics import accuracy_score, precision_score, recall_score</w:t>
              <w:br/>
              <w:br/>
              <w:t>data = load_breast_cancer()</w:t>
              <w:br/>
              <w:t>X_train, X_test, y_train, y_test = train_test_split(</w:t>
              <w:br/>
              <w:t xml:space="preserve">    data.data, data.target, test_size=0.2, random_state=42, stratify=data.target)</w:t>
              <w:br/>
              <w:br/>
              <w:t>params = {"n_estimators": 60, "max_depth": 6, "random_state": 42}</w:t>
              <w:br/>
              <w:t>with mlflow.start_run(run_name=f"student_{student_id}_rf"):</w:t>
              <w:br/>
              <w:t xml:space="preserve">    model = RandomForestClassifier(**params)</w:t>
              <w:br/>
              <w:t xml:space="preserve">    model.fit(X_train, y_train)</w:t>
              <w:br/>
              <w:t xml:space="preserve">    pred = model.predict(X_test)</w:t>
              <w:br/>
              <w:t xml:space="preserve">    metrics = {</w:t>
              <w:br/>
              <w:t xml:space="preserve">      "accuracy": accuracy_score(y_test, pred),</w:t>
              <w:br/>
              <w:t xml:space="preserve">      "precision": precision_score(y_test, pred),</w:t>
              <w:br/>
              <w:t xml:space="preserve">      "recall": recall_score(y_test, pred)</w:t>
              <w:br/>
              <w:t xml:space="preserve">    }</w:t>
              <w:br/>
              <w:t xml:space="preserve">    mlflow.log_params(params)</w:t>
              <w:br/>
              <w:t xml:space="preserve">    mlflow.log_metrics(metrics)</w:t>
              <w:br/>
              <w:t xml:space="preserve">    mlflow.sklearn.log_model(model, artifact_path="model")</w:t>
              <w:br/>
              <w:t xml:space="preserve">    print(metrics)</w:t>
            </w:r>
          </w:p>
        </w:tc>
      </w:tr>
    </w:tbl>
    <w:p>
      <w:pPr>
        <w:spacing w:after="20"/>
      </w:pPr>
    </w:p>
    <w:p>
      <w:pPr>
        <w:pStyle w:val="ListBullet"/>
      </w:pPr>
      <w:r>
        <w:t>Open Experiments and compare runs. A metric is an observed result; a parameter is an input choice.</w:t>
      </w:r>
    </w:p>
    <w:p>
      <w:pPr>
        <w:pStyle w:val="ListBullet"/>
      </w:pPr>
      <w:r>
        <w:t>In production, set the MLflow registry URI to databricks-uc and register models under catalog.schema.model with appropriate privileges.</w:t>
      </w:r>
    </w:p>
    <w:p>
      <w:pPr>
        <w:pStyle w:val="ListBullet"/>
      </w:pPr>
      <w:r>
        <w:t>Do not claim model quality from one metric. Discuss class imbalance, precision/recall tradeoffs, validation and monitoring.</w:t>
      </w:r>
    </w:p>
    <w:p>
      <w:pPr>
        <w:pageBreakBefore/>
        <w:spacing w:after="60"/>
      </w:pPr>
      <w:r>
        <w:rPr>
          <w:rFonts w:ascii="Calibri" w:hAnsi="Calibri"/>
          <w:b/>
          <w:color w:val="2E74B5"/>
          <w:sz w:val="20"/>
        </w:rPr>
        <w:t>LAB 07</w:t>
      </w:r>
    </w:p>
    <w:p>
      <w:pPr>
        <w:pStyle w:val="Heading1"/>
      </w:pPr>
      <w:r>
        <w:t>Delta Lake: history, time travel, MERGE and schema evolution</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105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Use the Delta transaction log to audit changes, query an earlier version, upsert records and introduce a controlled schema change.</w:t>
      </w:r>
    </w:p>
    <w:p>
      <w:pPr>
        <w:pStyle w:val="Heading2"/>
      </w:pPr>
      <w:r>
        <w:t>Prerequisites</w:t>
      </w:r>
    </w:p>
    <w:p>
      <w:pPr>
        <w:pStyle w:val="ListBullet"/>
      </w:pPr>
      <w:r>
        <w:t>orders_silver exists.</w:t>
      </w:r>
    </w:p>
    <w:p>
      <w:pPr>
        <w:pStyle w:val="Heading2"/>
      </w:pPr>
      <w:r>
        <w:t>Expected outcome</w:t>
      </w:r>
    </w:p>
    <w:p>
      <w:r>
        <w:rPr>
          <w:i w:val="0"/>
        </w:rPr>
        <w:t>Learners can show table history, compare versions and perform an idempotent MERGE.</w:t>
      </w:r>
    </w:p>
    <w:p>
      <w:pPr>
        <w:pStyle w:val="Heading2"/>
      </w:pPr>
      <w:r>
        <w:t>Inspect history and update one row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DESCRIBE HISTORY orders_silver;</w:t>
              <w:br/>
              <w:br/>
              <w:t>UPDATE orders_silver</w:t>
              <w:br/>
              <w:t>SET status = 'DELIVERED'</w:t>
              <w:br/>
              <w:t>WHERE order_id = 'o1001';</w:t>
              <w:br/>
              <w:br/>
              <w:t>DESCRIBE HISTORY orders_silver;</w:t>
              <w:br/>
              <w:t>SELECT * FROM orders_silver VERSION AS OF 0 WHERE order_id = 'o1001';</w:t>
              <w:br/>
              <w:t>SELECT * FROM orders_silver WHERE order_id = 'o1001';</w:t>
            </w:r>
          </w:p>
        </w:tc>
      </w:tr>
    </w:tbl>
    <w:p>
      <w:pPr>
        <w:spacing w:after="20"/>
      </w:pPr>
    </w:p>
    <w:p>
      <w:pPr>
        <w:pStyle w:val="Heading2"/>
      </w:pPr>
      <w:r>
        <w:t>Idempotent upsert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updates = spark.sql(f"""</w:t>
              <w:br/>
              <w:t>SELECT order_id, customer_id, product, category, qty, unit_price, city,</w:t>
              <w:br/>
              <w:t xml:space="preserve">       'DELIVERED' AS status, _ingested_at, _source, order_timestamp, amount</w:t>
              <w:br/>
              <w:t>FROM {catalog}.{schema}.orders_silver</w:t>
              <w:br/>
              <w:t>WHERE order_id = 'o1002'</w:t>
              <w:br/>
              <w:t>UNION ALL</w:t>
              <w:br/>
              <w:t>SELECT 'o1010', 'c02', 'Webcam', 'Electronics', 1, 3500.0, 'Mysuru',</w:t>
              <w:br/>
              <w:t xml:space="preserve">       'PAID', current_timestamp(), 'lab_update',</w:t>
              <w:br/>
              <w:t xml:space="preserve">       timestamp('2026-08-04 10:00:00'), 3500.0</w:t>
              <w:br/>
              <w:t>""")</w:t>
              <w:br/>
              <w:t>updates.createOrReplaceTempView("order_updates")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MERGE INTO orders_silver AS target</w:t>
              <w:br/>
              <w:t>USING order_updates AS source</w:t>
              <w:br/>
              <w:t>ON target.order_id = source.order_id</w:t>
              <w:br/>
              <w:t>WHEN MATCHED THEN UPDATE SET *</w:t>
              <w:br/>
              <w:t>WHEN NOT MATCHED THEN INSERT *;</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9F5EF"/>
          </w:tcPr>
          <w:p>
            <w:pPr>
              <w:spacing w:after="0"/>
            </w:pPr>
            <w:r>
              <w:rPr>
                <w:rFonts w:ascii="Calibri" w:hAnsi="Calibri"/>
                <w:b/>
                <w:color w:val="1F6B4F"/>
                <w:sz w:val="20"/>
              </w:rPr>
              <w:t xml:space="preserve">VALIDATE IDEMPOTENCY: </w:t>
            </w:r>
            <w:r>
              <w:rPr>
                <w:rFonts w:ascii="Calibri" w:hAnsi="Calibri"/>
                <w:color w:val="1F2937"/>
                <w:sz w:val="20"/>
              </w:rPr>
              <w:t>Run the MERGE twice. Order o1010 should exist exactly once, while o1002 remains updated. The source and target column contracts must stay aligned for SET * and INSERT *.</w:t>
            </w:r>
          </w:p>
        </w:tc>
      </w:tr>
    </w:tbl>
    <w:p>
      <w:pPr>
        <w:pStyle w:val="Heading2"/>
      </w:pPr>
      <w:r>
        <w:t>Controlled schema evolution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new_batch = (spark.table(f"{catalog}.{schema}.orders_silver")</w:t>
              <w:br/>
              <w:t xml:space="preserve">    .limit(1)</w:t>
              <w:br/>
              <w:t xml:space="preserve">    .withColumn("promotion_code", F.lit("FESTIVE10")))</w:t>
              <w:br/>
              <w:br/>
              <w:t>(new_batch.write.format("delta")</w:t>
              <w:br/>
              <w:t xml:space="preserve">  .mode("append")</w:t>
              <w:br/>
              <w:t xml:space="preserve">  .option("mergeSchema", "true")</w:t>
              <w:br/>
              <w:t xml:space="preserve">  .saveAsTable(f"{catalog}.{schema}.orders_silver"))</w:t>
              <w:br/>
              <w:br/>
              <w:t>spark.sql(f"DESCRIBE TABLE {catalog}.{schema}.orders_silver").show(truncate=False)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0"/>
            </w:pPr>
            <w:r>
              <w:rPr>
                <w:rFonts w:ascii="Calibri" w:hAnsi="Calibri"/>
                <w:b/>
                <w:color w:val="9B1C1C"/>
                <w:sz w:val="20"/>
              </w:rPr>
              <w:t xml:space="preserve">SAFETY: </w:t>
            </w:r>
            <w:r>
              <w:rPr>
                <w:rFonts w:ascii="Calibri" w:hAnsi="Calibri"/>
                <w:color w:val="1F2937"/>
                <w:sz w:val="20"/>
              </w:rPr>
              <w:t>Do not run VACUUM with a zero-hour retention in a shared class. Explain the default retention and the effect on time travel; use a disposable table if a trainer demonstration is approved.</w:t>
            </w:r>
          </w:p>
        </w:tc>
      </w:tr>
    </w:tbl>
    <w:p>
      <w:pPr>
        <w:pageBreakBefore/>
        <w:spacing w:after="60"/>
      </w:pPr>
      <w:r>
        <w:rPr>
          <w:rFonts w:ascii="Calibri" w:hAnsi="Calibri"/>
          <w:b/>
          <w:color w:val="2E74B5"/>
          <w:sz w:val="20"/>
        </w:rPr>
        <w:t>LAB 08</w:t>
      </w:r>
    </w:p>
    <w:p>
      <w:pPr>
        <w:pStyle w:val="Heading1"/>
      </w:pPr>
      <w:r>
        <w:t>Lakeflow Jobs, SQL alert and Genie Agent</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120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Turn notebooks into a multi-task workflow, create an operational alert and configure a grounded natural-language analytics demonstration.</w:t>
      </w:r>
    </w:p>
    <w:p>
      <w:pPr>
        <w:pStyle w:val="Heading2"/>
      </w:pPr>
      <w:r>
        <w:t>Prerequisites</w:t>
      </w:r>
    </w:p>
    <w:p>
      <w:pPr>
        <w:pStyle w:val="ListBullet"/>
      </w:pPr>
      <w:r>
        <w:t>Bronze/Silver/Gold notebooks exist.</w:t>
      </w:r>
    </w:p>
    <w:p>
      <w:pPr>
        <w:pStyle w:val="ListBullet"/>
      </w:pPr>
      <w:r>
        <w:t>Learner or trainer can create jobs and use the SQL warehouse.</w:t>
      </w:r>
    </w:p>
    <w:p>
      <w:pPr>
        <w:pStyle w:val="ListBullet"/>
      </w:pPr>
      <w:r>
        <w:t>Genie access is enabled for the trainer demonstration.</w:t>
      </w:r>
    </w:p>
    <w:p>
      <w:pPr>
        <w:pStyle w:val="Heading2"/>
      </w:pPr>
      <w:r>
        <w:t>Expected outcome</w:t>
      </w:r>
    </w:p>
    <w:p>
      <w:r>
        <w:rPr>
          <w:i w:val="0"/>
        </w:rPr>
        <w:t>A job DAG runs in order, an alert evaluates a query, and the trainer demonstrates a Genie Agent backed by governed tables.</w:t>
      </w:r>
    </w:p>
    <w:p>
      <w:pPr>
        <w:pStyle w:val="Heading2"/>
      </w:pPr>
      <w:r>
        <w:t>Part A - Lakeflow Job</w:t>
      </w:r>
    </w:p>
    <w:p>
      <w:pPr>
        <w:pStyle w:val="ListNumber"/>
        <w:numPr>
          <w:ilvl w:val="0"/>
          <w:numId w:val="14"/>
        </w:numPr>
      </w:pPr>
      <w:r>
        <w:t>Create three notebooks: 01_bronze, 02_silver and 03_gold. Each notebook must be safe to rerun.</w:t>
      </w:r>
    </w:p>
    <w:p>
      <w:pPr>
        <w:pStyle w:val="ListNumber"/>
        <w:numPr>
          <w:ilvl w:val="0"/>
          <w:numId w:val="14"/>
        </w:numPr>
      </w:pPr>
      <w:r>
        <w:t>Open Jobs &amp; Pipelines &gt; Create &gt; Job. Add a notebook task named bronze.</w:t>
      </w:r>
    </w:p>
    <w:p>
      <w:pPr>
        <w:pStyle w:val="ListNumber"/>
        <w:numPr>
          <w:ilvl w:val="0"/>
          <w:numId w:val="14"/>
        </w:numPr>
      </w:pPr>
      <w:r>
        <w:t>Add silver with bronze as its dependency. Add gold with silver as its dependency.</w:t>
      </w:r>
    </w:p>
    <w:p>
      <w:pPr>
        <w:pStyle w:val="ListNumber"/>
        <w:numPr>
          <w:ilvl w:val="0"/>
          <w:numId w:val="14"/>
        </w:numPr>
      </w:pPr>
      <w:r>
        <w:t>Use serverless jobs compute when supported; otherwise use a small jobs-compute definition approved by the trainer.</w:t>
      </w:r>
    </w:p>
    <w:p>
      <w:pPr>
        <w:pStyle w:val="ListNumber"/>
        <w:numPr>
          <w:ilvl w:val="0"/>
          <w:numId w:val="14"/>
        </w:numPr>
      </w:pPr>
      <w:r>
        <w:t>Add parameters catalog and schema. In notebooks, read them with widgets or task parameters rather than hard-coding student_01.</w:t>
      </w:r>
    </w:p>
    <w:p>
      <w:pPr>
        <w:pStyle w:val="ListNumber"/>
        <w:numPr>
          <w:ilvl w:val="0"/>
          <w:numId w:val="14"/>
        </w:numPr>
      </w:pPr>
      <w:r>
        <w:t>Set failure notification only to a trainer-approved address. Run now and inspect the graph, task logs and duration.</w:t>
      </w:r>
    </w:p>
    <w:p>
      <w:pPr>
        <w:pStyle w:val="ListNumber"/>
        <w:numPr>
          <w:ilvl w:val="0"/>
          <w:numId w:val="14"/>
        </w:numPr>
      </w:pPr>
      <w:r>
        <w:t>Deliberately fail a copy of one task, inspect the error and use Repair run after correcting it.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Parameter cell in each notebook</w:t>
              <w:br/>
              <w:t>dbutils.widgets.text("catalog", "training_lab")</w:t>
              <w:br/>
              <w:t>dbutils.widgets.text("schema", "student_01")</w:t>
              <w:br/>
              <w:t>catalog = dbutils.widgets.get("catalog")</w:t>
              <w:br/>
              <w:t>schema = dbutils.widgets.get("schema")</w:t>
            </w:r>
          </w:p>
        </w:tc>
      </w:tr>
    </w:tbl>
    <w:p>
      <w:pPr>
        <w:spacing w:after="20"/>
      </w:pPr>
    </w:p>
    <w:p>
      <w:pPr>
        <w:pStyle w:val="Heading2"/>
      </w:pPr>
      <w:r>
        <w:t>Part B - SQL alert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SELECT COUNT(*) AS invalid_rows</w:t>
              <w:br/>
              <w:t>FROM training_lab.student_01.orders_silver</w:t>
              <w:br/>
              <w:t>WHERE customer_id IS NULL OR qty &lt;= 0 OR amount &lt; 0;</w:t>
            </w:r>
          </w:p>
        </w:tc>
      </w:tr>
    </w:tbl>
    <w:p>
      <w:pPr>
        <w:spacing w:after="20"/>
      </w:pPr>
    </w:p>
    <w:p>
      <w:pPr>
        <w:pStyle w:val="ListNumber"/>
        <w:numPr>
          <w:ilvl w:val="0"/>
          <w:numId w:val="15"/>
        </w:numPr>
      </w:pPr>
      <w:r>
        <w:t>Save the query as student_01_data_quality.</w:t>
      </w:r>
    </w:p>
    <w:p>
      <w:pPr>
        <w:pStyle w:val="ListNumber"/>
        <w:numPr>
          <w:ilvl w:val="0"/>
          <w:numId w:val="15"/>
        </w:numPr>
      </w:pPr>
      <w:r>
        <w:t>Create an alert with condition invalid_rows &gt; 0, using the approved warehouse.</w:t>
      </w:r>
    </w:p>
    <w:p>
      <w:pPr>
        <w:pStyle w:val="ListNumber"/>
        <w:numPr>
          <w:ilvl w:val="0"/>
          <w:numId w:val="15"/>
        </w:numPr>
      </w:pPr>
      <w:r>
        <w:t>Use a manual or low-frequency schedule for class. Do not configure unapproved external destinations.</w:t>
      </w:r>
    </w:p>
    <w:p>
      <w:pPr>
        <w:pStyle w:val="ListNumber"/>
        <w:numPr>
          <w:ilvl w:val="0"/>
          <w:numId w:val="15"/>
        </w:numPr>
      </w:pPr>
      <w:r>
        <w:t>Insert a disposable invalid row only if the trainer approves, trigger the evaluation, then remove the row.</w:t>
      </w:r>
    </w:p>
    <w:p>
      <w:pPr>
        <w:pStyle w:val="Heading2"/>
      </w:pPr>
      <w:r>
        <w:t>Part C - Genie Agent trainer demo</w:t>
      </w:r>
    </w:p>
    <w:p>
      <w:pPr>
        <w:pStyle w:val="ListBullet"/>
      </w:pPr>
      <w:r>
        <w:t>Create a Genie Agent and add only the approved Gold table or metric view.</w:t>
      </w:r>
    </w:p>
    <w:p>
      <w:pPr>
        <w:pStyle w:val="ListBullet"/>
      </w:pPr>
      <w:r>
        <w:t>Add clear table/column descriptions, business definitions and verified sample queries.</w:t>
      </w:r>
    </w:p>
    <w:p>
      <w:pPr>
        <w:pStyle w:val="ListBullet"/>
      </w:pPr>
      <w:r>
        <w:t>Ask: What was revenue by city? Which category had the highest revenue? Explain the SQL generated.</w:t>
      </w:r>
    </w:p>
    <w:p>
      <w:pPr>
        <w:pStyle w:val="ListBullet"/>
      </w:pPr>
      <w:r>
        <w:t>Show a question Genie cannot safely answer from the supplied data. Improve instructions rather than encouraging guesswork.</w:t>
      </w:r>
    </w:p>
    <w:p>
      <w:pPr>
        <w:pStyle w:val="ListBullet"/>
      </w:pPr>
      <w:r>
        <w:t>Explain that Genie Agents were formerly called Genie Spaces; current interfaces may continue to change.</w:t>
      </w:r>
    </w:p>
    <w:p>
      <w:pPr>
        <w:pageBreakBefore/>
        <w:spacing w:after="60"/>
      </w:pPr>
      <w:r>
        <w:rPr>
          <w:rFonts w:ascii="Calibri" w:hAnsi="Calibri"/>
          <w:b/>
          <w:color w:val="2E74B5"/>
          <w:sz w:val="20"/>
        </w:rPr>
        <w:t>LAB 09</w:t>
      </w:r>
    </w:p>
    <w:p>
      <w:pPr>
        <w:pStyle w:val="Heading1"/>
      </w:pPr>
      <w:r>
        <w:t>Structured Streaming with a no-dependency source</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90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Teach streaming DataFrames, checkpoints, triggers and restart behavior using the built-in rate source.</w:t>
      </w:r>
    </w:p>
    <w:p>
      <w:pPr>
        <w:pStyle w:val="Heading2"/>
      </w:pPr>
      <w:r>
        <w:t>Prerequisites</w:t>
      </w:r>
    </w:p>
    <w:p>
      <w:pPr>
        <w:pStyle w:val="ListBullet"/>
      </w:pPr>
      <w:r>
        <w:t>A learner schema exists.</w:t>
      </w:r>
    </w:p>
    <w:p>
      <w:pPr>
        <w:pStyle w:val="ListBullet"/>
      </w:pPr>
      <w:r>
        <w:t>Approved compute supports Structured Streaming.</w:t>
      </w:r>
    </w:p>
    <w:p>
      <w:pPr>
        <w:pStyle w:val="Heading2"/>
      </w:pPr>
      <w:r>
        <w:t>Expected outcome</w:t>
      </w:r>
    </w:p>
    <w:p>
      <w:r>
        <w:rPr>
          <w:i w:val="0"/>
        </w:rPr>
        <w:t>A streaming Delta table receives rate-source events and resumes from its checkpoint after restart.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from pyspark.sql import functions as F</w:t>
              <w:br/>
              <w:br/>
              <w:t>checkpoint = f"/Volumes/{catalog}/{schema}/landing/checkpoints/rate_orders"</w:t>
              <w:br/>
              <w:t>target = f"{catalog}.{schema}.rate_events"</w:t>
              <w:br/>
              <w:br/>
              <w:t>stream_df = (spark.readStream</w:t>
              <w:br/>
              <w:t xml:space="preserve">    .format("rate")</w:t>
              <w:br/>
              <w:t xml:space="preserve">    .option("rowsPerSecond", 5)</w:t>
              <w:br/>
              <w:t xml:space="preserve">    .load()</w:t>
              <w:br/>
              <w:t xml:space="preserve">    .withColumn("customer_id", F.concat(F.lit("c"), (F.col("value") % 5)))</w:t>
              <w:br/>
              <w:t xml:space="preserve">    .withColumn("amount", (F.col("value") % 100) + F.lit(10.0)))</w:t>
              <w:br/>
              <w:br/>
              <w:t>query = (stream_df.writeStream</w:t>
              <w:br/>
              <w:t xml:space="preserve">    .format("delta")</w:t>
              <w:br/>
              <w:t xml:space="preserve">    .outputMode("append")</w:t>
              <w:br/>
              <w:t xml:space="preserve">    .option("checkpointLocation", checkpoint)</w:t>
              <w:br/>
              <w:t xml:space="preserve">    .trigger(processingTime="10 seconds")</w:t>
              <w:br/>
              <w:t xml:space="preserve">    .toTable(target))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After 30-60 seconds</w:t>
              <w:br/>
              <w:t>display(spark.sql(f"SELECT count(*) AS rows, max(timestamp) AS latest FROM {target}"))</w:t>
              <w:br/>
              <w:t>query.stop()</w:t>
              <w:br/>
              <w:br/>
              <w:t># Start the same query with the same checkpoint. It resumes rather than replaying committed batches.</w:t>
            </w:r>
          </w:p>
        </w:tc>
      </w:tr>
    </w:tbl>
    <w:p>
      <w:pPr>
        <w:spacing w:after="20"/>
      </w:pPr>
    </w:p>
    <w:p>
      <w:pPr>
        <w:pStyle w:val="Heading2"/>
      </w:pPr>
      <w:r>
        <w:t>Concept questions</w:t>
      </w:r>
    </w:p>
    <w:p>
      <w:pPr>
        <w:pStyle w:val="ListBullet"/>
      </w:pPr>
      <w:r>
        <w:t>The input rate source is unbounded. A batch table is bounded.</w:t>
      </w:r>
    </w:p>
    <w:p>
      <w:pPr>
        <w:pStyle w:val="ListBullet"/>
      </w:pPr>
      <w:r>
        <w:t>A checkpoint stores progress and state, not the business output itself.</w:t>
      </w:r>
    </w:p>
    <w:p>
      <w:pPr>
        <w:pStyle w:val="ListBullet"/>
      </w:pPr>
      <w:r>
        <w:t>Exactly-once end-to-end behavior depends on the source, transformation, sink and idempotency - not only on the Spark API.</w:t>
      </w:r>
    </w:p>
    <w:p>
      <w:pPr>
        <w:pageBreakBefore/>
        <w:spacing w:after="60"/>
      </w:pPr>
      <w:r>
        <w:rPr>
          <w:rFonts w:ascii="Calibri" w:hAnsi="Calibri"/>
          <w:b/>
          <w:color w:val="2E74B5"/>
          <w:sz w:val="20"/>
        </w:rPr>
        <w:t>LAB 10</w:t>
      </w:r>
    </w:p>
    <w:p>
      <w:pPr>
        <w:pStyle w:val="Heading1"/>
      </w:pPr>
      <w:r>
        <w:t>ADLS Gen2 with Unity Catalog managed identity</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120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Trainer-admin lab with student validation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Connect Azure Databricks to ADLS without embedding storage keys or client secrets in notebooks.</w:t>
      </w:r>
    </w:p>
    <w:p>
      <w:pPr>
        <w:pStyle w:val="Heading2"/>
      </w:pPr>
      <w:r>
        <w:t>Prerequisites</w:t>
      </w:r>
    </w:p>
    <w:p>
      <w:pPr>
        <w:pStyle w:val="ListBullet"/>
      </w:pPr>
      <w:r>
        <w:t>ADLS Gen2 storage account and container exist.</w:t>
      </w:r>
    </w:p>
    <w:p>
      <w:pPr>
        <w:pStyle w:val="ListBullet"/>
      </w:pPr>
      <w:r>
        <w:t>Azure Databricks Access Connector exists.</w:t>
      </w:r>
    </w:p>
    <w:p>
      <w:pPr>
        <w:pStyle w:val="ListBullet"/>
      </w:pPr>
      <w:r>
        <w:t>Trainer can assign Azure roles and administer Unity Catalog external locations.</w:t>
      </w:r>
    </w:p>
    <w:p>
      <w:pPr>
        <w:pStyle w:val="Heading2"/>
      </w:pPr>
      <w:r>
        <w:t>Expected outcome</w:t>
      </w:r>
    </w:p>
    <w:p>
      <w:r>
        <w:rPr>
          <w:i w:val="0"/>
        </w:rPr>
        <w:t>A Unity Catalog external location and volume can be accessed by the student group according to least privilege.</w:t>
      </w:r>
    </w:p>
    <w:p>
      <w:pPr>
        <w:pStyle w:val="Heading2"/>
      </w:pPr>
      <w:r>
        <w:t>Azure setup</w:t>
      </w:r>
    </w:p>
    <w:p>
      <w:pPr>
        <w:pStyle w:val="ListNumber"/>
        <w:numPr>
          <w:ilvl w:val="0"/>
          <w:numId w:val="16"/>
        </w:numPr>
      </w:pPr>
      <w:r>
        <w:t>Open the Access Connector and note its managed identity.</w:t>
      </w:r>
    </w:p>
    <w:p>
      <w:pPr>
        <w:pStyle w:val="ListNumber"/>
        <w:numPr>
          <w:ilvl w:val="0"/>
          <w:numId w:val="16"/>
        </w:numPr>
      </w:pPr>
      <w:r>
        <w:t>On the required ADLS container or storage account, assign Storage Blob Data Contributor to the Access Connector identity at the narrowest practical scope.</w:t>
      </w:r>
    </w:p>
    <w:p>
      <w:pPr>
        <w:pStyle w:val="ListNumber"/>
        <w:numPr>
          <w:ilvl w:val="0"/>
          <w:numId w:val="16"/>
        </w:numPr>
      </w:pPr>
      <w:r>
        <w:t>In the Databricks account/workspace Catalog UI, create a storage credential backed by the Access Connector managed identity.</w:t>
      </w:r>
    </w:p>
    <w:p>
      <w:pPr>
        <w:pStyle w:val="ListNumber"/>
        <w:numPr>
          <w:ilvl w:val="0"/>
          <w:numId w:val="16"/>
        </w:numPr>
      </w:pPr>
      <w:r>
        <w:t>Create an external location that references abfss://&lt;container&gt;@&lt;account&gt;.dfs.core.windows.net/&lt;path&gt;.</w:t>
      </w:r>
    </w:p>
    <w:p>
      <w:pPr>
        <w:pStyle w:val="ListNumber"/>
        <w:numPr>
          <w:ilvl w:val="0"/>
          <w:numId w:val="16"/>
        </w:numPr>
      </w:pPr>
      <w:r>
        <w:t>Grant the class group READ FILES on the location for read-only validation, or create a governed external volume and grant READ VOLUME/WRITE VOLUME as required.</w:t>
      </w:r>
    </w:p>
    <w:p>
      <w:pPr>
        <w:pStyle w:val="ListNumber"/>
        <w:numPr>
          <w:ilvl w:val="0"/>
          <w:numId w:val="16"/>
        </w:numPr>
      </w:pPr>
      <w:r>
        <w:t>Do not grant students direct access to the storage account key.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Trainer/admin example; replace placeholders</w:t>
              <w:br/>
              <w:t>CREATE EXTERNAL LOCATION IF NOT EXISTS training_landing</w:t>
              <w:br/>
              <w:t>URL 'abfss://landing@&lt;storage-account&gt;.dfs.core.windows.net/databricks'</w:t>
              <w:br/>
              <w:t>WITH (STORAGE CREDENTIAL training_access_credential)</w:t>
              <w:br/>
              <w:t>COMMENT 'Training landing zone';</w:t>
              <w:br/>
              <w:br/>
              <w:t>CREATE EXTERNAL VOLUME IF NOT EXISTS training_lab.shared.adls_landing</w:t>
              <w:br/>
              <w:t>LOCATION 'abfss://landing@&lt;storage-account&gt;.dfs.core.windows.net/databricks';</w:t>
              <w:br/>
              <w:br/>
              <w:t>GRANT READ VOLUME ON VOLUME training_lab.shared.adls_landing TO `dbx-training-students`;</w:t>
            </w:r>
          </w:p>
        </w:tc>
      </w:tr>
    </w:tbl>
    <w:p>
      <w:pPr>
        <w:spacing w:after="20"/>
      </w:pPr>
    </w:p>
    <w:p>
      <w:pPr>
        <w:pStyle w:val="Heading2"/>
      </w:pPr>
      <w:r>
        <w:t>Student validation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display(dbutils.fs.ls("/Volumes/training_lab/shared/adls_landing"))</w:t>
              <w:br/>
              <w:br/>
              <w:t>df = spark.read.option("header", True).csv(</w:t>
              <w:br/>
              <w:t xml:space="preserve">    "/Volumes/training_lab/shared/adls_landing/orders/*.csv")</w:t>
              <w:br/>
              <w:t>display(df.limit(20))</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9F5EF"/>
          </w:tcPr>
          <w:p>
            <w:pPr>
              <w:spacing w:after="0"/>
            </w:pPr>
            <w:r>
              <w:rPr>
                <w:rFonts w:ascii="Calibri" w:hAnsi="Calibri"/>
                <w:b/>
                <w:color w:val="1F6B4F"/>
                <w:sz w:val="20"/>
              </w:rPr>
              <w:t xml:space="preserve">PREFERRED PATTERN: </w:t>
            </w:r>
            <w:r>
              <w:rPr>
                <w:rFonts w:ascii="Calibri" w:hAnsi="Calibri"/>
                <w:color w:val="1F2937"/>
                <w:sz w:val="20"/>
              </w:rPr>
              <w:t>Use Unity Catalog storage credentials, external locations and volumes. Avoid teaching DBFS mounts as the primary Azure storage integration because mounts are a legacy pattern that bypasses important governance capabilities.</w:t>
            </w:r>
          </w:p>
        </w:tc>
      </w:tr>
    </w:tbl>
    <w:p>
      <w:pPr>
        <w:pStyle w:val="Heading2"/>
      </w:pPr>
      <w:r>
        <w:t>ADF integration extension</w:t>
      </w:r>
    </w:p>
    <w:p>
      <w:pPr>
        <w:pStyle w:val="ListNumber"/>
        <w:numPr>
          <w:ilvl w:val="0"/>
          <w:numId w:val="17"/>
        </w:numPr>
      </w:pPr>
      <w:r>
        <w:t>Create ADF linked services for the source and Azure Databricks using an approved managed identity/service principal pattern.</w:t>
      </w:r>
    </w:p>
    <w:p>
      <w:pPr>
        <w:pStyle w:val="ListNumber"/>
        <w:numPr>
          <w:ilvl w:val="0"/>
          <w:numId w:val="17"/>
        </w:numPr>
      </w:pPr>
      <w:r>
        <w:t>Use a Copy activity to land source data in ADLS.</w:t>
      </w:r>
    </w:p>
    <w:p>
      <w:pPr>
        <w:pStyle w:val="ListNumber"/>
        <w:numPr>
          <w:ilvl w:val="0"/>
          <w:numId w:val="17"/>
        </w:numPr>
      </w:pPr>
      <w:r>
        <w:t>Add an Azure Databricks notebook activity to invoke the parameterized Bronze/Silver/Gold job or notebook.</w:t>
      </w:r>
    </w:p>
    <w:p>
      <w:pPr>
        <w:pStyle w:val="ListNumber"/>
        <w:numPr>
          <w:ilvl w:val="0"/>
          <w:numId w:val="17"/>
        </w:numPr>
      </w:pPr>
      <w:r>
        <w:t>Pass catalog, schema and input path as parameters. Never embed a personal access token in a published pipeline.</w:t>
      </w:r>
    </w:p>
    <w:p>
      <w:pPr>
        <w:pStyle w:val="ListNumber"/>
        <w:numPr>
          <w:ilvl w:val="0"/>
          <w:numId w:val="17"/>
        </w:numPr>
      </w:pPr>
      <w:r>
        <w:t>Run the pipeline and correlate ADF activity output with the Databricks job run.</w:t>
      </w:r>
    </w:p>
    <w:p>
      <w:pPr>
        <w:pageBreakBefore/>
        <w:spacing w:after="60"/>
      </w:pPr>
      <w:r>
        <w:rPr>
          <w:rFonts w:ascii="Calibri" w:hAnsi="Calibri"/>
          <w:b/>
          <w:color w:val="2E74B5"/>
          <w:sz w:val="20"/>
        </w:rPr>
        <w:t>LAB 11</w:t>
      </w:r>
    </w:p>
    <w:p>
      <w:pPr>
        <w:pStyle w:val="Heading1"/>
      </w:pPr>
      <w:r>
        <w:t>Spark and Delta performance tuning</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105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Use evidence from plans and metrics to improve a workload, then select an appropriate table layout and compute option.</w:t>
      </w:r>
    </w:p>
    <w:p>
      <w:pPr>
        <w:pStyle w:val="Heading2"/>
      </w:pPr>
      <w:r>
        <w:t>Prerequisites</w:t>
      </w:r>
    </w:p>
    <w:p>
      <w:pPr>
        <w:pStyle w:val="ListBullet"/>
      </w:pPr>
      <w:r>
        <w:t>orders_silver and customers exist.</w:t>
      </w:r>
    </w:p>
    <w:p>
      <w:pPr>
        <w:pStyle w:val="ListBullet"/>
      </w:pPr>
      <w:r>
        <w:t>Learner can view query profiles or Spark UI.</w:t>
      </w:r>
    </w:p>
    <w:p>
      <w:pPr>
        <w:pStyle w:val="Heading2"/>
      </w:pPr>
      <w:r>
        <w:t>Expected outcome</w:t>
      </w:r>
    </w:p>
    <w:p>
      <w:r>
        <w:rPr>
          <w:i w:val="0"/>
        </w:rPr>
        <w:t>Learners identify a shuffle, explain broadcast joins, and apply a supported data-layout optimization.</w:t>
      </w:r>
    </w:p>
    <w:p>
      <w:pPr>
        <w:pStyle w:val="Heading2"/>
      </w:pPr>
      <w:r>
        <w:t>Create enough rows for a visible plan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base_orders = spark.table(f"{catalog}.{schema}.orders_silver")</w:t>
              <w:br/>
              <w:t>large_orders = (base_orders</w:t>
              <w:br/>
              <w:t xml:space="preserve">    .crossJoin(spark.range(0, 20000).withColumnRenamed("id", "copy_id"))</w:t>
              <w:br/>
              <w:t xml:space="preserve">    .withColumn("synthetic_order_id", F.concat("order_id", F.lit("-"), "copy_id")))</w:t>
              <w:br/>
              <w:t>large_orders.write.mode("overwrite").saveAsTable(f"{catalog}.{schema}.orders_large")</w:t>
            </w:r>
          </w:p>
        </w:tc>
      </w:tr>
    </w:tbl>
    <w:p>
      <w:pPr>
        <w:spacing w:after="20"/>
      </w:pPr>
    </w:p>
    <w:p>
      <w:pPr>
        <w:pStyle w:val="Heading2"/>
      </w:pPr>
      <w:r>
        <w:t>Inspect and compare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joined = spark.table(f"{catalog}.{schema}.orders_large").join(</w:t>
              <w:br/>
              <w:t xml:space="preserve">    spark.table(f"{catalog}.{schema}.customers"), "customer_id")</w:t>
              <w:br/>
              <w:br/>
              <w:t>joined.groupBy("segment").agg(F.sum("amount")).explain("formatted")</w:t>
              <w:br/>
              <w:br/>
              <w:t># Explicit broadcast is appropriate only because customers is genuinely small.</w:t>
              <w:br/>
              <w:t>optimized = spark.table(f"{catalog}.{schema}.orders_large").join(</w:t>
              <w:br/>
              <w:t xml:space="preserve">    F.broadcast(spark.table(f"{catalog}.{schema}.customers")), "customer_id")</w:t>
              <w:br/>
              <w:t>optimized.groupBy("segment").agg(F.sum("amount")).explain("formatted")</w:t>
            </w:r>
          </w:p>
        </w:tc>
      </w:tr>
    </w:tbl>
    <w:p>
      <w:pPr>
        <w:spacing w:after="20"/>
      </w:pPr>
    </w:p>
    <w:p>
      <w:pPr>
        <w:pStyle w:val="Heading2"/>
      </w:pPr>
      <w:r>
        <w:t>Delta layout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Use one supported strategy; do not combine ZORDER and liquid clustering on the same table.</w:t>
              <w:br/>
              <w:t>CREATE OR REPLACE TABLE orders_large_clustered</w:t>
              <w:br/>
              <w:t>CLUSTER BY (customer_id, city)</w:t>
              <w:br/>
              <w:t>AS SELECT * FROM orders_large;</w:t>
              <w:br/>
              <w:br/>
              <w:t>OPTIMIZE orders_large_clustered;</w:t>
              <w:br/>
              <w:t>ANALYZE TABLE orders_large_clustered COMPUTE STATISTICS;</w:t>
              <w:br/>
              <w:br/>
              <w:t>EXPLAIN FORMATTED</w:t>
              <w:br/>
              <w:t>SELECT customer_id, SUM(amount)</w:t>
              <w:br/>
              <w:t>FROM orders_large_clustered</w:t>
              <w:br/>
              <w:t>WHERE city = 'Bengaluru'</w:t>
              <w:br/>
              <w:t>GROUP BY customer_id;</w:t>
            </w:r>
          </w:p>
        </w:tc>
      </w:tr>
    </w:tbl>
    <w:p>
      <w:pPr>
        <w:spacing w:after="20"/>
      </w:pPr>
    </w:p>
    <w:p>
      <w:pPr>
        <w:pStyle w:val="Heading2"/>
      </w:pPr>
      <w:r>
        <w:t>Performance checklist</w:t>
      </w:r>
    </w:p>
    <w:p>
      <w:pPr>
        <w:pStyle w:val="ListBullet"/>
      </w:pPr>
      <w:r>
        <w:t>Filter early and select only required columns.</w:t>
      </w:r>
    </w:p>
    <w:p>
      <w:pPr>
        <w:pStyle w:val="ListBullet"/>
      </w:pPr>
      <w:r>
        <w:t>Do not call collect() on an unbounded or very large DataFrame.</w:t>
      </w:r>
    </w:p>
    <w:p>
      <w:pPr>
        <w:pStyle w:val="ListBullet"/>
      </w:pPr>
      <w:r>
        <w:t>Watch for wide shuffles, skewed keys, too many tiny files and Python UDFs that block engine optimization.</w:t>
      </w:r>
    </w:p>
    <w:p>
      <w:pPr>
        <w:pStyle w:val="ListBullet"/>
      </w:pPr>
      <w:r>
        <w:t>Broadcast only genuinely small tables; allow Adaptive Query Execution to help where possible.</w:t>
      </w:r>
    </w:p>
    <w:p>
      <w:pPr>
        <w:pStyle w:val="ListBullet"/>
      </w:pPr>
      <w:r>
        <w:t>Cache only reused, expensive intermediate results and unpersist them when finished.</w:t>
      </w:r>
    </w:p>
    <w:p>
      <w:pPr>
        <w:pStyle w:val="ListBullet"/>
      </w:pPr>
      <w:r>
        <w:t>Use Photon-enabled/serverless compute where supported; scale after fixing data and query design.</w:t>
      </w:r>
    </w:p>
    <w:p>
      <w:pPr>
        <w:pStyle w:val="ListBullet"/>
      </w:pPr>
      <w:r>
        <w:t>Partitioning is not automatically beneficial. High-cardinality partitions can create tiny files and slow metadata operations.</w:t>
      </w:r>
    </w:p>
    <w:p>
      <w:pPr>
        <w:pageBreakBefore/>
        <w:spacing w:after="60"/>
      </w:pPr>
      <w:r>
        <w:rPr>
          <w:rFonts w:ascii="Calibri" w:hAnsi="Calibri"/>
          <w:b/>
          <w:color w:val="2E74B5"/>
          <w:sz w:val="20"/>
        </w:rPr>
        <w:t>LAB 12</w:t>
      </w:r>
    </w:p>
    <w:p>
      <w:pPr>
        <w:pStyle w:val="Heading1"/>
      </w:pPr>
      <w:r>
        <w:t>Incremental ingestion with Auto Loader and Lakeflow pipeline concepts</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120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hands-on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Process only newly arriving files, preserve schema metadata and apply data-quality expectations in a declarative pipeline.</w:t>
      </w:r>
    </w:p>
    <w:p>
      <w:pPr>
        <w:pStyle w:val="Heading2"/>
      </w:pPr>
      <w:r>
        <w:t>Prerequisites</w:t>
      </w:r>
    </w:p>
    <w:p>
      <w:pPr>
        <w:pStyle w:val="ListBullet"/>
      </w:pPr>
      <w:r>
        <w:t>A Unity Catalog volume is available.</w:t>
      </w:r>
    </w:p>
    <w:p>
      <w:pPr>
        <w:pStyle w:val="ListBullet"/>
      </w:pPr>
      <w:r>
        <w:t>Lakeflow pipelines feature is enabled for the workspace.</w:t>
      </w:r>
    </w:p>
    <w:p>
      <w:pPr>
        <w:pStyle w:val="Heading2"/>
      </w:pPr>
      <w:r>
        <w:t>Expected outcome</w:t>
      </w:r>
    </w:p>
    <w:p>
      <w:r>
        <w:rPr>
          <w:i w:val="0"/>
        </w:rPr>
        <w:t>A pipeline creates a streaming Bronze table and a validated Silver table, and a second update consumes only the new file.</w:t>
      </w:r>
    </w:p>
    <w:p>
      <w:pPr>
        <w:pStyle w:val="Heading2"/>
      </w:pPr>
      <w:r>
        <w:t>Create input files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source = f"/Volumes/{catalog}/{schema}/landing/autoloader/orders"</w:t>
              <w:br/>
              <w:t>batch1 = spark.createDataFrame([</w:t>
              <w:br/>
              <w:t xml:space="preserve"> ("o2001","c01",1200.0,"2026-08-10 09:00:00"),</w:t>
              <w:br/>
              <w:t xml:space="preserve"> ("o2002","c02",850.0,"2026-08-10 09:02:00")</w:t>
              <w:br/>
              <w:t>], "order_id string, customer_id string, amount double, event_time string")</w:t>
              <w:br/>
              <w:t>batch1.coalesce(1).write.mode("append").json(source)</w:t>
            </w:r>
          </w:p>
        </w:tc>
      </w:tr>
    </w:tbl>
    <w:p>
      <w:pPr>
        <w:spacing w:after="20"/>
      </w:pPr>
    </w:p>
    <w:p>
      <w:pPr>
        <w:pStyle w:val="Heading2"/>
      </w:pPr>
      <w:r>
        <w:t>Pipeline Python source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from pyspark import pipelines as dp</w:t>
              <w:br/>
              <w:t>from pyspark.sql import functions as F</w:t>
              <w:br/>
              <w:br/>
              <w:t>SOURCE = "/Volumes/training_lab/student_01/landing/autoloader/orders"</w:t>
              <w:br/>
              <w:br/>
              <w:t>@dp.table(name="orders_bronze_stream")</w:t>
              <w:br/>
              <w:t>def orders_bronze_stream():</w:t>
              <w:br/>
              <w:t xml:space="preserve">    return (spark.readStream.format("cloudFiles")</w:t>
              <w:br/>
              <w:t xml:space="preserve">        .option("cloudFiles.format", "json")</w:t>
              <w:br/>
              <w:t xml:space="preserve">        .load(SOURCE)</w:t>
              <w:br/>
              <w:t xml:space="preserve">        .withColumn("_ingested_at", F.current_timestamp()))</w:t>
              <w:br/>
              <w:br/>
              <w:t>@dp.table(name="orders_silver_stream")</w:t>
              <w:br/>
              <w:t>@dp.expect_or_drop("valid_order_id", "order_id IS NOT NULL")</w:t>
              <w:br/>
              <w:t>@dp.expect_or_drop("positive_amount", "amount &gt; 0")</w:t>
              <w:br/>
              <w:t>def orders_silver_stream():</w:t>
              <w:br/>
              <w:t xml:space="preserve">    return (spark.readStream.table("orders_bronze_stream")</w:t>
              <w:br/>
              <w:t xml:space="preserve">        .withColumn("event_timestamp", F.to_timestamp("event_time"))</w:t>
              <w:br/>
              <w:t xml:space="preserve">        .drop("event_time"))</w:t>
            </w:r>
          </w:p>
        </w:tc>
      </w:tr>
    </w:tbl>
    <w:p>
      <w:pPr>
        <w:spacing w:after="20"/>
      </w:pPr>
    </w:p>
    <w:p>
      <w:pPr>
        <w:pStyle w:val="ListNumber"/>
        <w:numPr>
          <w:ilvl w:val="0"/>
          <w:numId w:val="18"/>
        </w:numPr>
      </w:pPr>
      <w:r>
        <w:t>Open New &gt; ETL pipeline. Choose the current Lakeflow pipeline editor and approved compute mode.</w:t>
      </w:r>
    </w:p>
    <w:p>
      <w:pPr>
        <w:pStyle w:val="ListNumber"/>
        <w:numPr>
          <w:ilvl w:val="0"/>
          <w:numId w:val="18"/>
        </w:numPr>
      </w:pPr>
      <w:r>
        <w:t>Set the target catalog and learner schema. Add the Python source above and update the volume path.</w:t>
      </w:r>
    </w:p>
    <w:p>
      <w:pPr>
        <w:pStyle w:val="ListNumber"/>
        <w:numPr>
          <w:ilvl w:val="0"/>
          <w:numId w:val="18"/>
        </w:numPr>
      </w:pPr>
      <w:r>
        <w:t>Run an update and validate the row count and expectation metrics.</w:t>
      </w:r>
    </w:p>
    <w:p>
      <w:pPr>
        <w:pStyle w:val="ListNumber"/>
        <w:numPr>
          <w:ilvl w:val="0"/>
          <w:numId w:val="18"/>
        </w:numPr>
      </w:pPr>
      <w:r>
        <w:t>Append a second JSON file to the source path and run another update.</w:t>
      </w:r>
    </w:p>
    <w:p>
      <w:pPr>
        <w:pStyle w:val="ListNumber"/>
        <w:numPr>
          <w:ilvl w:val="0"/>
          <w:numId w:val="18"/>
        </w:numPr>
      </w:pPr>
      <w:r>
        <w:t>Confirm only the new input is processed. Open the event log/lineage view and discuss observability.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1"/>
          </w:tcPr>
          <w:p>
            <w:pPr>
              <w:spacing w:after="0"/>
            </w:pPr>
            <w:r>
              <w:rPr>
                <w:rFonts w:ascii="Calibri" w:hAnsi="Calibri"/>
                <w:b/>
                <w:color w:val="8A6700"/>
                <w:sz w:val="20"/>
              </w:rPr>
              <w:t xml:space="preserve">FALLBACK: </w:t>
            </w:r>
            <w:r>
              <w:rPr>
                <w:rFonts w:ascii="Calibri" w:hAnsi="Calibri"/>
                <w:color w:val="1F2937"/>
                <w:sz w:val="20"/>
              </w:rPr>
              <w:t>If the workspace does not expose Lakeflow pipelines, teach the same incremental idea with spark.readStream.format("cloudFiles") and a checkpoint. Do not let a feature entitlement block the core lesson.</w:t>
            </w:r>
          </w:p>
        </w:tc>
      </w:tr>
    </w:tbl>
    <w:p>
      <w:pPr>
        <w:pageBreakBefore/>
        <w:spacing w:after="60"/>
      </w:pPr>
      <w:r>
        <w:rPr>
          <w:rFonts w:ascii="Calibri" w:hAnsi="Calibri"/>
          <w:b/>
          <w:color w:val="2E74B5"/>
          <w:sz w:val="20"/>
        </w:rPr>
        <w:t>LAB 13</w:t>
      </w:r>
    </w:p>
    <w:p>
      <w:pPr>
        <w:pStyle w:val="Heading1"/>
      </w:pPr>
      <w:r>
        <w:t>Event-time streaming and Azure Event Hubs</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150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Student rate-source extension + trainer Event Hubs demo</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Implement watermarked window aggregation and demonstrate Event Hubs through its Kafka-compatible endpoint.</w:t>
      </w:r>
    </w:p>
    <w:p>
      <w:pPr>
        <w:pStyle w:val="Heading2"/>
      </w:pPr>
      <w:r>
        <w:t>Prerequisites</w:t>
      </w:r>
    </w:p>
    <w:p>
      <w:pPr>
        <w:pStyle w:val="ListBullet"/>
      </w:pPr>
      <w:r>
        <w:t>Lab 09 completed.</w:t>
      </w:r>
    </w:p>
    <w:p>
      <w:pPr>
        <w:pStyle w:val="ListBullet"/>
      </w:pPr>
      <w:r>
        <w:t>Databricks Runtime 16.1 or later is available for the preferred service-credential pattern.</w:t>
      </w:r>
    </w:p>
    <w:p>
      <w:pPr>
        <w:pStyle w:val="ListBullet"/>
      </w:pPr>
      <w:r>
        <w:t>The Access Connector managed identity has Azure Event Hubs Data Receiver and is exposed through a Unity Catalog service credential.</w:t>
      </w:r>
    </w:p>
    <w:p>
      <w:pPr>
        <w:pStyle w:val="ListBullet"/>
      </w:pPr>
      <w:r>
        <w:t>Network egress and feature support were tested before class.</w:t>
      </w:r>
    </w:p>
    <w:p>
      <w:pPr>
        <w:pStyle w:val="Heading2"/>
      </w:pPr>
      <w:r>
        <w:t>Expected outcome</w:t>
      </w:r>
    </w:p>
    <w:p>
      <w:r>
        <w:rPr>
          <w:i w:val="0"/>
        </w:rPr>
        <w:t>Learners explain event time, late data, watermarking, state and checkpoint recovery; the trainer streams Event Hubs messages into Delta.</w:t>
      </w:r>
    </w:p>
    <w:p>
      <w:pPr>
        <w:pStyle w:val="Heading2"/>
      </w:pPr>
      <w:r>
        <w:t>Part A - Windowed aggregation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events = (spark.readStream.format("rate")</w:t>
              <w:br/>
              <w:t xml:space="preserve">    .option("rowsPerSecond", 10).load()</w:t>
              <w:br/>
              <w:t xml:space="preserve">    .withColumn("city", F.when((F.col("value") % 2) == 0, "Bengaluru").otherwise("Mysuru"))</w:t>
              <w:br/>
              <w:t xml:space="preserve">    .withColumn("amount", (F.col("value") % 50) + 1.0))</w:t>
              <w:br/>
              <w:br/>
              <w:t>windowed = (events</w:t>
              <w:br/>
              <w:t xml:space="preserve">    .withWatermark("timestamp", "2 minutes")</w:t>
              <w:br/>
              <w:t xml:space="preserve">    .groupBy(F.window("timestamp", "1 minute"), "city")</w:t>
              <w:br/>
              <w:t xml:space="preserve">    .agg(F.count("*").alias("events"), F.round(F.sum("amount"), 2).alias("revenue")))</w:t>
              <w:br/>
              <w:br/>
              <w:t>q = (windowed.writeStream</w:t>
              <w:br/>
              <w:t xml:space="preserve">    .format("memory")</w:t>
              <w:br/>
              <w:t xml:space="preserve">    .queryName("city_minute_revenue")</w:t>
              <w:br/>
              <w:t xml:space="preserve">    .outputMode("update")</w:t>
              <w:br/>
              <w:t xml:space="preserve">    .trigger(processingTime="10 seconds")</w:t>
              <w:br/>
              <w:t xml:space="preserve">    .start())</w:t>
              <w:br/>
              <w:br/>
              <w:t>display(spark.sql("SELECT * FROM city_minute_revenue ORDER BY window.start, city"))</w:t>
            </w:r>
          </w:p>
        </w:tc>
      </w:tr>
    </w:tbl>
    <w:p>
      <w:pPr>
        <w:spacing w:after="20"/>
      </w:pPr>
    </w:p>
    <w:p>
      <w:pPr>
        <w:pStyle w:val="Heading2"/>
      </w:pPr>
      <w:r>
        <w:t>Part B - Event Hubs Kafka demo</w:t>
      </w:r>
    </w:p>
    <w:p>
      <w:r>
        <w:rPr>
          <w:i w:val="0"/>
        </w:rPr>
        <w:t>For Databricks Runtime 16.1 or later, prefer a Unity Catalog service credential backed by managed identity. It avoids embedding an Event Hubs connection string in the notebook. The service credential name below is an example.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event_hubs_server = "&lt;namespace&gt;.servicebus.windows.net"</w:t>
              <w:br/>
              <w:br/>
              <w:t>kafka_options = {</w:t>
              <w:br/>
              <w:t xml:space="preserve">  "kafka.bootstrap.servers": f"{event_hubs_server}:9093",</w:t>
              <w:br/>
              <w:t xml:space="preserve">  "subscribe": "orders",</w:t>
              <w:br/>
              <w:t xml:space="preserve">  "databricks.serviceCredential": "training_eventhubs_credential",</w:t>
              <w:br/>
              <w:t xml:space="preserve">  "startingOffsets": "latest",</w:t>
              <w:br/>
              <w:t xml:space="preserve">  "failOnDataLoss": "false"</w:t>
              <w:br/>
              <w:t>}</w:t>
              <w:br/>
              <w:br/>
              <w:t>raw_kafka = spark.readStream.format("kafka").options(**kafka_options).load()</w:t>
              <w:br/>
              <w:t>json_text = raw_kafka.selectExpr("CAST(value AS STRING) AS json", "timestamp")</w:t>
              <w:br/>
              <w:br/>
              <w:t>event_schema = "order_id string, customer_id string, amount double, city string"</w:t>
              <w:br/>
              <w:t>parsed = (json_text</w:t>
              <w:br/>
              <w:t xml:space="preserve">    .select(F.from_json("json", event_schema).alias("e"), "timestamp")</w:t>
              <w:br/>
              <w:t xml:space="preserve">    .select("e.*", F.col("timestamp").alias("broker_timestamp")))</w:t>
              <w:br/>
              <w:br/>
              <w:t>(parsed.writeStream.format("delta")</w:t>
              <w:br/>
              <w:t xml:space="preserve">  .outputMode("append")</w:t>
              <w:br/>
              <w:t xml:space="preserve">  .option("checkpointLocation", "/Volumes/training_lab/shared/checkpoints/eventhubs_orders")</w:t>
              <w:br/>
              <w:t xml:space="preserve">  .trigger(availableNow=True)</w:t>
              <w:br/>
              <w:t xml:space="preserve">  .toTable("training_lab.shared.eventhub_orders"))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1"/>
          </w:tcPr>
          <w:p>
            <w:pPr>
              <w:spacing w:after="0"/>
            </w:pPr>
            <w:r>
              <w:rPr>
                <w:rFonts w:ascii="Calibri" w:hAnsi="Calibri"/>
                <w:b/>
                <w:color w:val="8A6700"/>
                <w:sz w:val="20"/>
              </w:rPr>
              <w:t xml:space="preserve">FALLBACK AUTHENTICATION: </w:t>
            </w:r>
            <w:r>
              <w:rPr>
                <w:rFonts w:ascii="Calibri" w:hAnsi="Calibri"/>
                <w:color w:val="1F2937"/>
                <w:sz w:val="20"/>
              </w:rPr>
              <w:t>If service credentials are unavailable, use an approved secret-scope SASL/PLAIN or OAuth configuration with the shaded Kafka login classes. Never display the connection string, token or JAAS configuration in notebook output.</w:t>
            </w:r>
          </w:p>
        </w:tc>
      </w:tr>
    </w:tbl>
    <w:p>
      <w:pPr>
        <w:pStyle w:val="Heading2"/>
      </w:pPr>
      <w:r>
        <w:t>Production discussion</w:t>
      </w:r>
    </w:p>
    <w:p>
      <w:pPr>
        <w:pStyle w:val="ListBullet"/>
      </w:pPr>
      <w:r>
        <w:t>Use one stable checkpoint per query and target. Never share a checkpoint between unrelated queries.</w:t>
      </w:r>
    </w:p>
    <w:p>
      <w:pPr>
        <w:pStyle w:val="ListBullet"/>
      </w:pPr>
      <w:r>
        <w:t>Choose event time for business windows; processing time answers when the platform observed the data.</w:t>
      </w:r>
    </w:p>
    <w:p>
      <w:pPr>
        <w:pStyle w:val="ListBullet"/>
      </w:pPr>
      <w:r>
        <w:t>A watermark limits how long state is retained and defines when late records may be dropped from stateful processing.</w:t>
      </w:r>
    </w:p>
    <w:p>
      <w:pPr>
        <w:pStyle w:val="ListBullet"/>
      </w:pPr>
      <w:r>
        <w:t>Monitor input rate, processing rate, batch duration, state size and backlog.</w:t>
      </w:r>
    </w:p>
    <w:p>
      <w:pPr>
        <w:pStyle w:val="ListBullet"/>
      </w:pPr>
      <w:r>
        <w:t>Use idempotent sinks and deduplication keys when the source can redeliver messages.</w:t>
      </w:r>
    </w:p>
    <w:p>
      <w:pPr>
        <w:pageBreakBefore/>
        <w:spacing w:after="60"/>
      </w:pPr>
      <w:r>
        <w:rPr>
          <w:rFonts w:ascii="Calibri" w:hAnsi="Calibri"/>
          <w:b/>
          <w:color w:val="2E74B5"/>
          <w:sz w:val="20"/>
        </w:rPr>
        <w:t>LAB 14</w:t>
      </w:r>
    </w:p>
    <w:p>
      <w:pPr>
        <w:pStyle w:val="Heading1"/>
      </w:pPr>
      <w:r>
        <w:t>Terraform and deployment automation</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color w:val="163A5F"/>
                <w:sz w:val="18"/>
              </w:rPr>
              <w:t>Estimated time</w:t>
            </w:r>
          </w:p>
        </w:tc>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Mode</w:t>
            </w:r>
          </w:p>
        </w:tc>
        <w:tc>
          <w:tcPr>
            <w:tcW w:type="dxa" w:w="4860"/>
            <w:tcMar>
              <w:top w:w="80" w:type="dxa"/>
              <w:start w:w="120" w:type="dxa"/>
              <w:bottom w:w="80" w:type="dxa"/>
              <w:end w:w="120" w:type="dxa"/>
            </w:tcMar>
            <w:vAlign w:val="center"/>
            <w:shd w:fill="E8EEF5"/>
          </w:tcPr>
          <w:p>
            <w:pPr>
              <w:spacing w:after="0"/>
            </w:pPr>
            <w:r>
              <w:rPr>
                <w:rFonts w:ascii="Calibri" w:hAnsi="Calibri"/>
                <w:b/>
                <w:color w:val="163A5F"/>
                <w:sz w:val="18"/>
              </w:rPr>
              <w:t>Completion 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120 minutes</w:t>
            </w:r>
          </w:p>
        </w:tc>
        <w:tc>
          <w:tcPr>
            <w:tcW w:type="dxa" w:w="2700"/>
            <w:tcMar>
              <w:top w:w="80" w:type="dxa"/>
              <w:start w:w="120" w:type="dxa"/>
              <w:bottom w:w="80" w:type="dxa"/>
              <w:end w:w="120" w:type="dxa"/>
            </w:tcMar>
            <w:vAlign w:val="center"/>
          </w:tcPr>
          <w:p>
            <w:pPr>
              <w:spacing w:after="0"/>
            </w:pPr>
            <w:r>
              <w:rPr>
                <w:rFonts w:ascii="Calibri" w:hAnsi="Calibri"/>
                <w:color w:val="1F2937"/>
                <w:sz w:val="18"/>
              </w:rPr>
              <w:t>Trainer-led with learner validation</w:t>
            </w:r>
          </w:p>
        </w:tc>
        <w:tc>
          <w:tcPr>
            <w:tcW w:type="dxa" w:w="4860"/>
            <w:tcMar>
              <w:top w:w="80" w:type="dxa"/>
              <w:start w:w="120" w:type="dxa"/>
              <w:bottom w:w="80" w:type="dxa"/>
              <w:end w:w="120" w:type="dxa"/>
            </w:tcMar>
            <w:vAlign w:val="center"/>
          </w:tcPr>
          <w:p>
            <w:pPr>
              <w:spacing w:after="0"/>
            </w:pPr>
            <w:r>
              <w:rPr>
                <w:rFonts w:ascii="Calibri" w:hAnsi="Calibri"/>
                <w:color w:val="1F2937"/>
                <w:sz w:val="18"/>
              </w:rPr>
              <w:t>Successful run plus validation query/screenshot</w:t>
            </w:r>
          </w:p>
        </w:tc>
      </w:tr>
    </w:tbl>
    <w:p>
      <w:pPr>
        <w:spacing w:after="40"/>
      </w:pPr>
    </w:p>
    <w:p>
      <w:pPr>
        <w:pStyle w:val="Heading2"/>
      </w:pPr>
      <w:r>
        <w:t>Objective</w:t>
      </w:r>
    </w:p>
    <w:p>
      <w:r>
        <w:rPr>
          <w:i w:val="0"/>
        </w:rPr>
        <w:t>Manage workspace resources as code and explain the boundary between Azure resource provisioning, Databricks resources and application deployment.</w:t>
      </w:r>
    </w:p>
    <w:p>
      <w:pPr>
        <w:pStyle w:val="Heading2"/>
      </w:pPr>
      <w:r>
        <w:t>Prerequisites</w:t>
      </w:r>
    </w:p>
    <w:p>
      <w:pPr>
        <w:pStyle w:val="ListBullet"/>
      </w:pPr>
      <w:r>
        <w:t>Terraform CLI is installed on the trainer machine.</w:t>
      </w:r>
    </w:p>
    <w:p>
      <w:pPr>
        <w:pStyle w:val="ListBullet"/>
      </w:pPr>
      <w:r>
        <w:t>Azure CLI/Databricks authentication is approved.</w:t>
      </w:r>
    </w:p>
    <w:p>
      <w:pPr>
        <w:pStyle w:val="ListBullet"/>
      </w:pPr>
      <w:r>
        <w:t>An existing workspace is available.</w:t>
      </w:r>
    </w:p>
    <w:p>
      <w:pPr>
        <w:pStyle w:val="Heading2"/>
      </w:pPr>
      <w:r>
        <w:t>Expected outcome</w:t>
      </w:r>
    </w:p>
    <w:p>
      <w:r>
        <w:rPr>
          <w:i w:val="0"/>
        </w:rPr>
        <w:t>Terraform validates a provider configuration and plans a small Databricks notebook/job resource without embedding credentials.</w:t>
      </w:r>
    </w:p>
    <w:p>
      <w:pPr>
        <w:pStyle w:val="Heading2"/>
      </w:pPr>
      <w:r>
        <w:t>Architecture boundary</w:t>
      </w:r>
    </w:p>
    <w:tbl>
      <w:tblPr>
        <w:tblStyle w:val="TableGrid"/>
        <w:tblW w:type="dxa" w:w="9360"/>
        <w:tblLayout w:type="fixed"/>
        <w:tblLook w:firstColumn="1" w:firstRow="1" w:lastColumn="0" w:lastRow="0" w:noHBand="0" w:noVBand="1" w:val="04A0"/>
        <w:jc w:val="left"/>
        <w:tblInd w:w="120" w:type="dxa"/>
      </w:tblPr>
      <w:tblGrid>
        <w:gridCol w:w="2100"/>
        <w:gridCol w:w="2800"/>
        <w:gridCol w:w="4460"/>
      </w:tblGrid>
      <w:tr>
        <w:trPr>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color w:val="163A5F"/>
                <w:sz w:val="18"/>
              </w:rPr>
              <w:t>Layer</w:t>
            </w:r>
          </w:p>
        </w:tc>
        <w:tc>
          <w:tcPr>
            <w:tcW w:type="dxa" w:w="2800"/>
            <w:tcMar>
              <w:top w:w="80" w:type="dxa"/>
              <w:start w:w="120" w:type="dxa"/>
              <w:bottom w:w="80" w:type="dxa"/>
              <w:end w:w="120" w:type="dxa"/>
            </w:tcMar>
            <w:vAlign w:val="center"/>
            <w:shd w:fill="E8EEF5"/>
          </w:tcPr>
          <w:p>
            <w:pPr>
              <w:spacing w:after="0"/>
            </w:pPr>
            <w:r>
              <w:rPr>
                <w:rFonts w:ascii="Calibri" w:hAnsi="Calibri"/>
                <w:b/>
                <w:color w:val="163A5F"/>
                <w:sz w:val="18"/>
              </w:rPr>
              <w:t>Typical provider/tool</w:t>
            </w:r>
          </w:p>
        </w:tc>
        <w:tc>
          <w:tcPr>
            <w:tcW w:type="dxa" w:w="4460"/>
            <w:tcMar>
              <w:top w:w="80" w:type="dxa"/>
              <w:start w:w="120" w:type="dxa"/>
              <w:bottom w:w="80" w:type="dxa"/>
              <w:end w:w="120" w:type="dxa"/>
            </w:tcMar>
            <w:vAlign w:val="center"/>
            <w:shd w:fill="E8EEF5"/>
          </w:tcPr>
          <w:p>
            <w:pPr>
              <w:spacing w:after="0"/>
            </w:pPr>
            <w:r>
              <w:rPr>
                <w:rFonts w:ascii="Calibri" w:hAnsi="Calibri"/>
                <w:b/>
                <w:color w:val="163A5F"/>
                <w:sz w:val="18"/>
              </w:rPr>
              <w:t>Examples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Azure infrastructure</w:t>
            </w:r>
          </w:p>
        </w:tc>
        <w:tc>
          <w:tcPr>
            <w:tcW w:type="dxa" w:w="2800"/>
            <w:tcMar>
              <w:top w:w="80" w:type="dxa"/>
              <w:start w:w="120" w:type="dxa"/>
              <w:bottom w:w="80" w:type="dxa"/>
              <w:end w:w="120" w:type="dxa"/>
            </w:tcMar>
            <w:vAlign w:val="center"/>
          </w:tcPr>
          <w:p>
            <w:pPr>
              <w:spacing w:after="0"/>
            </w:pPr>
            <w:r>
              <w:rPr>
                <w:rFonts w:ascii="Calibri" w:hAnsi="Calibri"/>
                <w:color w:val="1F2937"/>
                <w:sz w:val="18"/>
              </w:rPr>
              <w:t>azurerm provider</w:t>
            </w:r>
          </w:p>
        </w:tc>
        <w:tc>
          <w:tcPr>
            <w:tcW w:type="dxa" w:w="4460"/>
            <w:tcMar>
              <w:top w:w="80" w:type="dxa"/>
              <w:start w:w="120" w:type="dxa"/>
              <w:bottom w:w="80" w:type="dxa"/>
              <w:end w:w="120" w:type="dxa"/>
            </w:tcMar>
            <w:vAlign w:val="center"/>
          </w:tcPr>
          <w:p>
            <w:pPr>
              <w:spacing w:after="0"/>
            </w:pPr>
            <w:r>
              <w:rPr>
                <w:rFonts w:ascii="Calibri" w:hAnsi="Calibri"/>
                <w:color w:val="1F2937"/>
                <w:sz w:val="18"/>
              </w:rPr>
              <w:t>Resource group, VNet, Azure Databricks workspace, storage, access connector.</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Databricks workspace/account resources</w:t>
            </w:r>
          </w:p>
        </w:tc>
        <w:tc>
          <w:tcPr>
            <w:tcW w:type="dxa" w:w="2800"/>
            <w:tcMar>
              <w:top w:w="80" w:type="dxa"/>
              <w:start w:w="120" w:type="dxa"/>
              <w:bottom w:w="80" w:type="dxa"/>
              <w:end w:w="120" w:type="dxa"/>
            </w:tcMar>
            <w:vAlign w:val="center"/>
          </w:tcPr>
          <w:p>
            <w:pPr>
              <w:spacing w:after="0"/>
            </w:pPr>
            <w:r>
              <w:rPr>
                <w:rFonts w:ascii="Calibri" w:hAnsi="Calibri"/>
                <w:color w:val="1F2937"/>
                <w:sz w:val="18"/>
              </w:rPr>
              <w:t>databricks provider</w:t>
            </w:r>
          </w:p>
        </w:tc>
        <w:tc>
          <w:tcPr>
            <w:tcW w:type="dxa" w:w="4460"/>
            <w:tcMar>
              <w:top w:w="80" w:type="dxa"/>
              <w:start w:w="120" w:type="dxa"/>
              <w:bottom w:w="80" w:type="dxa"/>
              <w:end w:w="120" w:type="dxa"/>
            </w:tcMar>
            <w:vAlign w:val="center"/>
          </w:tcPr>
          <w:p>
            <w:pPr>
              <w:spacing w:after="0"/>
            </w:pPr>
            <w:r>
              <w:rPr>
                <w:rFonts w:ascii="Calibri" w:hAnsi="Calibri"/>
                <w:color w:val="1F2937"/>
                <w:sz w:val="18"/>
              </w:rPr>
              <w:t>Catalog grants, compute policies, notebooks, jobs, pipelines, service principals.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Project deployment</w:t>
            </w:r>
          </w:p>
        </w:tc>
        <w:tc>
          <w:tcPr>
            <w:tcW w:type="dxa" w:w="2800"/>
            <w:tcMar>
              <w:top w:w="80" w:type="dxa"/>
              <w:start w:w="120" w:type="dxa"/>
              <w:bottom w:w="80" w:type="dxa"/>
              <w:end w:w="120" w:type="dxa"/>
            </w:tcMar>
            <w:vAlign w:val="center"/>
          </w:tcPr>
          <w:p>
            <w:pPr>
              <w:spacing w:after="0"/>
            </w:pPr>
            <w:r>
              <w:rPr>
                <w:rFonts w:ascii="Calibri" w:hAnsi="Calibri"/>
                <w:color w:val="1F2937"/>
                <w:sz w:val="18"/>
              </w:rPr>
              <w:t>Declarative Automation Bundles</w:t>
            </w:r>
          </w:p>
        </w:tc>
        <w:tc>
          <w:tcPr>
            <w:tcW w:type="dxa" w:w="4460"/>
            <w:tcMar>
              <w:top w:w="80" w:type="dxa"/>
              <w:start w:w="120" w:type="dxa"/>
              <w:bottom w:w="80" w:type="dxa"/>
              <w:end w:w="120" w:type="dxa"/>
            </w:tcMar>
            <w:vAlign w:val="center"/>
          </w:tcPr>
          <w:p>
            <w:pPr>
              <w:spacing w:after="0"/>
            </w:pPr>
            <w:r>
              <w:rPr>
                <w:rFonts w:ascii="Calibri" w:hAnsi="Calibri"/>
                <w:color w:val="1F2937"/>
                <w:sz w:val="18"/>
              </w:rPr>
              <w:t>Source-controlled jobs, pipelines, notebooks/files and environment targets.</w:t>
            </w:r>
          </w:p>
        </w:tc>
      </w:tr>
    </w:tbl>
    <w:p>
      <w:pPr>
        <w:spacing w:after="40"/>
      </w:pPr>
    </w:p>
    <w:p>
      <w:pPr>
        <w:pStyle w:val="Heading2"/>
      </w:pPr>
      <w:r>
        <w:t>Minimal workspace resource example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terraform {</w:t>
              <w:br/>
              <w:t xml:space="preserve">  required_providers {</w:t>
              <w:br/>
              <w:t xml:space="preserve">    databricks = {</w:t>
              <w:br/>
              <w:t xml:space="preserve">      source = "databricks/databricks"</w:t>
              <w:br/>
              <w:t xml:space="preserve">    }</w:t>
              <w:br/>
              <w:t xml:space="preserve">  }</w:t>
              <w:br/>
              <w:t>}</w:t>
              <w:br/>
              <w:br/>
              <w:t>provider "databricks" {</w:t>
              <w:br/>
              <w:t xml:space="preserve">  host = var.databricks_host</w:t>
              <w:br/>
              <w:t xml:space="preserve">  # Use Azure CLI / workload identity / approved OAuth authentication.</w:t>
              <w:br/>
              <w:t xml:space="preserve">  # Do not hard-code a personal token.</w:t>
              <w:br/>
              <w:t>}</w:t>
              <w:br/>
              <w:br/>
              <w:t>variable "databricks_host" { type = string }</w:t>
              <w:br/>
              <w:br/>
              <w:t>resource "databricks_notebook" "training" {</w:t>
              <w:br/>
              <w:t xml:space="preserve">  path     = "/Shared/training/terraform_demo"</w:t>
              <w:br/>
              <w:t xml:space="preserve">  language = "PYTHON"</w:t>
              <w:br/>
              <w:t xml:space="preserve">  source   = "${path.module}/terraform_demo.py"</w:t>
              <w:br/>
              <w:t>}</w:t>
              <w:br/>
              <w:br/>
              <w:t>resource "databricks_job" "training" {</w:t>
              <w:br/>
              <w:t xml:space="preserve">  name = "training-terraform-demo"</w:t>
              <w:br/>
              <w:t xml:space="preserve">  task {</w:t>
              <w:br/>
              <w:t xml:space="preserve">    task_key = "run_notebook"</w:t>
              <w:br/>
              <w:t xml:space="preserve">    notebook_task { notebook_path = databricks_notebook.training.path }</w:t>
              <w:br/>
              <w:t xml:space="preserve">  }</w:t>
              <w:br/>
              <w: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terraform fmt -check</w:t>
              <w:br/>
              <w:t>terraform init</w:t>
              <w:br/>
              <w:t>terraform validate</w:t>
              <w:br/>
              <w:t>terraform plan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0"/>
            </w:pPr>
            <w:r>
              <w:rPr>
                <w:rFonts w:ascii="Calibri" w:hAnsi="Calibri"/>
                <w:b/>
                <w:color w:val="9B1C1C"/>
                <w:sz w:val="20"/>
              </w:rPr>
              <w:t xml:space="preserve">SAFETY: </w:t>
            </w:r>
            <w:r>
              <w:rPr>
                <w:rFonts w:ascii="Calibri" w:hAnsi="Calibri"/>
                <w:color w:val="1F2937"/>
                <w:sz w:val="20"/>
              </w:rPr>
              <w:t>Do not run terraform apply or destroy in the classroom against a shared production subscription. Use a dedicated training workspace and review the exact plan before any mutation.</w:t>
            </w:r>
          </w:p>
        </w:tc>
      </w:tr>
    </w:tbl>
    <w:p>
      <w:pPr>
        <w:pStyle w:val="Heading2"/>
      </w:pPr>
      <w:r>
        <w:t>Declarative Automation Bundle extension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bundle:</w:t>
              <w:br/>
              <w:t xml:space="preserve">  name: retail-medallion</w:t>
              <w:br/>
              <w:br/>
              <w:t>targets:</w:t>
              <w:br/>
              <w:t xml:space="preserve">  dev:</w:t>
              <w:br/>
              <w:t xml:space="preserve">    mode: development</w:t>
              <w:br/>
              <w:t xml:space="preserve">    default: true</w:t>
              <w:br/>
              <w:t xml:space="preserve">  prod:</w:t>
              <w:br/>
              <w:t xml:space="preserve">    mode: production</w:t>
              <w:br/>
              <w:br/>
              <w:t>resources:</w:t>
              <w:br/>
              <w:t xml:space="preserve">  jobs:</w:t>
              <w:br/>
              <w:t xml:space="preserve">    retail_job:</w:t>
              <w:br/>
              <w:t xml:space="preserve">      name: retail-medallion-${bundle.target}</w:t>
              <w:br/>
              <w:t xml:space="preserve">      tasks:</w:t>
              <w:br/>
              <w:t xml:space="preserve">        - task_key: bronze_to_gold</w:t>
              <w:br/>
              <w:t xml:space="preserve">          notebook_task:</w:t>
              <w:br/>
              <w:t xml:space="preserve">            notebook_path: ./src/retail_pipeline.py</w:t>
            </w:r>
          </w:p>
        </w:tc>
      </w:tr>
    </w:tbl>
    <w:p>
      <w:pPr>
        <w:spacing w:after="20"/>
      </w:pPr>
    </w:p>
    <w:p>
      <w:pPr>
        <w:pStyle w:val="ListBullet"/>
      </w:pPr>
      <w:r>
        <w:t>Validate and deploy to dev first. Use a service principal/run identity in automated production deployment.</w:t>
      </w:r>
    </w:p>
    <w:p>
      <w:pPr>
        <w:pStyle w:val="ListBullet"/>
      </w:pPr>
      <w:r>
        <w:t>Keep code, tests, job definitions and pipeline definitions in source control.</w:t>
      </w:r>
    </w:p>
    <w:p>
      <w:pPr>
        <w:pStyle w:val="ListBullet"/>
      </w:pPr>
      <w:r>
        <w:t>Use environment-specific targets and avoid manually editing bundle-managed jobs in the UI.</w:t>
      </w:r>
    </w:p>
    <w:p>
      <w:pPr>
        <w:pStyle w:val="Heading1"/>
        <w:pageBreakBefore/>
      </w:pPr>
      <w:r>
        <w:t>Part 6 - Advanced architect guidance</w:t>
      </w:r>
    </w:p>
    <w:p>
      <w:pPr>
        <w:pStyle w:val="Heading2"/>
      </w:pPr>
      <w:r>
        <w:t>1. Serverless versus classic compute</w:t>
      </w:r>
    </w:p>
    <w:tbl>
      <w:tblPr>
        <w:tblStyle w:val="TableGrid"/>
        <w:tblW w:type="dxa" w:w="9360"/>
        <w:tblLayout w:type="fixed"/>
        <w:tblLook w:firstColumn="1" w:firstRow="1" w:lastColumn="0" w:lastRow="0" w:noHBand="0" w:noVBand="1" w:val="04A0"/>
        <w:jc w:val="left"/>
        <w:tblInd w:w="120" w:type="dxa"/>
      </w:tblPr>
      <w:tblGrid>
        <w:gridCol w:w="1550"/>
        <w:gridCol w:w="3905"/>
        <w:gridCol w:w="3905"/>
      </w:tblGrid>
      <w:tr>
        <w:trPr>
          <w:tblHeader w:val="true"/>
          <w:cantSplit/>
        </w:trPr>
        <w:tc>
          <w:tcPr>
            <w:tcW w:type="dxa" w:w="1550"/>
            <w:tcMar>
              <w:top w:w="80" w:type="dxa"/>
              <w:start w:w="120" w:type="dxa"/>
              <w:bottom w:w="80" w:type="dxa"/>
              <w:end w:w="120" w:type="dxa"/>
            </w:tcMar>
            <w:vAlign w:val="center"/>
            <w:shd w:fill="E8EEF5"/>
          </w:tcPr>
          <w:p>
            <w:pPr>
              <w:spacing w:after="0"/>
            </w:pPr>
            <w:r>
              <w:rPr>
                <w:rFonts w:ascii="Calibri" w:hAnsi="Calibri"/>
                <w:b/>
                <w:color w:val="163A5F"/>
                <w:sz w:val="18"/>
              </w:rPr>
              <w:t>Decision</w:t>
            </w:r>
          </w:p>
        </w:tc>
        <w:tc>
          <w:tcPr>
            <w:tcW w:type="dxa" w:w="3905"/>
            <w:tcMar>
              <w:top w:w="80" w:type="dxa"/>
              <w:start w:w="120" w:type="dxa"/>
              <w:bottom w:w="80" w:type="dxa"/>
              <w:end w:w="120" w:type="dxa"/>
            </w:tcMar>
            <w:vAlign w:val="center"/>
            <w:shd w:fill="E8EEF5"/>
          </w:tcPr>
          <w:p>
            <w:pPr>
              <w:spacing w:after="0"/>
            </w:pPr>
            <w:r>
              <w:rPr>
                <w:rFonts w:ascii="Calibri" w:hAnsi="Calibri"/>
                <w:b/>
                <w:color w:val="163A5F"/>
                <w:sz w:val="18"/>
              </w:rPr>
              <w:t>Serverless</w:t>
            </w:r>
          </w:p>
        </w:tc>
        <w:tc>
          <w:tcPr>
            <w:tcW w:type="dxa" w:w="3905"/>
            <w:tcMar>
              <w:top w:w="80" w:type="dxa"/>
              <w:start w:w="120" w:type="dxa"/>
              <w:bottom w:w="80" w:type="dxa"/>
              <w:end w:w="120" w:type="dxa"/>
            </w:tcMar>
            <w:vAlign w:val="center"/>
            <w:shd w:fill="E8EEF5"/>
          </w:tcPr>
          <w:p>
            <w:pPr>
              <w:spacing w:after="0"/>
            </w:pPr>
            <w:r>
              <w:rPr>
                <w:rFonts w:ascii="Calibri" w:hAnsi="Calibri"/>
                <w:b/>
                <w:color w:val="163A5F"/>
                <w:sz w:val="18"/>
              </w:rPr>
              <w:t>Classic compute</w:t>
            </w:r>
          </w:p>
        </w:tc>
      </w:tr>
      <w:tr>
        <w:trPr>
          <w:cantSplit/>
        </w:trPr>
        <w:tc>
          <w:tcPr>
            <w:tcW w:type="dxa" w:w="1550"/>
            <w:tcMar>
              <w:top w:w="80" w:type="dxa"/>
              <w:start w:w="120" w:type="dxa"/>
              <w:bottom w:w="80" w:type="dxa"/>
              <w:end w:w="120" w:type="dxa"/>
            </w:tcMar>
            <w:vAlign w:val="center"/>
          </w:tcPr>
          <w:p>
            <w:pPr>
              <w:spacing w:after="0"/>
            </w:pPr>
            <w:r>
              <w:rPr>
                <w:rFonts w:ascii="Calibri" w:hAnsi="Calibri"/>
                <w:color w:val="1F2937"/>
                <w:sz w:val="17"/>
              </w:rPr>
              <w:t>Choose when</w:t>
            </w:r>
          </w:p>
        </w:tc>
        <w:tc>
          <w:tcPr>
            <w:tcW w:type="dxa" w:w="3905"/>
            <w:tcMar>
              <w:top w:w="80" w:type="dxa"/>
              <w:start w:w="120" w:type="dxa"/>
              <w:bottom w:w="80" w:type="dxa"/>
              <w:end w:w="120" w:type="dxa"/>
            </w:tcMar>
            <w:vAlign w:val="center"/>
          </w:tcPr>
          <w:p>
            <w:pPr>
              <w:spacing w:after="0"/>
            </w:pPr>
            <w:r>
              <w:rPr>
                <w:rFonts w:ascii="Calibri" w:hAnsi="Calibri"/>
                <w:color w:val="1F2937"/>
                <w:sz w:val="17"/>
              </w:rPr>
              <w:t>Fast startup, low administration, supported notebooks/jobs/pipelines/SQL and standard networking needs.</w:t>
            </w:r>
          </w:p>
        </w:tc>
        <w:tc>
          <w:tcPr>
            <w:tcW w:type="dxa" w:w="3905"/>
            <w:tcMar>
              <w:top w:w="80" w:type="dxa"/>
              <w:start w:w="120" w:type="dxa"/>
              <w:bottom w:w="80" w:type="dxa"/>
              <w:end w:w="120" w:type="dxa"/>
            </w:tcMar>
            <w:vAlign w:val="center"/>
          </w:tcPr>
          <w:p>
            <w:pPr>
              <w:spacing w:after="0"/>
            </w:pPr>
            <w:r>
              <w:rPr>
                <w:rFonts w:ascii="Calibri" w:hAnsi="Calibri"/>
                <w:color w:val="1F2937"/>
                <w:sz w:val="17"/>
              </w:rPr>
              <w:t>Custom cluster settings, unsupported libraries/APIs, R/legacy requirements or customer-controlled classic network architecture.</w:t>
            </w:r>
          </w:p>
        </w:tc>
      </w:tr>
      <w:tr>
        <w:trPr>
          <w:cantSplit/>
        </w:trPr>
        <w:tc>
          <w:tcPr>
            <w:tcW w:type="dxa" w:w="1550"/>
            <w:tcMar>
              <w:top w:w="80" w:type="dxa"/>
              <w:start w:w="120" w:type="dxa"/>
              <w:bottom w:w="80" w:type="dxa"/>
              <w:end w:w="120" w:type="dxa"/>
            </w:tcMar>
            <w:vAlign w:val="center"/>
          </w:tcPr>
          <w:p>
            <w:pPr>
              <w:spacing w:after="0"/>
            </w:pPr>
            <w:r>
              <w:rPr>
                <w:rFonts w:ascii="Calibri" w:hAnsi="Calibri"/>
                <w:color w:val="1F2937"/>
                <w:sz w:val="17"/>
              </w:rPr>
              <w:t>Operations</w:t>
            </w:r>
          </w:p>
        </w:tc>
        <w:tc>
          <w:tcPr>
            <w:tcW w:type="dxa" w:w="3905"/>
            <w:tcMar>
              <w:top w:w="80" w:type="dxa"/>
              <w:start w:w="120" w:type="dxa"/>
              <w:bottom w:w="80" w:type="dxa"/>
              <w:end w:w="120" w:type="dxa"/>
            </w:tcMar>
            <w:vAlign w:val="center"/>
          </w:tcPr>
          <w:p>
            <w:pPr>
              <w:spacing w:after="0"/>
            </w:pPr>
            <w:r>
              <w:rPr>
                <w:rFonts w:ascii="Calibri" w:hAnsi="Calibri"/>
                <w:color w:val="1F2937"/>
                <w:sz w:val="17"/>
              </w:rPr>
              <w:t>Infrastructure, scaling and patching are largely managed.</w:t>
            </w:r>
          </w:p>
        </w:tc>
        <w:tc>
          <w:tcPr>
            <w:tcW w:type="dxa" w:w="3905"/>
            <w:tcMar>
              <w:top w:w="80" w:type="dxa"/>
              <w:start w:w="120" w:type="dxa"/>
              <w:bottom w:w="80" w:type="dxa"/>
              <w:end w:w="120" w:type="dxa"/>
            </w:tcMar>
            <w:vAlign w:val="center"/>
          </w:tcPr>
          <w:p>
            <w:pPr>
              <w:spacing w:after="0"/>
            </w:pPr>
            <w:r>
              <w:rPr>
                <w:rFonts w:ascii="Calibri" w:hAnsi="Calibri"/>
                <w:color w:val="1F2937"/>
                <w:sz w:val="17"/>
              </w:rPr>
              <w:t>You select runtime, node types, workers, autoscaling, policies and network path.</w:t>
            </w:r>
          </w:p>
        </w:tc>
      </w:tr>
      <w:tr>
        <w:trPr>
          <w:cantSplit/>
        </w:trPr>
        <w:tc>
          <w:tcPr>
            <w:tcW w:type="dxa" w:w="1550"/>
            <w:tcMar>
              <w:top w:w="80" w:type="dxa"/>
              <w:start w:w="120" w:type="dxa"/>
              <w:bottom w:w="80" w:type="dxa"/>
              <w:end w:w="120" w:type="dxa"/>
            </w:tcMar>
            <w:vAlign w:val="center"/>
          </w:tcPr>
          <w:p>
            <w:pPr>
              <w:spacing w:after="0"/>
            </w:pPr>
            <w:r>
              <w:rPr>
                <w:rFonts w:ascii="Calibri" w:hAnsi="Calibri"/>
                <w:color w:val="1F2937"/>
                <w:sz w:val="17"/>
              </w:rPr>
              <w:t>Security/network</w:t>
            </w:r>
          </w:p>
        </w:tc>
        <w:tc>
          <w:tcPr>
            <w:tcW w:type="dxa" w:w="3905"/>
            <w:tcMar>
              <w:top w:w="80" w:type="dxa"/>
              <w:start w:w="120" w:type="dxa"/>
              <w:bottom w:w="80" w:type="dxa"/>
              <w:end w:w="120" w:type="dxa"/>
            </w:tcMar>
            <w:vAlign w:val="center"/>
          </w:tcPr>
          <w:p>
            <w:pPr>
              <w:spacing w:after="0"/>
            </w:pPr>
            <w:r>
              <w:rPr>
                <w:rFonts w:ascii="Calibri" w:hAnsi="Calibri"/>
                <w:color w:val="1F2937"/>
                <w:sz w:val="17"/>
              </w:rPr>
              <w:t>Uses the serverless compute plane and supported egress controls.</w:t>
            </w:r>
          </w:p>
        </w:tc>
        <w:tc>
          <w:tcPr>
            <w:tcW w:type="dxa" w:w="3905"/>
            <w:tcMar>
              <w:top w:w="80" w:type="dxa"/>
              <w:start w:w="120" w:type="dxa"/>
              <w:bottom w:w="80" w:type="dxa"/>
              <w:end w:w="120" w:type="dxa"/>
            </w:tcMar>
            <w:vAlign w:val="center"/>
          </w:tcPr>
          <w:p>
            <w:pPr>
              <w:spacing w:after="0"/>
            </w:pPr>
            <w:r>
              <w:rPr>
                <w:rFonts w:ascii="Calibri" w:hAnsi="Calibri"/>
                <w:color w:val="1F2937"/>
                <w:sz w:val="17"/>
              </w:rPr>
              <w:t>Can use VNet injection, secure cluster connectivity, Private Link and custom routing.</w:t>
            </w:r>
          </w:p>
        </w:tc>
      </w:tr>
      <w:tr>
        <w:trPr>
          <w:cantSplit/>
        </w:trPr>
        <w:tc>
          <w:tcPr>
            <w:tcW w:type="dxa" w:w="1550"/>
            <w:tcMar>
              <w:top w:w="80" w:type="dxa"/>
              <w:start w:w="120" w:type="dxa"/>
              <w:bottom w:w="80" w:type="dxa"/>
              <w:end w:w="120" w:type="dxa"/>
            </w:tcMar>
            <w:vAlign w:val="center"/>
          </w:tcPr>
          <w:p>
            <w:pPr>
              <w:spacing w:after="0"/>
            </w:pPr>
            <w:r>
              <w:rPr>
                <w:rFonts w:ascii="Calibri" w:hAnsi="Calibri"/>
                <w:color w:val="1F2937"/>
                <w:sz w:val="17"/>
              </w:rPr>
              <w:t>Cost</w:t>
            </w:r>
          </w:p>
        </w:tc>
        <w:tc>
          <w:tcPr>
            <w:tcW w:type="dxa" w:w="3905"/>
            <w:tcMar>
              <w:top w:w="80" w:type="dxa"/>
              <w:start w:w="120" w:type="dxa"/>
              <w:bottom w:w="80" w:type="dxa"/>
              <w:end w:w="120" w:type="dxa"/>
            </w:tcMar>
            <w:vAlign w:val="center"/>
          </w:tcPr>
          <w:p>
            <w:pPr>
              <w:spacing w:after="0"/>
            </w:pPr>
            <w:r>
              <w:rPr>
                <w:rFonts w:ascii="Calibri" w:hAnsi="Calibri"/>
                <w:color w:val="1F2937"/>
                <w:sz w:val="17"/>
              </w:rPr>
              <w:t>Pay for managed usage; reduce idle infrastructure and startup delay.</w:t>
            </w:r>
          </w:p>
        </w:tc>
        <w:tc>
          <w:tcPr>
            <w:tcW w:type="dxa" w:w="3905"/>
            <w:tcMar>
              <w:top w:w="80" w:type="dxa"/>
              <w:start w:w="120" w:type="dxa"/>
              <w:bottom w:w="80" w:type="dxa"/>
              <w:end w:w="120" w:type="dxa"/>
            </w:tcMar>
            <w:vAlign w:val="center"/>
          </w:tcPr>
          <w:p>
            <w:pPr>
              <w:spacing w:after="0"/>
            </w:pPr>
            <w:r>
              <w:rPr>
                <w:rFonts w:ascii="Calibri" w:hAnsi="Calibri"/>
                <w:color w:val="1F2937"/>
                <w:sz w:val="17"/>
              </w:rPr>
              <w:t>Can be efficient for steady workloads but requires auto-termination, pools/policies and correct sizing.</w:t>
            </w:r>
          </w:p>
        </w:tc>
      </w:tr>
    </w:tbl>
    <w:p>
      <w:pPr>
        <w:spacing w:after="40"/>
      </w:pPr>
    </w:p>
    <w:p>
      <w:pPr>
        <w:pStyle w:val="Heading2"/>
      </w:pPr>
      <w:r>
        <w:t>2. Azure Databricks architecture</w:t>
      </w:r>
    </w:p>
    <w:p>
      <w:pPr>
        <w:pStyle w:val="ListBullet"/>
      </w:pPr>
      <w:r>
        <w:t>The control plane manages workspace UI, notebooks, jobs, orchestration and platform metadata/services.</w:t>
      </w:r>
    </w:p>
    <w:p>
      <w:pPr>
        <w:pStyle w:val="ListBullet"/>
      </w:pPr>
      <w:r>
        <w:t>The compute plane executes workload code. Serverless compute runs in a Databricks-managed serverless plane; classic compute uses Azure resources associated with the workspace deployment.</w:t>
      </w:r>
    </w:p>
    <w:p>
      <w:pPr>
        <w:pStyle w:val="ListBullet"/>
      </w:pPr>
      <w:r>
        <w:t>Customer data should live in governed cloud storage and Unity Catalog tables/volumes, not as unmanaged local workspace files.</w:t>
      </w:r>
    </w:p>
    <w:p>
      <w:pPr>
        <w:pStyle w:val="ListBullet"/>
      </w:pPr>
      <w:r>
        <w:t>For classic VNet injection, the workspace uses dedicated host and container subnets in the same region and subscription. The workspace creator needs network permissions on those subnets.</w:t>
      </w:r>
    </w:p>
    <w:p>
      <w:pPr>
        <w:pStyle w:val="ListBullet"/>
      </w:pPr>
      <w:r>
        <w:t>Secure cluster connectivity removes public IPs from classic cluster nodes. New Azure VNet outbound behavior requires an explicit supported egress method such as NAT for new designs.</w:t>
      </w:r>
    </w:p>
    <w:p>
      <w:pPr>
        <w:pStyle w:val="Heading2"/>
      </w:pPr>
      <w:r>
        <w:t>3. Unity Catalog design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63A5F"/>
                <w:sz w:val="18"/>
              </w:rPr>
              <w:t>Object</w:t>
            </w:r>
          </w:p>
        </w:tc>
        <w:tc>
          <w:tcPr>
            <w:tcW w:type="dxa" w:w="7160"/>
            <w:tcMar>
              <w:top w:w="80" w:type="dxa"/>
              <w:start w:w="120" w:type="dxa"/>
              <w:bottom w:w="80" w:type="dxa"/>
              <w:end w:w="120" w:type="dxa"/>
            </w:tcMar>
            <w:vAlign w:val="center"/>
            <w:shd w:fill="E8EEF5"/>
          </w:tcPr>
          <w:p>
            <w:pPr>
              <w:spacing w:after="0"/>
            </w:pPr>
            <w:r>
              <w:rPr>
                <w:rFonts w:ascii="Calibri" w:hAnsi="Calibri"/>
                <w:b/>
                <w:color w:val="163A5F"/>
                <w:sz w:val="18"/>
              </w:rPr>
              <w:t>Design guidance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Metastore</w:t>
            </w:r>
          </w:p>
        </w:tc>
        <w:tc>
          <w:tcPr>
            <w:tcW w:type="dxa" w:w="7160"/>
            <w:tcMar>
              <w:top w:w="80" w:type="dxa"/>
              <w:start w:w="120" w:type="dxa"/>
              <w:bottom w:w="80" w:type="dxa"/>
              <w:end w:w="120" w:type="dxa"/>
            </w:tcMar>
            <w:vAlign w:val="center"/>
          </w:tcPr>
          <w:p>
            <w:pPr>
              <w:spacing w:after="0"/>
            </w:pPr>
            <w:r>
              <w:rPr>
                <w:rFonts w:ascii="Calibri" w:hAnsi="Calibri"/>
                <w:color w:val="1F2937"/>
                <w:sz w:val="18"/>
              </w:rPr>
              <w:t>Regional governance boundary. Attach the required workspaces and minimize the number of metastores unless isolation requires more.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Catalog</w:t>
            </w:r>
          </w:p>
        </w:tc>
        <w:tc>
          <w:tcPr>
            <w:tcW w:type="dxa" w:w="7160"/>
            <w:tcMar>
              <w:top w:w="80" w:type="dxa"/>
              <w:start w:w="120" w:type="dxa"/>
              <w:bottom w:w="80" w:type="dxa"/>
              <w:end w:w="120" w:type="dxa"/>
            </w:tcMar>
            <w:vAlign w:val="center"/>
          </w:tcPr>
          <w:p>
            <w:pPr>
              <w:spacing w:after="0"/>
            </w:pPr>
            <w:r>
              <w:rPr>
                <w:rFonts w:ascii="Calibri" w:hAnsi="Calibri"/>
                <w:color w:val="1F2937"/>
                <w:sz w:val="18"/>
              </w:rPr>
              <w:t>Use catalogs for major isolation domains such as environment, business unit or data product - not automatically one per user.</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Schema</w:t>
            </w:r>
          </w:p>
        </w:tc>
        <w:tc>
          <w:tcPr>
            <w:tcW w:type="dxa" w:w="7160"/>
            <w:tcMar>
              <w:top w:w="80" w:type="dxa"/>
              <w:start w:w="120" w:type="dxa"/>
              <w:bottom w:w="80" w:type="dxa"/>
              <w:end w:w="120" w:type="dxa"/>
            </w:tcMar>
            <w:vAlign w:val="center"/>
          </w:tcPr>
          <w:p>
            <w:pPr>
              <w:spacing w:after="0"/>
            </w:pPr>
            <w:r>
              <w:rPr>
                <w:rFonts w:ascii="Calibri" w:hAnsi="Calibri"/>
                <w:color w:val="1F2937"/>
                <w:sz w:val="18"/>
              </w:rPr>
              <w:t>Use schemas for bounded teams/domains and training isolation.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Managed table</w:t>
            </w:r>
          </w:p>
        </w:tc>
        <w:tc>
          <w:tcPr>
            <w:tcW w:type="dxa" w:w="7160"/>
            <w:tcMar>
              <w:top w:w="80" w:type="dxa"/>
              <w:start w:w="120" w:type="dxa"/>
              <w:bottom w:w="80" w:type="dxa"/>
              <w:end w:w="120" w:type="dxa"/>
            </w:tcMar>
            <w:vAlign w:val="center"/>
          </w:tcPr>
          <w:p>
            <w:pPr>
              <w:spacing w:after="0"/>
            </w:pPr>
            <w:r>
              <w:rPr>
                <w:rFonts w:ascii="Calibri" w:hAnsi="Calibri"/>
                <w:color w:val="1F2937"/>
                <w:sz w:val="18"/>
              </w:rPr>
              <w:t>Default choice when Databricks should manage both governance and the data file lifecycle.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External table/volume</w:t>
            </w:r>
          </w:p>
        </w:tc>
        <w:tc>
          <w:tcPr>
            <w:tcW w:type="dxa" w:w="7160"/>
            <w:tcMar>
              <w:top w:w="80" w:type="dxa"/>
              <w:start w:w="120" w:type="dxa"/>
              <w:bottom w:w="80" w:type="dxa"/>
              <w:end w:w="120" w:type="dxa"/>
            </w:tcMar>
            <w:vAlign w:val="center"/>
          </w:tcPr>
          <w:p>
            <w:pPr>
              <w:spacing w:after="0"/>
            </w:pPr>
            <w:r>
              <w:rPr>
                <w:rFonts w:ascii="Calibri" w:hAnsi="Calibri"/>
                <w:color w:val="1F2937"/>
                <w:sz w:val="18"/>
              </w:rPr>
              <w:t>Use when the organization must manage the storage path or other systems also need controlled access.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F2937"/>
                <w:sz w:val="18"/>
              </w:rPr>
              <w:t>Groups</w:t>
            </w:r>
          </w:p>
        </w:tc>
        <w:tc>
          <w:tcPr>
            <w:tcW w:type="dxa" w:w="7160"/>
            <w:tcMar>
              <w:top w:w="80" w:type="dxa"/>
              <w:start w:w="120" w:type="dxa"/>
              <w:bottom w:w="80" w:type="dxa"/>
              <w:end w:w="120" w:type="dxa"/>
            </w:tcMar>
            <w:vAlign w:val="center"/>
          </w:tcPr>
          <w:p>
            <w:pPr>
              <w:spacing w:after="0"/>
            </w:pPr>
            <w:r>
              <w:rPr>
                <w:rFonts w:ascii="Calibri" w:hAnsi="Calibri"/>
                <w:color w:val="1F2937"/>
                <w:sz w:val="18"/>
              </w:rPr>
              <w:t>Grant privileges to account-level groups rather than individual users. Use service principals for automated production jobs.</w:t>
            </w:r>
          </w:p>
        </w:tc>
      </w:tr>
    </w:tbl>
    <w:p>
      <w:pPr>
        <w:spacing w:after="40"/>
      </w:pPr>
    </w:p>
    <w:p>
      <w:pPr>
        <w:pStyle w:val="Heading2"/>
      </w:pPr>
      <w:r>
        <w:t>4. Production reliability pattern</w:t>
      </w:r>
    </w:p>
    <w:p>
      <w:pPr>
        <w:pStyle w:val="ListNumber"/>
        <w:numPr>
          <w:ilvl w:val="0"/>
          <w:numId w:val="19"/>
        </w:numPr>
      </w:pPr>
      <w:r>
        <w:t>Make ingestion incremental and replayable. Persist source identifiers, ingestion time and deduplication keys.</w:t>
      </w:r>
    </w:p>
    <w:p>
      <w:pPr>
        <w:pStyle w:val="ListNumber"/>
        <w:numPr>
          <w:ilvl w:val="0"/>
          <w:numId w:val="19"/>
        </w:numPr>
      </w:pPr>
      <w:r>
        <w:t>Make transformations idempotent. A rerun should not create duplicate business facts.</w:t>
      </w:r>
    </w:p>
    <w:p>
      <w:pPr>
        <w:pStyle w:val="ListNumber"/>
        <w:numPr>
          <w:ilvl w:val="0"/>
          <w:numId w:val="19"/>
        </w:numPr>
      </w:pPr>
      <w:r>
        <w:t>Separate code deployment from data processing. Promote tested code and configuration through dev/test/prod.</w:t>
      </w:r>
    </w:p>
    <w:p>
      <w:pPr>
        <w:pStyle w:val="ListNumber"/>
        <w:numPr>
          <w:ilvl w:val="0"/>
          <w:numId w:val="19"/>
        </w:numPr>
      </w:pPr>
      <w:r>
        <w:t>Define data contracts and quality rules. Quarantine or record rejected data rather than silently discarding it.</w:t>
      </w:r>
    </w:p>
    <w:p>
      <w:pPr>
        <w:pStyle w:val="ListNumber"/>
        <w:numPr>
          <w:ilvl w:val="0"/>
          <w:numId w:val="19"/>
        </w:numPr>
      </w:pPr>
      <w:r>
        <w:t>Use job retries only for transient failures. A deterministic bad record should not be retried endlessly.</w:t>
      </w:r>
    </w:p>
    <w:p>
      <w:pPr>
        <w:pStyle w:val="ListNumber"/>
        <w:numPr>
          <w:ilvl w:val="0"/>
          <w:numId w:val="19"/>
        </w:numPr>
      </w:pPr>
      <w:r>
        <w:t>Capture job/pipeline metrics, data freshness, row counts, quality results, cost and lineage.</w:t>
      </w:r>
    </w:p>
    <w:p>
      <w:pPr>
        <w:pStyle w:val="ListNumber"/>
        <w:numPr>
          <w:ilvl w:val="0"/>
          <w:numId w:val="19"/>
        </w:numPr>
      </w:pPr>
      <w:r>
        <w:t>Define recovery: repair a failed task, replay a batch, restore a Delta version, rebuild derived Gold data and rotate compromised credentials.</w:t>
      </w:r>
    </w:p>
    <w:p>
      <w:pPr>
        <w:pStyle w:val="Heading2"/>
      </w:pPr>
      <w:r>
        <w:t>5. Security checklist</w:t>
      </w:r>
    </w:p>
    <w:p>
      <w:pPr>
        <w:pStyle w:val="ListBullet"/>
      </w:pPr>
      <w:r>
        <w:t>Microsoft Entra ID for users; account-level groups; service principals/workload identities for automation.</w:t>
      </w:r>
    </w:p>
    <w:p>
      <w:pPr>
        <w:pStyle w:val="ListBullet"/>
      </w:pPr>
      <w:r>
        <w:t>Least-privilege Unity Catalog grants and workspace bindings where required.</w:t>
      </w:r>
    </w:p>
    <w:p>
      <w:pPr>
        <w:pStyle w:val="ListBullet"/>
      </w:pPr>
      <w:r>
        <w:t>Managed identities for Azure storage integration; no keys or secrets in notebooks.</w:t>
      </w:r>
    </w:p>
    <w:p>
      <w:pPr>
        <w:pStyle w:val="ListBullet"/>
      </w:pPr>
      <w:r>
        <w:t>Private networking/VNet injection/Private Link only when the threat model and corporate network require them; test DNS and egress carefully.</w:t>
      </w:r>
    </w:p>
    <w:p>
      <w:pPr>
        <w:pStyle w:val="ListBullet"/>
      </w:pPr>
      <w:r>
        <w:t>Audit logs/system tables and Azure diagnostic settings according to retention policy.</w:t>
      </w:r>
    </w:p>
    <w:p>
      <w:pPr>
        <w:pStyle w:val="ListBullet"/>
      </w:pPr>
      <w:r>
        <w:t>Row filters, column masks or governed views for sensitive data; avoid copying PII into training datasets.</w:t>
      </w:r>
    </w:p>
    <w:p>
      <w:pPr>
        <w:pStyle w:val="ListBullet"/>
      </w:pPr>
      <w:r>
        <w:t>Cluster/compute policies, approved libraries, restricted init scripts and controlled external locations.</w:t>
      </w:r>
    </w:p>
    <w:p>
      <w:pPr>
        <w:pStyle w:val="ListBullet"/>
      </w:pPr>
      <w:r>
        <w:t>Separate dev/test/prod workspaces or catalogs based on isolation and regulatory requirements.</w:t>
      </w:r>
    </w:p>
    <w:p>
      <w:pPr>
        <w:pStyle w:val="Heading2"/>
      </w:pPr>
      <w:r>
        <w:t>6. Cost optimization checklist</w:t>
      </w:r>
    </w:p>
    <w:p>
      <w:pPr>
        <w:pStyle w:val="ListBullet"/>
      </w:pPr>
      <w:r>
        <w:t>Right compute type before right compute size: serverless/jobs/SQL compute for the workload, not one long-running interactive cluster.</w:t>
      </w:r>
    </w:p>
    <w:p>
      <w:pPr>
        <w:pStyle w:val="ListBullet"/>
      </w:pPr>
      <w:r>
        <w:t>Auto-stop and auto-termination; avoid idle all-purpose compute.</w:t>
      </w:r>
    </w:p>
    <w:p>
      <w:pPr>
        <w:pStyle w:val="ListBullet"/>
      </w:pPr>
      <w:r>
        <w:t>Optimize query/data design before scaling: pruning, layout, file size, join strategy and avoiding unnecessary shuffles.</w:t>
      </w:r>
    </w:p>
    <w:p>
      <w:pPr>
        <w:pStyle w:val="ListBullet"/>
      </w:pPr>
      <w:r>
        <w:t>Use tags, system billing tables, budget policies and alerts for attribution.</w:t>
      </w:r>
    </w:p>
    <w:p>
      <w:pPr>
        <w:pStyle w:val="ListBullet"/>
      </w:pPr>
      <w:r>
        <w:t>Use Photon and current runtimes where supported; measure the before/after duration and cost.</w:t>
      </w:r>
    </w:p>
    <w:p>
      <w:pPr>
        <w:pStyle w:val="ListBullet"/>
      </w:pPr>
      <w:r>
        <w:t>Schedule heavy workloads to avoid needless concurrency and warehouse over-sizing.</w:t>
      </w:r>
    </w:p>
    <w:p>
      <w:pPr>
        <w:pStyle w:val="ListBullet"/>
      </w:pPr>
      <w:r>
        <w:t>Archive or remove disposable training tables and checkpoints after the course.</w:t>
      </w:r>
    </w:p>
    <w:p>
      <w:pPr>
        <w:pStyle w:val="Heading1"/>
        <w:pageBreakBefore/>
      </w:pPr>
      <w:r>
        <w:t>Part 7 - Assessment, capstone and classroom operations</w:t>
      </w:r>
    </w:p>
    <w:p>
      <w:pPr>
        <w:pStyle w:val="Heading2"/>
      </w:pPr>
      <w:r>
        <w:t>1. Assessment 4 (after Day 20)</w:t>
      </w:r>
    </w:p>
    <w:tbl>
      <w:tblPr>
        <w:tblStyle w:val="TableGrid"/>
        <w:tblW w:type="dxa" w:w="9360"/>
        <w:tblLayout w:type="fixed"/>
        <w:tblLook w:firstColumn="1" w:firstRow="1" w:lastColumn="0" w:lastRow="0" w:noHBand="0" w:noVBand="1" w:val="04A0"/>
        <w:jc w:val="left"/>
        <w:tblInd w:w="120" w:type="dxa"/>
      </w:tblPr>
      <w:tblGrid>
        <w:gridCol w:w="2300"/>
        <w:gridCol w:w="1500"/>
        <w:gridCol w:w="55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color w:val="163A5F"/>
                <w:sz w:val="18"/>
              </w:rPr>
              <w:t>Component</w:t>
            </w:r>
          </w:p>
        </w:tc>
        <w:tc>
          <w:tcPr>
            <w:tcW w:type="dxa" w:w="1500"/>
            <w:tcMar>
              <w:top w:w="80" w:type="dxa"/>
              <w:start w:w="120" w:type="dxa"/>
              <w:bottom w:w="80" w:type="dxa"/>
              <w:end w:w="120" w:type="dxa"/>
            </w:tcMar>
            <w:vAlign w:val="center"/>
            <w:shd w:fill="E8EEF5"/>
          </w:tcPr>
          <w:p>
            <w:pPr>
              <w:spacing w:after="0"/>
            </w:pPr>
            <w:r>
              <w:rPr>
                <w:rFonts w:ascii="Calibri" w:hAnsi="Calibri"/>
                <w:b/>
                <w:color w:val="163A5F"/>
                <w:sz w:val="18"/>
              </w:rPr>
              <w:t>Suggested marks</w:t>
            </w:r>
          </w:p>
        </w:tc>
        <w:tc>
          <w:tcPr>
            <w:tcW w:type="dxa" w:w="5560"/>
            <w:tcMar>
              <w:top w:w="80" w:type="dxa"/>
              <w:start w:w="120" w:type="dxa"/>
              <w:bottom w:w="80" w:type="dxa"/>
              <w:end w:w="120" w:type="dxa"/>
            </w:tcMar>
            <w:vAlign w:val="center"/>
            <w:shd w:fill="E8EEF5"/>
          </w:tcPr>
          <w:p>
            <w:pPr>
              <w:spacing w:after="0"/>
            </w:pPr>
            <w:r>
              <w:rPr>
                <w:rFonts w:ascii="Calibri" w:hAnsi="Calibri"/>
                <w:b/>
                <w:color w:val="163A5F"/>
                <w:sz w:val="18"/>
              </w:rPr>
              <w:t>Evidence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MCQ/concepts</w:t>
            </w:r>
          </w:p>
        </w:tc>
        <w:tc>
          <w:tcPr>
            <w:tcW w:type="dxa" w:w="1500"/>
            <w:tcMar>
              <w:top w:w="80" w:type="dxa"/>
              <w:start w:w="120" w:type="dxa"/>
              <w:bottom w:w="80" w:type="dxa"/>
              <w:end w:w="120" w:type="dxa"/>
            </w:tcMar>
            <w:vAlign w:val="center"/>
          </w:tcPr>
          <w:p>
            <w:pPr>
              <w:spacing w:after="0"/>
            </w:pPr>
            <w:r>
              <w:rPr>
                <w:rFonts w:ascii="Calibri" w:hAnsi="Calibri"/>
                <w:color w:val="1F2937"/>
                <w:sz w:val="18"/>
              </w:rPr>
              <w:t>20</w:t>
            </w:r>
          </w:p>
        </w:tc>
        <w:tc>
          <w:tcPr>
            <w:tcW w:type="dxa" w:w="5560"/>
            <w:tcMar>
              <w:top w:w="80" w:type="dxa"/>
              <w:start w:w="120" w:type="dxa"/>
              <w:bottom w:w="80" w:type="dxa"/>
              <w:end w:w="120" w:type="dxa"/>
            </w:tcMar>
            <w:vAlign w:val="center"/>
          </w:tcPr>
          <w:p>
            <w:pPr>
              <w:spacing w:after="0"/>
            </w:pPr>
            <w:r>
              <w:rPr>
                <w:rFonts w:ascii="Calibri" w:hAnsi="Calibri"/>
                <w:color w:val="1F2937"/>
                <w:sz w:val="18"/>
              </w:rPr>
              <w:t>Lakehouse, Spark, Delta, Unity Catalog, compute and streaming concepts.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SQL/PySpark coding</w:t>
            </w:r>
          </w:p>
        </w:tc>
        <w:tc>
          <w:tcPr>
            <w:tcW w:type="dxa" w:w="1500"/>
            <w:tcMar>
              <w:top w:w="80" w:type="dxa"/>
              <w:start w:w="120" w:type="dxa"/>
              <w:bottom w:w="80" w:type="dxa"/>
              <w:end w:w="120" w:type="dxa"/>
            </w:tcMar>
            <w:vAlign w:val="center"/>
          </w:tcPr>
          <w:p>
            <w:pPr>
              <w:spacing w:after="0"/>
            </w:pPr>
            <w:r>
              <w:rPr>
                <w:rFonts w:ascii="Calibri" w:hAnsi="Calibri"/>
                <w:color w:val="1F2937"/>
                <w:sz w:val="18"/>
              </w:rPr>
              <w:t>30</w:t>
            </w:r>
          </w:p>
        </w:tc>
        <w:tc>
          <w:tcPr>
            <w:tcW w:type="dxa" w:w="5560"/>
            <w:tcMar>
              <w:top w:w="80" w:type="dxa"/>
              <w:start w:w="120" w:type="dxa"/>
              <w:bottom w:w="80" w:type="dxa"/>
              <w:end w:w="120" w:type="dxa"/>
            </w:tcMar>
            <w:vAlign w:val="center"/>
          </w:tcPr>
          <w:p>
            <w:pPr>
              <w:spacing w:after="0"/>
            </w:pPr>
            <w:r>
              <w:rPr>
                <w:rFonts w:ascii="Calibri" w:hAnsi="Calibri"/>
                <w:color w:val="1F2937"/>
                <w:sz w:val="18"/>
              </w:rPr>
              <w:t>Join, window function, validation and aggregate.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Practical</w:t>
            </w:r>
          </w:p>
        </w:tc>
        <w:tc>
          <w:tcPr>
            <w:tcW w:type="dxa" w:w="1500"/>
            <w:tcMar>
              <w:top w:w="80" w:type="dxa"/>
              <w:start w:w="120" w:type="dxa"/>
              <w:bottom w:w="80" w:type="dxa"/>
              <w:end w:w="120" w:type="dxa"/>
            </w:tcMar>
            <w:vAlign w:val="center"/>
          </w:tcPr>
          <w:p>
            <w:pPr>
              <w:spacing w:after="0"/>
            </w:pPr>
            <w:r>
              <w:rPr>
                <w:rFonts w:ascii="Calibri" w:hAnsi="Calibri"/>
                <w:color w:val="1F2937"/>
                <w:sz w:val="18"/>
              </w:rPr>
              <w:t>40</w:t>
            </w:r>
          </w:p>
        </w:tc>
        <w:tc>
          <w:tcPr>
            <w:tcW w:type="dxa" w:w="5560"/>
            <w:tcMar>
              <w:top w:w="80" w:type="dxa"/>
              <w:start w:w="120" w:type="dxa"/>
              <w:bottom w:w="80" w:type="dxa"/>
              <w:end w:w="120" w:type="dxa"/>
            </w:tcMar>
            <w:vAlign w:val="center"/>
          </w:tcPr>
          <w:p>
            <w:pPr>
              <w:spacing w:after="0"/>
            </w:pPr>
            <w:r>
              <w:rPr>
                <w:rFonts w:ascii="Calibri" w:hAnsi="Calibri"/>
                <w:color w:val="1F2937"/>
                <w:sz w:val="18"/>
              </w:rPr>
              <w:t>Create Bronze-Silver-Gold and run a parameterized job.</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Explanation</w:t>
            </w:r>
          </w:p>
        </w:tc>
        <w:tc>
          <w:tcPr>
            <w:tcW w:type="dxa" w:w="1500"/>
            <w:tcMar>
              <w:top w:w="80" w:type="dxa"/>
              <w:start w:w="120" w:type="dxa"/>
              <w:bottom w:w="80" w:type="dxa"/>
              <w:end w:w="120" w:type="dxa"/>
            </w:tcMar>
            <w:vAlign w:val="center"/>
          </w:tcPr>
          <w:p>
            <w:pPr>
              <w:spacing w:after="0"/>
            </w:pPr>
            <w:r>
              <w:rPr>
                <w:rFonts w:ascii="Calibri" w:hAnsi="Calibri"/>
                <w:color w:val="1F2937"/>
                <w:sz w:val="18"/>
              </w:rPr>
              <w:t>10</w:t>
            </w:r>
          </w:p>
        </w:tc>
        <w:tc>
          <w:tcPr>
            <w:tcW w:type="dxa" w:w="5560"/>
            <w:tcMar>
              <w:top w:w="80" w:type="dxa"/>
              <w:start w:w="120" w:type="dxa"/>
              <w:bottom w:w="80" w:type="dxa"/>
              <w:end w:w="120" w:type="dxa"/>
            </w:tcMar>
            <w:vAlign w:val="center"/>
          </w:tcPr>
          <w:p>
            <w:pPr>
              <w:spacing w:after="0"/>
            </w:pPr>
            <w:r>
              <w:rPr>
                <w:rFonts w:ascii="Calibri" w:hAnsi="Calibri"/>
                <w:color w:val="1F2937"/>
                <w:sz w:val="18"/>
              </w:rPr>
              <w:t>Explain one failure and one performance improvement using evidence.</w:t>
            </w:r>
          </w:p>
        </w:tc>
      </w:tr>
    </w:tbl>
    <w:p>
      <w:pPr>
        <w:spacing w:after="40"/>
      </w:pPr>
    </w:p>
    <w:p>
      <w:pPr>
        <w:pStyle w:val="Heading2"/>
      </w:pPr>
      <w:r>
        <w:t>2. Assessment 5 (after Day 25)</w:t>
      </w:r>
    </w:p>
    <w:tbl>
      <w:tblPr>
        <w:tblStyle w:val="TableGrid"/>
        <w:tblW w:type="dxa" w:w="9360"/>
        <w:tblLayout w:type="fixed"/>
        <w:tblLook w:firstColumn="1" w:firstRow="1" w:lastColumn="0" w:lastRow="0" w:noHBand="0" w:noVBand="1" w:val="04A0"/>
        <w:jc w:val="left"/>
        <w:tblInd w:w="120" w:type="dxa"/>
      </w:tblPr>
      <w:tblGrid>
        <w:gridCol w:w="2300"/>
        <w:gridCol w:w="1500"/>
        <w:gridCol w:w="55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color w:val="163A5F"/>
                <w:sz w:val="18"/>
              </w:rPr>
              <w:t>Component</w:t>
            </w:r>
          </w:p>
        </w:tc>
        <w:tc>
          <w:tcPr>
            <w:tcW w:type="dxa" w:w="1500"/>
            <w:tcMar>
              <w:top w:w="80" w:type="dxa"/>
              <w:start w:w="120" w:type="dxa"/>
              <w:bottom w:w="80" w:type="dxa"/>
              <w:end w:w="120" w:type="dxa"/>
            </w:tcMar>
            <w:vAlign w:val="center"/>
            <w:shd w:fill="E8EEF5"/>
          </w:tcPr>
          <w:p>
            <w:pPr>
              <w:spacing w:after="0"/>
            </w:pPr>
            <w:r>
              <w:rPr>
                <w:rFonts w:ascii="Calibri" w:hAnsi="Calibri"/>
                <w:b/>
                <w:color w:val="163A5F"/>
                <w:sz w:val="18"/>
              </w:rPr>
              <w:t>Suggested marks</w:t>
            </w:r>
          </w:p>
        </w:tc>
        <w:tc>
          <w:tcPr>
            <w:tcW w:type="dxa" w:w="5560"/>
            <w:tcMar>
              <w:top w:w="80" w:type="dxa"/>
              <w:start w:w="120" w:type="dxa"/>
              <w:bottom w:w="80" w:type="dxa"/>
              <w:end w:w="120" w:type="dxa"/>
            </w:tcMar>
            <w:vAlign w:val="center"/>
            <w:shd w:fill="E8EEF5"/>
          </w:tcPr>
          <w:p>
            <w:pPr>
              <w:spacing w:after="0"/>
            </w:pPr>
            <w:r>
              <w:rPr>
                <w:rFonts w:ascii="Calibri" w:hAnsi="Calibri"/>
                <w:b/>
                <w:color w:val="163A5F"/>
                <w:sz w:val="18"/>
              </w:rPr>
              <w:t>Evidence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Architecture</w:t>
            </w:r>
          </w:p>
        </w:tc>
        <w:tc>
          <w:tcPr>
            <w:tcW w:type="dxa" w:w="1500"/>
            <w:tcMar>
              <w:top w:w="80" w:type="dxa"/>
              <w:start w:w="120" w:type="dxa"/>
              <w:bottom w:w="80" w:type="dxa"/>
              <w:end w:w="120" w:type="dxa"/>
            </w:tcMar>
            <w:vAlign w:val="center"/>
          </w:tcPr>
          <w:p>
            <w:pPr>
              <w:spacing w:after="0"/>
            </w:pPr>
            <w:r>
              <w:rPr>
                <w:rFonts w:ascii="Calibri" w:hAnsi="Calibri"/>
                <w:color w:val="1F2937"/>
                <w:sz w:val="18"/>
              </w:rPr>
              <w:t>20</w:t>
            </w:r>
          </w:p>
        </w:tc>
        <w:tc>
          <w:tcPr>
            <w:tcW w:type="dxa" w:w="5560"/>
            <w:tcMar>
              <w:top w:w="80" w:type="dxa"/>
              <w:start w:w="120" w:type="dxa"/>
              <w:bottom w:w="80" w:type="dxa"/>
              <w:end w:w="120" w:type="dxa"/>
            </w:tcMar>
            <w:vAlign w:val="center"/>
          </w:tcPr>
          <w:p>
            <w:pPr>
              <w:spacing w:after="0"/>
            </w:pPr>
            <w:r>
              <w:rPr>
                <w:rFonts w:ascii="Calibri" w:hAnsi="Calibri"/>
                <w:color w:val="1F2937"/>
                <w:sz w:val="18"/>
              </w:rPr>
              <w:t>End-to-end Azure diagram and identity/network decisions.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Advanced pipeline</w:t>
            </w:r>
          </w:p>
        </w:tc>
        <w:tc>
          <w:tcPr>
            <w:tcW w:type="dxa" w:w="1500"/>
            <w:tcMar>
              <w:top w:w="80" w:type="dxa"/>
              <w:start w:w="120" w:type="dxa"/>
              <w:bottom w:w="80" w:type="dxa"/>
              <w:end w:w="120" w:type="dxa"/>
            </w:tcMar>
            <w:vAlign w:val="center"/>
          </w:tcPr>
          <w:p>
            <w:pPr>
              <w:spacing w:after="0"/>
            </w:pPr>
            <w:r>
              <w:rPr>
                <w:rFonts w:ascii="Calibri" w:hAnsi="Calibri"/>
                <w:color w:val="1F2937"/>
                <w:sz w:val="18"/>
              </w:rPr>
              <w:t>30</w:t>
            </w:r>
          </w:p>
        </w:tc>
        <w:tc>
          <w:tcPr>
            <w:tcW w:type="dxa" w:w="5560"/>
            <w:tcMar>
              <w:top w:w="80" w:type="dxa"/>
              <w:start w:w="120" w:type="dxa"/>
              <w:bottom w:w="80" w:type="dxa"/>
              <w:end w:w="120" w:type="dxa"/>
            </w:tcMar>
            <w:vAlign w:val="center"/>
          </w:tcPr>
          <w:p>
            <w:pPr>
              <w:spacing w:after="0"/>
            </w:pPr>
            <w:r>
              <w:rPr>
                <w:rFonts w:ascii="Calibri" w:hAnsi="Calibri"/>
                <w:color w:val="1F2937"/>
                <w:sz w:val="18"/>
              </w:rPr>
              <w:t>Incremental ingestion, expectations, Delta history and recovery.</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Streaming</w:t>
            </w:r>
          </w:p>
        </w:tc>
        <w:tc>
          <w:tcPr>
            <w:tcW w:type="dxa" w:w="1500"/>
            <w:tcMar>
              <w:top w:w="80" w:type="dxa"/>
              <w:start w:w="120" w:type="dxa"/>
              <w:bottom w:w="80" w:type="dxa"/>
              <w:end w:w="120" w:type="dxa"/>
            </w:tcMar>
            <w:vAlign w:val="center"/>
          </w:tcPr>
          <w:p>
            <w:pPr>
              <w:spacing w:after="0"/>
            </w:pPr>
            <w:r>
              <w:rPr>
                <w:rFonts w:ascii="Calibri" w:hAnsi="Calibri"/>
                <w:color w:val="1F2937"/>
                <w:sz w:val="18"/>
              </w:rPr>
              <w:t>20</w:t>
            </w:r>
          </w:p>
        </w:tc>
        <w:tc>
          <w:tcPr>
            <w:tcW w:type="dxa" w:w="5560"/>
            <w:tcMar>
              <w:top w:w="80" w:type="dxa"/>
              <w:start w:w="120" w:type="dxa"/>
              <w:bottom w:w="80" w:type="dxa"/>
              <w:end w:w="120" w:type="dxa"/>
            </w:tcMar>
            <w:vAlign w:val="center"/>
          </w:tcPr>
          <w:p>
            <w:pPr>
              <w:spacing w:after="0"/>
            </w:pPr>
            <w:r>
              <w:rPr>
                <w:rFonts w:ascii="Calibri" w:hAnsi="Calibri"/>
                <w:color w:val="1F2937"/>
                <w:sz w:val="18"/>
              </w:rPr>
              <w:t>Checkpointed window aggregation and late-data explanation.</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IaC</w:t>
            </w:r>
          </w:p>
        </w:tc>
        <w:tc>
          <w:tcPr>
            <w:tcW w:type="dxa" w:w="1500"/>
            <w:tcMar>
              <w:top w:w="80" w:type="dxa"/>
              <w:start w:w="120" w:type="dxa"/>
              <w:bottom w:w="80" w:type="dxa"/>
              <w:end w:w="120" w:type="dxa"/>
            </w:tcMar>
            <w:vAlign w:val="center"/>
          </w:tcPr>
          <w:p>
            <w:pPr>
              <w:spacing w:after="0"/>
            </w:pPr>
            <w:r>
              <w:rPr>
                <w:rFonts w:ascii="Calibri" w:hAnsi="Calibri"/>
                <w:color w:val="1F2937"/>
                <w:sz w:val="18"/>
              </w:rPr>
              <w:t>20</w:t>
            </w:r>
          </w:p>
        </w:tc>
        <w:tc>
          <w:tcPr>
            <w:tcW w:type="dxa" w:w="5560"/>
            <w:tcMar>
              <w:top w:w="80" w:type="dxa"/>
              <w:start w:w="120" w:type="dxa"/>
              <w:bottom w:w="80" w:type="dxa"/>
              <w:end w:w="120" w:type="dxa"/>
            </w:tcMar>
            <w:vAlign w:val="center"/>
          </w:tcPr>
          <w:p>
            <w:pPr>
              <w:spacing w:after="0"/>
            </w:pPr>
            <w:r>
              <w:rPr>
                <w:rFonts w:ascii="Calibri" w:hAnsi="Calibri"/>
                <w:color w:val="1F2937"/>
                <w:sz w:val="18"/>
              </w:rPr>
              <w:t>Terraform/bundle validation and environment strategy.</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1F2937"/>
                <w:sz w:val="18"/>
              </w:rPr>
              <w:t>Cost/security</w:t>
            </w:r>
          </w:p>
        </w:tc>
        <w:tc>
          <w:tcPr>
            <w:tcW w:type="dxa" w:w="1500"/>
            <w:tcMar>
              <w:top w:w="80" w:type="dxa"/>
              <w:start w:w="120" w:type="dxa"/>
              <w:bottom w:w="80" w:type="dxa"/>
              <w:end w:w="120" w:type="dxa"/>
            </w:tcMar>
            <w:vAlign w:val="center"/>
          </w:tcPr>
          <w:p>
            <w:pPr>
              <w:spacing w:after="0"/>
            </w:pPr>
            <w:r>
              <w:rPr>
                <w:rFonts w:ascii="Calibri" w:hAnsi="Calibri"/>
                <w:color w:val="1F2937"/>
                <w:sz w:val="18"/>
              </w:rPr>
              <w:t>10</w:t>
            </w:r>
          </w:p>
        </w:tc>
        <w:tc>
          <w:tcPr>
            <w:tcW w:type="dxa" w:w="5560"/>
            <w:tcMar>
              <w:top w:w="80" w:type="dxa"/>
              <w:start w:w="120" w:type="dxa"/>
              <w:bottom w:w="80" w:type="dxa"/>
              <w:end w:w="120" w:type="dxa"/>
            </w:tcMar>
            <w:vAlign w:val="center"/>
          </w:tcPr>
          <w:p>
            <w:pPr>
              <w:spacing w:after="0"/>
            </w:pPr>
            <w:r>
              <w:rPr>
                <w:rFonts w:ascii="Calibri" w:hAnsi="Calibri"/>
                <w:color w:val="1F2937"/>
                <w:sz w:val="18"/>
              </w:rPr>
              <w:t>Concrete guardrails and cleanup plan.</w:t>
            </w:r>
          </w:p>
        </w:tc>
      </w:tr>
    </w:tbl>
    <w:p>
      <w:pPr>
        <w:spacing w:after="40"/>
      </w:pPr>
    </w:p>
    <w:p>
      <w:pPr>
        <w:pStyle w:val="Heading2"/>
      </w:pPr>
      <w:r>
        <w:t>3. Capstone - Retail Lakehouse</w:t>
      </w:r>
    </w:p>
    <w:p>
      <w:r>
        <w:rPr>
          <w:i w:val="0"/>
        </w:rPr>
        <w:t>Teams design and demonstrate an end-to-end solution for a retailer receiving daily order files and real-time order events. The client needs governed curated data, a sales dashboard, an anomaly/fraud feature dataset and an operational alert.</w:t>
      </w:r>
    </w:p>
    <w:p>
      <w:pPr>
        <w:pStyle w:val="Heading3"/>
      </w:pPr>
      <w:r>
        <w:t>Required flow</w:t>
      </w:r>
    </w:p>
    <w:p>
      <w:pPr>
        <w:pStyle w:val="ListBullet"/>
      </w:pPr>
      <w:r>
        <w:t>ADLS/Event Hubs source -&gt; Bronze incremental ingestion.</w:t>
      </w:r>
    </w:p>
    <w:p>
      <w:pPr>
        <w:pStyle w:val="ListBullet"/>
      </w:pPr>
      <w:r>
        <w:t>Silver validation, parsing, deduplication, customer enrichment and quarantine strategy.</w:t>
      </w:r>
    </w:p>
    <w:p>
      <w:pPr>
        <w:pStyle w:val="ListBullet"/>
      </w:pPr>
      <w:r>
        <w:t>Gold revenue/customer/category outputs and an AI/BI dashboard.</w:t>
      </w:r>
    </w:p>
    <w:p>
      <w:pPr>
        <w:pStyle w:val="ListBullet"/>
      </w:pPr>
      <w:r>
        <w:t>Lakeflow Job or pipeline with parameters, run identity, notifications and recovery path.</w:t>
      </w:r>
    </w:p>
    <w:p>
      <w:pPr>
        <w:pStyle w:val="ListBullet"/>
      </w:pPr>
      <w:r>
        <w:t>Unity Catalog permissions and a managed-identity storage connection.</w:t>
      </w:r>
    </w:p>
    <w:p>
      <w:pPr>
        <w:pStyle w:val="ListBullet"/>
      </w:pPr>
      <w:r>
        <w:t>Streaming window output with checkpoint and monitoring metrics.</w:t>
      </w:r>
    </w:p>
    <w:p>
      <w:pPr>
        <w:pStyle w:val="ListBullet"/>
      </w:pPr>
      <w:r>
        <w:t>Terraform or bundle definition for at least one deployable resource.</w:t>
      </w:r>
    </w:p>
    <w:p>
      <w:pPr>
        <w:pStyle w:val="ListBullet"/>
      </w:pPr>
      <w:r>
        <w:t>Cost estimate approach, tags, auto-stop and cleanup ownership.</w:t>
      </w:r>
    </w:p>
    <w:p>
      <w:pPr>
        <w:pStyle w:val="Heading3"/>
      </w:pPr>
      <w:r>
        <w:t>Presentation rubric</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cantSplit/>
        </w:trPr>
        <w:tc>
          <w:tcPr>
            <w:tcW w:type="dxa" w:w="2700"/>
            <w:tcMar>
              <w:top w:w="80" w:type="dxa"/>
              <w:start w:w="120" w:type="dxa"/>
              <w:bottom w:w="80" w:type="dxa"/>
              <w:end w:w="120" w:type="dxa"/>
            </w:tcMar>
            <w:vAlign w:val="center"/>
            <w:shd w:fill="E8EEF5"/>
          </w:tcPr>
          <w:p>
            <w:pPr>
              <w:spacing w:after="0"/>
            </w:pPr>
            <w:r>
              <w:rPr>
                <w:rFonts w:ascii="Calibri" w:hAnsi="Calibri"/>
                <w:b/>
                <w:color w:val="163A5F"/>
                <w:sz w:val="18"/>
              </w:rPr>
              <w:t>Criterion</w:t>
            </w:r>
          </w:p>
        </w:tc>
        <w:tc>
          <w:tcPr>
            <w:tcW w:type="dxa" w:w="1100"/>
            <w:tcMar>
              <w:top w:w="80" w:type="dxa"/>
              <w:start w:w="120" w:type="dxa"/>
              <w:bottom w:w="80" w:type="dxa"/>
              <w:end w:w="120" w:type="dxa"/>
            </w:tcMar>
            <w:vAlign w:val="center"/>
            <w:shd w:fill="E8EEF5"/>
          </w:tcPr>
          <w:p>
            <w:pPr>
              <w:spacing w:after="0"/>
            </w:pPr>
            <w:r>
              <w:rPr>
                <w:rFonts w:ascii="Calibri" w:hAnsi="Calibri"/>
                <w:b/>
                <w:color w:val="163A5F"/>
                <w:sz w:val="18"/>
              </w:rPr>
              <w:t>Weight</w:t>
            </w:r>
          </w:p>
        </w:tc>
        <w:tc>
          <w:tcPr>
            <w:tcW w:type="dxa" w:w="5560"/>
            <w:tcMar>
              <w:top w:w="80" w:type="dxa"/>
              <w:start w:w="120" w:type="dxa"/>
              <w:bottom w:w="80" w:type="dxa"/>
              <w:end w:w="120" w:type="dxa"/>
            </w:tcMar>
            <w:vAlign w:val="center"/>
            <w:shd w:fill="E8EEF5"/>
          </w:tcPr>
          <w:p>
            <w:pPr>
              <w:spacing w:after="0"/>
            </w:pPr>
            <w:r>
              <w:rPr>
                <w:rFonts w:ascii="Calibri" w:hAnsi="Calibri"/>
                <w:b/>
                <w:color w:val="163A5F"/>
                <w:sz w:val="18"/>
              </w:rPr>
              <w:t>What good looks like</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Correctness</w:t>
            </w:r>
          </w:p>
        </w:tc>
        <w:tc>
          <w:tcPr>
            <w:tcW w:type="dxa" w:w="1100"/>
            <w:tcMar>
              <w:top w:w="80" w:type="dxa"/>
              <w:start w:w="120" w:type="dxa"/>
              <w:bottom w:w="80" w:type="dxa"/>
              <w:end w:w="120" w:type="dxa"/>
            </w:tcMar>
            <w:vAlign w:val="center"/>
          </w:tcPr>
          <w:p>
            <w:pPr>
              <w:spacing w:after="0"/>
            </w:pPr>
            <w:r>
              <w:rPr>
                <w:rFonts w:ascii="Calibri" w:hAnsi="Calibri"/>
                <w:color w:val="1F2937"/>
                <w:sz w:val="17"/>
              </w:rPr>
              <w:t>25%</w:t>
            </w:r>
          </w:p>
        </w:tc>
        <w:tc>
          <w:tcPr>
            <w:tcW w:type="dxa" w:w="5560"/>
            <w:tcMar>
              <w:top w:w="80" w:type="dxa"/>
              <w:start w:w="120" w:type="dxa"/>
              <w:bottom w:w="80" w:type="dxa"/>
              <w:end w:w="120" w:type="dxa"/>
            </w:tcMar>
            <w:vAlign w:val="center"/>
          </w:tcPr>
          <w:p>
            <w:pPr>
              <w:spacing w:after="0"/>
            </w:pPr>
            <w:r>
              <w:rPr>
                <w:rFonts w:ascii="Calibri" w:hAnsi="Calibri"/>
                <w:color w:val="1F2937"/>
                <w:sz w:val="17"/>
              </w:rPr>
              <w:t>Counts reconcile, transformations are deterministic and reruns do not duplicate data.</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Architecture</w:t>
            </w:r>
          </w:p>
        </w:tc>
        <w:tc>
          <w:tcPr>
            <w:tcW w:type="dxa" w:w="1100"/>
            <w:tcMar>
              <w:top w:w="80" w:type="dxa"/>
              <w:start w:w="120" w:type="dxa"/>
              <w:bottom w:w="80" w:type="dxa"/>
              <w:end w:w="120" w:type="dxa"/>
            </w:tcMar>
            <w:vAlign w:val="center"/>
          </w:tcPr>
          <w:p>
            <w:pPr>
              <w:spacing w:after="0"/>
            </w:pPr>
            <w:r>
              <w:rPr>
                <w:rFonts w:ascii="Calibri" w:hAnsi="Calibri"/>
                <w:color w:val="1F2937"/>
                <w:sz w:val="17"/>
              </w:rPr>
              <w:t>20%</w:t>
            </w:r>
          </w:p>
        </w:tc>
        <w:tc>
          <w:tcPr>
            <w:tcW w:type="dxa" w:w="5560"/>
            <w:tcMar>
              <w:top w:w="80" w:type="dxa"/>
              <w:start w:w="120" w:type="dxa"/>
              <w:bottom w:w="80" w:type="dxa"/>
              <w:end w:w="120" w:type="dxa"/>
            </w:tcMar>
            <w:vAlign w:val="center"/>
          </w:tcPr>
          <w:p>
            <w:pPr>
              <w:spacing w:after="0"/>
            </w:pPr>
            <w:r>
              <w:rPr>
                <w:rFonts w:ascii="Calibri" w:hAnsi="Calibri"/>
                <w:color w:val="1F2937"/>
                <w:sz w:val="17"/>
              </w:rPr>
              <w:t>Boundaries, identities, data paths and failure handling are explicit.</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Governance/security</w:t>
            </w:r>
          </w:p>
        </w:tc>
        <w:tc>
          <w:tcPr>
            <w:tcW w:type="dxa" w:w="1100"/>
            <w:tcMar>
              <w:top w:w="80" w:type="dxa"/>
              <w:start w:w="120" w:type="dxa"/>
              <w:bottom w:w="80" w:type="dxa"/>
              <w:end w:w="120" w:type="dxa"/>
            </w:tcMar>
            <w:vAlign w:val="center"/>
          </w:tcPr>
          <w:p>
            <w:pPr>
              <w:spacing w:after="0"/>
            </w:pPr>
            <w:r>
              <w:rPr>
                <w:rFonts w:ascii="Calibri" w:hAnsi="Calibri"/>
                <w:color w:val="1F2937"/>
                <w:sz w:val="17"/>
              </w:rPr>
              <w:t>15%</w:t>
            </w:r>
          </w:p>
        </w:tc>
        <w:tc>
          <w:tcPr>
            <w:tcW w:type="dxa" w:w="5560"/>
            <w:tcMar>
              <w:top w:w="80" w:type="dxa"/>
              <w:start w:w="120" w:type="dxa"/>
              <w:bottom w:w="80" w:type="dxa"/>
              <w:end w:w="120" w:type="dxa"/>
            </w:tcMar>
            <w:vAlign w:val="center"/>
          </w:tcPr>
          <w:p>
            <w:pPr>
              <w:spacing w:after="0"/>
            </w:pPr>
            <w:r>
              <w:rPr>
                <w:rFonts w:ascii="Calibri" w:hAnsi="Calibri"/>
                <w:color w:val="1F2937"/>
                <w:sz w:val="17"/>
              </w:rPr>
              <w:t>Group grants, managed identity, no embedded credentials and clear sensitive-data handling.</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Reliability/observability</w:t>
            </w:r>
          </w:p>
        </w:tc>
        <w:tc>
          <w:tcPr>
            <w:tcW w:type="dxa" w:w="1100"/>
            <w:tcMar>
              <w:top w:w="80" w:type="dxa"/>
              <w:start w:w="120" w:type="dxa"/>
              <w:bottom w:w="80" w:type="dxa"/>
              <w:end w:w="120" w:type="dxa"/>
            </w:tcMar>
            <w:vAlign w:val="center"/>
          </w:tcPr>
          <w:p>
            <w:pPr>
              <w:spacing w:after="0"/>
            </w:pPr>
            <w:r>
              <w:rPr>
                <w:rFonts w:ascii="Calibri" w:hAnsi="Calibri"/>
                <w:color w:val="1F2937"/>
                <w:sz w:val="17"/>
              </w:rPr>
              <w:t>15%</w:t>
            </w:r>
          </w:p>
        </w:tc>
        <w:tc>
          <w:tcPr>
            <w:tcW w:type="dxa" w:w="5560"/>
            <w:tcMar>
              <w:top w:w="80" w:type="dxa"/>
              <w:start w:w="120" w:type="dxa"/>
              <w:bottom w:w="80" w:type="dxa"/>
              <w:end w:w="120" w:type="dxa"/>
            </w:tcMar>
            <w:vAlign w:val="center"/>
          </w:tcPr>
          <w:p>
            <w:pPr>
              <w:spacing w:after="0"/>
            </w:pPr>
            <w:r>
              <w:rPr>
                <w:rFonts w:ascii="Calibri" w:hAnsi="Calibri"/>
                <w:color w:val="1F2937"/>
                <w:sz w:val="17"/>
              </w:rPr>
              <w:t>Quality rules, checkpoints, metrics, alerting and recovery are demonstrated.</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Performance/cost</w:t>
            </w:r>
          </w:p>
        </w:tc>
        <w:tc>
          <w:tcPr>
            <w:tcW w:type="dxa" w:w="1100"/>
            <w:tcMar>
              <w:top w:w="80" w:type="dxa"/>
              <w:start w:w="120" w:type="dxa"/>
              <w:bottom w:w="80" w:type="dxa"/>
              <w:end w:w="120" w:type="dxa"/>
            </w:tcMar>
            <w:vAlign w:val="center"/>
          </w:tcPr>
          <w:p>
            <w:pPr>
              <w:spacing w:after="0"/>
            </w:pPr>
            <w:r>
              <w:rPr>
                <w:rFonts w:ascii="Calibri" w:hAnsi="Calibri"/>
                <w:color w:val="1F2937"/>
                <w:sz w:val="17"/>
              </w:rPr>
              <w:t>15%</w:t>
            </w:r>
          </w:p>
        </w:tc>
        <w:tc>
          <w:tcPr>
            <w:tcW w:type="dxa" w:w="5560"/>
            <w:tcMar>
              <w:top w:w="80" w:type="dxa"/>
              <w:start w:w="120" w:type="dxa"/>
              <w:bottom w:w="80" w:type="dxa"/>
              <w:end w:w="120" w:type="dxa"/>
            </w:tcMar>
            <w:vAlign w:val="center"/>
          </w:tcPr>
          <w:p>
            <w:pPr>
              <w:spacing w:after="0"/>
            </w:pPr>
            <w:r>
              <w:rPr>
                <w:rFonts w:ascii="Calibri" w:hAnsi="Calibri"/>
                <w:color w:val="1F2937"/>
                <w:sz w:val="17"/>
              </w:rPr>
              <w:t>Compute and layout decisions are evidence-based, with idle-cost controls.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1F2937"/>
                <w:sz w:val="17"/>
              </w:rPr>
              <w:t>Communication</w:t>
            </w:r>
          </w:p>
        </w:tc>
        <w:tc>
          <w:tcPr>
            <w:tcW w:type="dxa" w:w="1100"/>
            <w:tcMar>
              <w:top w:w="80" w:type="dxa"/>
              <w:start w:w="120" w:type="dxa"/>
              <w:bottom w:w="80" w:type="dxa"/>
              <w:end w:w="120" w:type="dxa"/>
            </w:tcMar>
            <w:vAlign w:val="center"/>
          </w:tcPr>
          <w:p>
            <w:pPr>
              <w:spacing w:after="0"/>
            </w:pPr>
            <w:r>
              <w:rPr>
                <w:rFonts w:ascii="Calibri" w:hAnsi="Calibri"/>
                <w:color w:val="1F2937"/>
                <w:sz w:val="17"/>
              </w:rPr>
              <w:t>10%</w:t>
            </w:r>
          </w:p>
        </w:tc>
        <w:tc>
          <w:tcPr>
            <w:tcW w:type="dxa" w:w="5560"/>
            <w:tcMar>
              <w:top w:w="80" w:type="dxa"/>
              <w:start w:w="120" w:type="dxa"/>
              <w:bottom w:w="80" w:type="dxa"/>
              <w:end w:w="120" w:type="dxa"/>
            </w:tcMar>
            <w:vAlign w:val="center"/>
          </w:tcPr>
          <w:p>
            <w:pPr>
              <w:spacing w:after="0"/>
            </w:pPr>
            <w:r>
              <w:rPr>
                <w:rFonts w:ascii="Calibri" w:hAnsi="Calibri"/>
                <w:color w:val="1F2937"/>
                <w:sz w:val="17"/>
              </w:rPr>
              <w:t>The team explains business value and technical tradeoffs clearly.</w:t>
            </w:r>
          </w:p>
        </w:tc>
      </w:tr>
    </w:tbl>
    <w:p>
      <w:pPr>
        <w:spacing w:after="40"/>
      </w:pPr>
    </w:p>
    <w:p>
      <w:pPr>
        <w:pStyle w:val="Heading2"/>
      </w:pPr>
      <w:r>
        <w:t>4. Common classroom failures and fixes</w:t>
      </w:r>
    </w:p>
    <w:tbl>
      <w:tblPr>
        <w:tblStyle w:val="TableGrid"/>
        <w:tblW w:type="dxa" w:w="9360"/>
        <w:tblLayout w:type="fixed"/>
        <w:tblLook w:firstColumn="1" w:firstRow="1" w:lastColumn="0" w:lastRow="0" w:noHBand="0" w:noVBand="1" w:val="04A0"/>
        <w:jc w:val="left"/>
        <w:tblInd w:w="120" w:type="dxa"/>
      </w:tblPr>
      <w:tblGrid>
        <w:gridCol w:w="1900"/>
        <w:gridCol w:w="3000"/>
        <w:gridCol w:w="4460"/>
      </w:tblGrid>
      <w:tr>
        <w:trPr>
          <w:tblHeader w:val="true"/>
          <w:cantSplit/>
        </w:trPr>
        <w:tc>
          <w:tcPr>
            <w:tcW w:type="dxa" w:w="1900"/>
            <w:tcMar>
              <w:top w:w="80" w:type="dxa"/>
              <w:start w:w="120" w:type="dxa"/>
              <w:bottom w:w="80" w:type="dxa"/>
              <w:end w:w="120" w:type="dxa"/>
            </w:tcMar>
            <w:vAlign w:val="center"/>
            <w:shd w:fill="E8EEF5"/>
          </w:tcPr>
          <w:p>
            <w:pPr>
              <w:spacing w:after="0"/>
            </w:pPr>
            <w:r>
              <w:rPr>
                <w:rFonts w:ascii="Calibri" w:hAnsi="Calibri"/>
                <w:b/>
                <w:color w:val="163A5F"/>
                <w:sz w:val="18"/>
              </w:rPr>
              <w:t>Symptom</w:t>
            </w:r>
          </w:p>
        </w:tc>
        <w:tc>
          <w:tcPr>
            <w:tcW w:type="dxa" w:w="3000"/>
            <w:tcMar>
              <w:top w:w="80" w:type="dxa"/>
              <w:start w:w="120" w:type="dxa"/>
              <w:bottom w:w="80" w:type="dxa"/>
              <w:end w:w="120" w:type="dxa"/>
            </w:tcMar>
            <w:vAlign w:val="center"/>
            <w:shd w:fill="E8EEF5"/>
          </w:tcPr>
          <w:p>
            <w:pPr>
              <w:spacing w:after="0"/>
            </w:pPr>
            <w:r>
              <w:rPr>
                <w:rFonts w:ascii="Calibri" w:hAnsi="Calibri"/>
                <w:b/>
                <w:color w:val="163A5F"/>
                <w:sz w:val="18"/>
              </w:rPr>
              <w:t>Likely cause</w:t>
            </w:r>
          </w:p>
        </w:tc>
        <w:tc>
          <w:tcPr>
            <w:tcW w:type="dxa" w:w="4460"/>
            <w:tcMar>
              <w:top w:w="80" w:type="dxa"/>
              <w:start w:w="120" w:type="dxa"/>
              <w:bottom w:w="80" w:type="dxa"/>
              <w:end w:w="120" w:type="dxa"/>
            </w:tcMar>
            <w:vAlign w:val="center"/>
            <w:shd w:fill="E8EEF5"/>
          </w:tcPr>
          <w:p>
            <w:pPr>
              <w:spacing w:after="0"/>
            </w:pPr>
            <w:r>
              <w:rPr>
                <w:rFonts w:ascii="Calibri" w:hAnsi="Calibri"/>
                <w:b/>
                <w:color w:val="163A5F"/>
                <w:sz w:val="18"/>
              </w:rPr>
              <w:t>Trainer response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Cannot create schema/table</w:t>
            </w:r>
          </w:p>
        </w:tc>
        <w:tc>
          <w:tcPr>
            <w:tcW w:type="dxa" w:w="3000"/>
            <w:tcMar>
              <w:top w:w="80" w:type="dxa"/>
              <w:start w:w="120" w:type="dxa"/>
              <w:bottom w:w="80" w:type="dxa"/>
              <w:end w:w="120" w:type="dxa"/>
            </w:tcMar>
            <w:vAlign w:val="center"/>
          </w:tcPr>
          <w:p>
            <w:pPr>
              <w:spacing w:after="0"/>
            </w:pPr>
            <w:r>
              <w:rPr>
                <w:rFonts w:ascii="Calibri" w:hAnsi="Calibri"/>
                <w:color w:val="1F2937"/>
                <w:sz w:val="16"/>
              </w:rPr>
              <w:t>Missing Unity Catalog privilege or wrong catalog.</w:t>
            </w:r>
          </w:p>
        </w:tc>
        <w:tc>
          <w:tcPr>
            <w:tcW w:type="dxa" w:w="4460"/>
            <w:tcMar>
              <w:top w:w="80" w:type="dxa"/>
              <w:start w:w="120" w:type="dxa"/>
              <w:bottom w:w="80" w:type="dxa"/>
              <w:end w:w="120" w:type="dxa"/>
            </w:tcMar>
            <w:vAlign w:val="center"/>
          </w:tcPr>
          <w:p>
            <w:pPr>
              <w:spacing w:after="0"/>
            </w:pPr>
            <w:r>
              <w:rPr>
                <w:rFonts w:ascii="Calibri" w:hAnsi="Calibri"/>
                <w:color w:val="1F2937"/>
                <w:sz w:val="16"/>
              </w:rPr>
              <w:t>Run current_user/current_catalog/current_schema; verify group grant; do not make the learner admin.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Notebook has no compute</w:t>
            </w:r>
          </w:p>
        </w:tc>
        <w:tc>
          <w:tcPr>
            <w:tcW w:type="dxa" w:w="3000"/>
            <w:tcMar>
              <w:top w:w="80" w:type="dxa"/>
              <w:start w:w="120" w:type="dxa"/>
              <w:bottom w:w="80" w:type="dxa"/>
              <w:end w:w="120" w:type="dxa"/>
            </w:tcMar>
            <w:vAlign w:val="center"/>
          </w:tcPr>
          <w:p>
            <w:pPr>
              <w:spacing w:after="0"/>
            </w:pPr>
            <w:r>
              <w:rPr>
                <w:rFonts w:ascii="Calibri" w:hAnsi="Calibri"/>
                <w:color w:val="1F2937"/>
                <w:sz w:val="16"/>
              </w:rPr>
              <w:t>No entitlement, serverless not enabled or no policy permission.</w:t>
            </w:r>
          </w:p>
        </w:tc>
        <w:tc>
          <w:tcPr>
            <w:tcW w:type="dxa" w:w="4460"/>
            <w:tcMar>
              <w:top w:w="80" w:type="dxa"/>
              <w:start w:w="120" w:type="dxa"/>
              <w:bottom w:w="80" w:type="dxa"/>
              <w:end w:w="120" w:type="dxa"/>
            </w:tcMar>
            <w:vAlign w:val="center"/>
          </w:tcPr>
          <w:p>
            <w:pPr>
              <w:spacing w:after="0"/>
            </w:pPr>
            <w:r>
              <w:rPr>
                <w:rFonts w:ascii="Calibri" w:hAnsi="Calibri"/>
                <w:color w:val="1F2937"/>
                <w:sz w:val="16"/>
              </w:rPr>
              <w:t>Assign approved compute access; avoid unrestricted create-compute permission.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ADLS 403</w:t>
            </w:r>
          </w:p>
        </w:tc>
        <w:tc>
          <w:tcPr>
            <w:tcW w:type="dxa" w:w="3000"/>
            <w:tcMar>
              <w:top w:w="80" w:type="dxa"/>
              <w:start w:w="120" w:type="dxa"/>
              <w:bottom w:w="80" w:type="dxa"/>
              <w:end w:w="120" w:type="dxa"/>
            </w:tcMar>
            <w:vAlign w:val="center"/>
          </w:tcPr>
          <w:p>
            <w:pPr>
              <w:spacing w:after="0"/>
            </w:pPr>
            <w:r>
              <w:rPr>
                <w:rFonts w:ascii="Calibri" w:hAnsi="Calibri"/>
                <w:color w:val="1F2937"/>
                <w:sz w:val="16"/>
              </w:rPr>
              <w:t>Role assignment scope/propagation, wrong managed identity, external location path mismatch or storage network rule.</w:t>
            </w:r>
          </w:p>
        </w:tc>
        <w:tc>
          <w:tcPr>
            <w:tcW w:type="dxa" w:w="4460"/>
            <w:tcMar>
              <w:top w:w="80" w:type="dxa"/>
              <w:start w:w="120" w:type="dxa"/>
              <w:bottom w:w="80" w:type="dxa"/>
              <w:end w:w="120" w:type="dxa"/>
            </w:tcMar>
            <w:vAlign w:val="center"/>
          </w:tcPr>
          <w:p>
            <w:pPr>
              <w:spacing w:after="0"/>
            </w:pPr>
            <w:r>
              <w:rPr>
                <w:rFonts w:ascii="Calibri" w:hAnsi="Calibri"/>
                <w:color w:val="1F2937"/>
                <w:sz w:val="16"/>
              </w:rPr>
              <w:t>Trace identity -&gt; Azure role -&gt; storage credential -&gt; external location -&gt; volume. Wait for propagation and retest the smallest path.</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Schema mismatch on write</w:t>
            </w:r>
          </w:p>
        </w:tc>
        <w:tc>
          <w:tcPr>
            <w:tcW w:type="dxa" w:w="3000"/>
            <w:tcMar>
              <w:top w:w="80" w:type="dxa"/>
              <w:start w:w="120" w:type="dxa"/>
              <w:bottom w:w="80" w:type="dxa"/>
              <w:end w:w="120" w:type="dxa"/>
            </w:tcMar>
            <w:vAlign w:val="center"/>
          </w:tcPr>
          <w:p>
            <w:pPr>
              <w:spacing w:after="0"/>
            </w:pPr>
            <w:r>
              <w:rPr>
                <w:rFonts w:ascii="Calibri" w:hAnsi="Calibri"/>
                <w:color w:val="1F2937"/>
                <w:sz w:val="16"/>
              </w:rPr>
              <w:t>Source type changed or new column appeared.</w:t>
            </w:r>
          </w:p>
        </w:tc>
        <w:tc>
          <w:tcPr>
            <w:tcW w:type="dxa" w:w="4460"/>
            <w:tcMar>
              <w:top w:w="80" w:type="dxa"/>
              <w:start w:w="120" w:type="dxa"/>
              <w:bottom w:w="80" w:type="dxa"/>
              <w:end w:w="120" w:type="dxa"/>
            </w:tcMar>
            <w:vAlign w:val="center"/>
          </w:tcPr>
          <w:p>
            <w:pPr>
              <w:spacing w:after="0"/>
            </w:pPr>
            <w:r>
              <w:rPr>
                <w:rFonts w:ascii="Calibri" w:hAnsi="Calibri"/>
                <w:color w:val="1F2937"/>
                <w:sz w:val="16"/>
              </w:rPr>
              <w:t>Inspect incoming schema; choose enforcement, explicit cast or intentional mergeSchema. Never enable evolution blindly.</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Many tiny files</w:t>
            </w:r>
          </w:p>
        </w:tc>
        <w:tc>
          <w:tcPr>
            <w:tcW w:type="dxa" w:w="3000"/>
            <w:tcMar>
              <w:top w:w="80" w:type="dxa"/>
              <w:start w:w="120" w:type="dxa"/>
              <w:bottom w:w="80" w:type="dxa"/>
              <w:end w:w="120" w:type="dxa"/>
            </w:tcMar>
            <w:vAlign w:val="center"/>
          </w:tcPr>
          <w:p>
            <w:pPr>
              <w:spacing w:after="0"/>
            </w:pPr>
            <w:r>
              <w:rPr>
                <w:rFonts w:ascii="Calibri" w:hAnsi="Calibri"/>
                <w:color w:val="1F2937"/>
                <w:sz w:val="16"/>
              </w:rPr>
              <w:t>Frequent small writes or over-partitioning.</w:t>
            </w:r>
          </w:p>
        </w:tc>
        <w:tc>
          <w:tcPr>
            <w:tcW w:type="dxa" w:w="4460"/>
            <w:tcMar>
              <w:top w:w="80" w:type="dxa"/>
              <w:start w:w="120" w:type="dxa"/>
              <w:bottom w:w="80" w:type="dxa"/>
              <w:end w:w="120" w:type="dxa"/>
            </w:tcMar>
            <w:vAlign w:val="center"/>
          </w:tcPr>
          <w:p>
            <w:pPr>
              <w:spacing w:after="0"/>
            </w:pPr>
            <w:r>
              <w:rPr>
                <w:rFonts w:ascii="Calibri" w:hAnsi="Calibri"/>
                <w:color w:val="1F2937"/>
                <w:sz w:val="16"/>
              </w:rPr>
              <w:t>Use optimized writes/compaction, fewer partitions and a better clustering strategy.</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Slow join / executor spill</w:t>
            </w:r>
          </w:p>
        </w:tc>
        <w:tc>
          <w:tcPr>
            <w:tcW w:type="dxa" w:w="3000"/>
            <w:tcMar>
              <w:top w:w="80" w:type="dxa"/>
              <w:start w:w="120" w:type="dxa"/>
              <w:bottom w:w="80" w:type="dxa"/>
              <w:end w:w="120" w:type="dxa"/>
            </w:tcMar>
            <w:vAlign w:val="center"/>
          </w:tcPr>
          <w:p>
            <w:pPr>
              <w:spacing w:after="0"/>
            </w:pPr>
            <w:r>
              <w:rPr>
                <w:rFonts w:ascii="Calibri" w:hAnsi="Calibri"/>
                <w:color w:val="1F2937"/>
                <w:sz w:val="16"/>
              </w:rPr>
              <w:t>Large shuffle, skew, bad join order or insufficient memory.</w:t>
            </w:r>
          </w:p>
        </w:tc>
        <w:tc>
          <w:tcPr>
            <w:tcW w:type="dxa" w:w="4460"/>
            <w:tcMar>
              <w:top w:w="80" w:type="dxa"/>
              <w:start w:w="120" w:type="dxa"/>
              <w:bottom w:w="80" w:type="dxa"/>
              <w:end w:w="120" w:type="dxa"/>
            </w:tcMar>
            <w:vAlign w:val="center"/>
          </w:tcPr>
          <w:p>
            <w:pPr>
              <w:spacing w:after="0"/>
            </w:pPr>
            <w:r>
              <w:rPr>
                <w:rFonts w:ascii="Calibri" w:hAnsi="Calibri"/>
                <w:color w:val="1F2937"/>
                <w:sz w:val="16"/>
              </w:rPr>
              <w:t>Inspect plan/UI; filter/project early, broadcast small dimension, handle skew, then resize if needed.</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Streaming query reprocesses</w:t>
            </w:r>
          </w:p>
        </w:tc>
        <w:tc>
          <w:tcPr>
            <w:tcW w:type="dxa" w:w="3000"/>
            <w:tcMar>
              <w:top w:w="80" w:type="dxa"/>
              <w:start w:w="120" w:type="dxa"/>
              <w:bottom w:w="80" w:type="dxa"/>
              <w:end w:w="120" w:type="dxa"/>
            </w:tcMar>
            <w:vAlign w:val="center"/>
          </w:tcPr>
          <w:p>
            <w:pPr>
              <w:spacing w:after="0"/>
            </w:pPr>
            <w:r>
              <w:rPr>
                <w:rFonts w:ascii="Calibri" w:hAnsi="Calibri"/>
                <w:color w:val="1F2937"/>
                <w:sz w:val="16"/>
              </w:rPr>
              <w:t>Checkpoint deleted/changed or new query identity.</w:t>
            </w:r>
          </w:p>
        </w:tc>
        <w:tc>
          <w:tcPr>
            <w:tcW w:type="dxa" w:w="4460"/>
            <w:tcMar>
              <w:top w:w="80" w:type="dxa"/>
              <w:start w:w="120" w:type="dxa"/>
              <w:bottom w:w="80" w:type="dxa"/>
              <w:end w:w="120" w:type="dxa"/>
            </w:tcMar>
            <w:vAlign w:val="center"/>
          </w:tcPr>
          <w:p>
            <w:pPr>
              <w:spacing w:after="0"/>
            </w:pPr>
            <w:r>
              <w:rPr>
                <w:rFonts w:ascii="Calibri" w:hAnsi="Calibri"/>
                <w:color w:val="1F2937"/>
                <w:sz w:val="16"/>
              </w:rPr>
              <w:t>Restore the intended checkpoint or treat as a controlled replay. Never point unrelated queries at the same checkpoint.</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SQL dashboard slow</w:t>
            </w:r>
          </w:p>
        </w:tc>
        <w:tc>
          <w:tcPr>
            <w:tcW w:type="dxa" w:w="3000"/>
            <w:tcMar>
              <w:top w:w="80" w:type="dxa"/>
              <w:start w:w="120" w:type="dxa"/>
              <w:bottom w:w="80" w:type="dxa"/>
              <w:end w:w="120" w:type="dxa"/>
            </w:tcMar>
            <w:vAlign w:val="center"/>
          </w:tcPr>
          <w:p>
            <w:pPr>
              <w:spacing w:after="0"/>
            </w:pPr>
            <w:r>
              <w:rPr>
                <w:rFonts w:ascii="Calibri" w:hAnsi="Calibri"/>
                <w:color w:val="1F2937"/>
                <w:sz w:val="16"/>
              </w:rPr>
              <w:t>Warehouse cold start, large scan, inefficient dataset or concurrency.</w:t>
            </w:r>
          </w:p>
        </w:tc>
        <w:tc>
          <w:tcPr>
            <w:tcW w:type="dxa" w:w="4460"/>
            <w:tcMar>
              <w:top w:w="80" w:type="dxa"/>
              <w:start w:w="120" w:type="dxa"/>
              <w:bottom w:w="80" w:type="dxa"/>
              <w:end w:w="120" w:type="dxa"/>
            </w:tcMar>
            <w:vAlign w:val="center"/>
          </w:tcPr>
          <w:p>
            <w:pPr>
              <w:spacing w:after="0"/>
            </w:pPr>
            <w:r>
              <w:rPr>
                <w:rFonts w:ascii="Calibri" w:hAnsi="Calibri"/>
                <w:color w:val="1F2937"/>
                <w:sz w:val="16"/>
              </w:rPr>
              <w:t>Use serverless warehouse, optimize dataset/table, reduce scanned columns/rows and measure profile.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Genie answer weak</w:t>
            </w:r>
          </w:p>
        </w:tc>
        <w:tc>
          <w:tcPr>
            <w:tcW w:type="dxa" w:w="3000"/>
            <w:tcMar>
              <w:top w:w="80" w:type="dxa"/>
              <w:start w:w="120" w:type="dxa"/>
              <w:bottom w:w="80" w:type="dxa"/>
              <w:end w:w="120" w:type="dxa"/>
            </w:tcMar>
            <w:vAlign w:val="center"/>
          </w:tcPr>
          <w:p>
            <w:pPr>
              <w:spacing w:after="0"/>
            </w:pPr>
            <w:r>
              <w:rPr>
                <w:rFonts w:ascii="Calibri" w:hAnsi="Calibri"/>
                <w:color w:val="1F2937"/>
                <w:sz w:val="16"/>
              </w:rPr>
              <w:t>Poor descriptions, ambiguous metrics or missing verified queries.</w:t>
            </w:r>
          </w:p>
        </w:tc>
        <w:tc>
          <w:tcPr>
            <w:tcW w:type="dxa" w:w="4460"/>
            <w:tcMar>
              <w:top w:w="80" w:type="dxa"/>
              <w:start w:w="120" w:type="dxa"/>
              <w:bottom w:w="80" w:type="dxa"/>
              <w:end w:w="120" w:type="dxa"/>
            </w:tcMar>
            <w:vAlign w:val="center"/>
          </w:tcPr>
          <w:p>
            <w:pPr>
              <w:spacing w:after="0"/>
            </w:pPr>
            <w:r>
              <w:rPr>
                <w:rFonts w:ascii="Calibri" w:hAnsi="Calibri"/>
                <w:color w:val="1F2937"/>
                <w:sz w:val="16"/>
              </w:rPr>
              <w:t>Improve semantic definitions and verified examples; restrict datasets; do not accept plausible-looking SQL without validation.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6"/>
              </w:rPr>
              <w:t>Unexpected cost</w:t>
            </w:r>
          </w:p>
        </w:tc>
        <w:tc>
          <w:tcPr>
            <w:tcW w:type="dxa" w:w="3000"/>
            <w:tcMar>
              <w:top w:w="80" w:type="dxa"/>
              <w:start w:w="120" w:type="dxa"/>
              <w:bottom w:w="80" w:type="dxa"/>
              <w:end w:w="120" w:type="dxa"/>
            </w:tcMar>
            <w:vAlign w:val="center"/>
          </w:tcPr>
          <w:p>
            <w:pPr>
              <w:spacing w:after="0"/>
            </w:pPr>
            <w:r>
              <w:rPr>
                <w:rFonts w:ascii="Calibri" w:hAnsi="Calibri"/>
                <w:color w:val="1F2937"/>
                <w:sz w:val="16"/>
              </w:rPr>
              <w:t>Compute left running, oversized warehouse, repeated jobs or streaming query not stopped.</w:t>
            </w:r>
          </w:p>
        </w:tc>
        <w:tc>
          <w:tcPr>
            <w:tcW w:type="dxa" w:w="4460"/>
            <w:tcMar>
              <w:top w:w="80" w:type="dxa"/>
              <w:start w:w="120" w:type="dxa"/>
              <w:bottom w:w="80" w:type="dxa"/>
              <w:end w:w="120" w:type="dxa"/>
            </w:tcMar>
            <w:vAlign w:val="center"/>
          </w:tcPr>
          <w:p>
            <w:pPr>
              <w:spacing w:after="0"/>
            </w:pPr>
            <w:r>
              <w:rPr>
                <w:rFonts w:ascii="Calibri" w:hAnsi="Calibri"/>
                <w:color w:val="1F2937"/>
                <w:sz w:val="16"/>
              </w:rPr>
              <w:t>Stop resources, check usage attribution/tags, correct schedule and enforce policy/auto-stop.</w:t>
            </w:r>
          </w:p>
        </w:tc>
      </w:tr>
    </w:tbl>
    <w:p>
      <w:pPr>
        <w:spacing w:after="40"/>
      </w:pPr>
    </w:p>
    <w:p>
      <w:pPr>
        <w:pStyle w:val="Heading2"/>
      </w:pPr>
      <w:r>
        <w:t>5. End-of-day cleanup checklist</w:t>
      </w:r>
    </w:p>
    <w:p>
      <w:pPr>
        <w:pStyle w:val="ListBullet"/>
      </w:pPr>
      <w:r>
        <w:t>Stop active streaming queries: for q in spark.streams.active: q.stop().</w:t>
      </w:r>
    </w:p>
    <w:p>
      <w:pPr>
        <w:pStyle w:val="ListBullet"/>
      </w:pPr>
      <w:r>
        <w:t>Confirm interactive/classic compute is terminated and SQL warehouse auto-stop is active.</w:t>
      </w:r>
    </w:p>
    <w:p>
      <w:pPr>
        <w:pStyle w:val="ListBullet"/>
      </w:pPr>
      <w:r>
        <w:t>Pause high-frequency jobs, pipeline schedules and SQL alerts created only for demonstration.</w:t>
      </w:r>
    </w:p>
    <w:p>
      <w:pPr>
        <w:pStyle w:val="ListBullet"/>
      </w:pPr>
      <w:r>
        <w:t>Review failed jobs and export required evidence before deleting disposable objects.</w:t>
      </w:r>
    </w:p>
    <w:p>
      <w:pPr>
        <w:pStyle w:val="ListBullet"/>
      </w:pPr>
      <w:r>
        <w:t>Check Azure resources created that day and record the owner for final deletion.</w:t>
      </w:r>
    </w:p>
    <w:p>
      <w:pPr>
        <w:pStyle w:val="ListBullet"/>
      </w:pPr>
      <w:r>
        <w:t>Never delete a shared catalog, storage path or resource group without confirming the exact scope and trainer approval.</w:t>
      </w:r>
    </w:p>
    <w:p>
      <w:pPr>
        <w:pStyle w:val="Heading1"/>
        <w:pageBreakBefore/>
      </w:pPr>
      <w:r>
        <w:t>Appendix A - Trainer command reference</w:t>
      </w:r>
    </w:p>
    <w:p>
      <w:pPr>
        <w:pStyle w:val="Heading2"/>
      </w:pPr>
      <w:r>
        <w:t>Identity and namespace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SELECT current_user(), current_catalog(), current_schema();</w:t>
              <w:br/>
              <w:t>SHOW CATALOGS;</w:t>
              <w:br/>
              <w:t>SHOW SCHEMAS IN training_lab;</w:t>
              <w:br/>
              <w:t>SHOW TABLES IN training_lab.student_01;</w:t>
              <w:br/>
              <w:t>SHOW GRANTS ON SCHEMA training_lab.student_01;</w:t>
            </w:r>
          </w:p>
        </w:tc>
      </w:tr>
    </w:tbl>
    <w:p>
      <w:pPr>
        <w:spacing w:after="20"/>
      </w:pPr>
    </w:p>
    <w:p>
      <w:pPr>
        <w:pStyle w:val="Heading2"/>
      </w:pPr>
      <w:r>
        <w:t>Delta inspection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DESCRIBE DETAIL training_lab.student_01.orders_silver;</w:t>
              <w:br/>
              <w:t>DESCRIBE HISTORY training_lab.student_01.orders_silver;</w:t>
              <w:br/>
              <w:t>SHOW TBLPROPERTIES training_lab.student_01.orders_silver;</w:t>
              <w:br/>
              <w:t>SELECT * FROM training_lab.student_01.orders_silver VERSION AS OF 0;</w:t>
            </w:r>
          </w:p>
        </w:tc>
      </w:tr>
    </w:tbl>
    <w:p>
      <w:pPr>
        <w:spacing w:after="20"/>
      </w:pPr>
    </w:p>
    <w:p>
      <w:pPr>
        <w:pStyle w:val="Heading2"/>
      </w:pPr>
      <w:r>
        <w:t>Spark diagnostics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df.explain("formatted")</w:t>
              <w:br/>
              <w:t>spark.conf.get("spark.sql.adaptive.enabled")</w:t>
              <w:br/>
              <w:t>spark.catalog.clearCache()</w:t>
              <w:br/>
              <w:t>[(q.name, q.status) for q in spark.streams.active]</w:t>
            </w:r>
          </w:p>
        </w:tc>
      </w:tr>
    </w:tbl>
    <w:p>
      <w:pPr>
        <w:spacing w:after="20"/>
      </w:pPr>
    </w:p>
    <w:p>
      <w:pPr>
        <w:pStyle w:val="Heading2"/>
      </w:pPr>
      <w:r>
        <w:t>Safe object cleanup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spacing w:after="0" w:line="240" w:lineRule="auto"/>
            </w:pPr>
            <w:r>
              <w:rPr>
                <w:rFonts w:ascii="Consolas" w:hAnsi="Consolas"/>
                <w:color w:val="24292F"/>
                <w:sz w:val="16"/>
              </w:rPr>
              <w:t>-- Replace with your own schema only</w:t>
              <w:br/>
              <w:t>DROP TABLE IF EXISTS training_lab.student_01.rate_events;</w:t>
              <w:br/>
              <w:t>DROP TABLE IF EXISTS training_lab.student_01.orders_large;</w:t>
              <w:br/>
              <w:t>DROP TABLE IF EXISTS training_lab.student_01.orders_large_clustered;</w:t>
              <w:br/>
              <w:br/>
              <w:t>-- Do not drop the schema/catalog until the trainer confirms no shared objects remain.</w:t>
            </w:r>
          </w:p>
        </w:tc>
      </w:tr>
    </w:tbl>
    <w:p>
      <w:pPr>
        <w:spacing w:after="20"/>
      </w:pPr>
    </w:p>
    <w:p>
      <w:pPr>
        <w:pStyle w:val="Heading1"/>
        <w:pageBreakBefore/>
      </w:pPr>
      <w:r>
        <w:t>Appendix B - Trainer preflight checklist</w:t>
      </w:r>
    </w:p>
    <w:tbl>
      <w:tblPr>
        <w:tblStyle w:val="TableGrid"/>
        <w:tblW w:type="dxa" w:w="9360"/>
        <w:tblLayout w:type="fixed"/>
        <w:tblLook w:firstColumn="1" w:firstRow="1" w:lastColumn="0" w:lastRow="0" w:noHBand="0" w:noVBand="1" w:val="04A0"/>
        <w:jc w:val="left"/>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8EEF5"/>
          </w:tcPr>
          <w:p>
            <w:pPr>
              <w:spacing w:after="0"/>
            </w:pPr>
            <w:r>
              <w:rPr>
                <w:rFonts w:ascii="Calibri" w:hAnsi="Calibri"/>
                <w:b/>
                <w:color w:val="163A5F"/>
                <w:sz w:val="18"/>
              </w:rPr>
              <w:t>Check</w:t>
            </w:r>
          </w:p>
        </w:tc>
        <w:tc>
          <w:tcPr>
            <w:tcW w:type="dxa" w:w="6260"/>
            <w:tcMar>
              <w:top w:w="80" w:type="dxa"/>
              <w:start w:w="120" w:type="dxa"/>
              <w:bottom w:w="80" w:type="dxa"/>
              <w:end w:w="120" w:type="dxa"/>
            </w:tcMar>
            <w:vAlign w:val="center"/>
            <w:shd w:fill="E8EEF5"/>
          </w:tcPr>
          <w:p>
            <w:pPr>
              <w:spacing w:after="0"/>
            </w:pPr>
            <w:r>
              <w:rPr>
                <w:rFonts w:ascii="Calibri" w:hAnsi="Calibri"/>
                <w:b/>
                <w:color w:val="163A5F"/>
                <w:sz w:val="18"/>
              </w:rPr>
              <w:t>Pass condition</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Subscription and credits</w:t>
            </w:r>
          </w:p>
        </w:tc>
        <w:tc>
          <w:tcPr>
            <w:tcW w:type="dxa" w:w="6260"/>
            <w:tcMar>
              <w:top w:w="80" w:type="dxa"/>
              <w:start w:w="120" w:type="dxa"/>
              <w:bottom w:w="80" w:type="dxa"/>
              <w:end w:w="120" w:type="dxa"/>
            </w:tcMar>
            <w:vAlign w:val="center"/>
          </w:tcPr>
          <w:p>
            <w:pPr>
              <w:spacing w:after="0"/>
            </w:pPr>
            <w:r>
              <w:rPr>
                <w:rFonts w:ascii="Calibri" w:hAnsi="Calibri"/>
                <w:color w:val="1F2937"/>
                <w:sz w:val="18"/>
              </w:rPr>
              <w:t>Correct subscription selected; budget and owner confirmed.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Region and quota</w:t>
            </w:r>
          </w:p>
        </w:tc>
        <w:tc>
          <w:tcPr>
            <w:tcW w:type="dxa" w:w="6260"/>
            <w:tcMar>
              <w:top w:w="80" w:type="dxa"/>
              <w:start w:w="120" w:type="dxa"/>
              <w:bottom w:w="80" w:type="dxa"/>
              <w:end w:w="120" w:type="dxa"/>
            </w:tcMar>
            <w:vAlign w:val="center"/>
          </w:tcPr>
          <w:p>
            <w:pPr>
              <w:spacing w:after="0"/>
            </w:pPr>
            <w:r>
              <w:rPr>
                <w:rFonts w:ascii="Calibri" w:hAnsi="Calibri"/>
                <w:color w:val="1F2937"/>
                <w:sz w:val="18"/>
              </w:rPr>
              <w:t>Workspace/compute/feature support and VM quota verified.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Network</w:t>
            </w:r>
          </w:p>
        </w:tc>
        <w:tc>
          <w:tcPr>
            <w:tcW w:type="dxa" w:w="6260"/>
            <w:tcMar>
              <w:top w:w="80" w:type="dxa"/>
              <w:start w:w="120" w:type="dxa"/>
              <w:bottom w:w="80" w:type="dxa"/>
              <w:end w:w="120" w:type="dxa"/>
            </w:tcMar>
            <w:vAlign w:val="center"/>
          </w:tcPr>
          <w:p>
            <w:pPr>
              <w:spacing w:after="0"/>
            </w:pPr>
            <w:r>
              <w:rPr>
                <w:rFonts w:ascii="Calibri" w:hAnsi="Calibri"/>
                <w:color w:val="1F2937"/>
                <w:sz w:val="18"/>
              </w:rPr>
              <w:t>Corporate browser access, DNS, firewall and required egress tested from a learner device.</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Identity</w:t>
            </w:r>
          </w:p>
        </w:tc>
        <w:tc>
          <w:tcPr>
            <w:tcW w:type="dxa" w:w="6260"/>
            <w:tcMar>
              <w:top w:w="80" w:type="dxa"/>
              <w:start w:w="120" w:type="dxa"/>
              <w:bottom w:w="80" w:type="dxa"/>
              <w:end w:w="120" w:type="dxa"/>
            </w:tcMar>
            <w:vAlign w:val="center"/>
          </w:tcPr>
          <w:p>
            <w:pPr>
              <w:spacing w:after="0"/>
            </w:pPr>
            <w:r>
              <w:rPr>
                <w:rFonts w:ascii="Calibri" w:hAnsi="Calibri"/>
                <w:color w:val="1F2937"/>
                <w:sz w:val="18"/>
              </w:rPr>
              <w:t>All 14 learners are in the correct Entra group and correct tenant.</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Workspace</w:t>
            </w:r>
          </w:p>
        </w:tc>
        <w:tc>
          <w:tcPr>
            <w:tcW w:type="dxa" w:w="6260"/>
            <w:tcMar>
              <w:top w:w="80" w:type="dxa"/>
              <w:start w:w="120" w:type="dxa"/>
              <w:bottom w:w="80" w:type="dxa"/>
              <w:end w:w="120" w:type="dxa"/>
            </w:tcMar>
            <w:vAlign w:val="center"/>
          </w:tcPr>
          <w:p>
            <w:pPr>
              <w:spacing w:after="0"/>
            </w:pPr>
            <w:r>
              <w:rPr>
                <w:rFonts w:ascii="Calibri" w:hAnsi="Calibri"/>
                <w:color w:val="1F2937"/>
                <w:sz w:val="18"/>
              </w:rPr>
              <w:t>Premium workspace opens and Unity Catalog is enabled.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Compute</w:t>
            </w:r>
          </w:p>
        </w:tc>
        <w:tc>
          <w:tcPr>
            <w:tcW w:type="dxa" w:w="6260"/>
            <w:tcMar>
              <w:top w:w="80" w:type="dxa"/>
              <w:start w:w="120" w:type="dxa"/>
              <w:bottom w:w="80" w:type="dxa"/>
              <w:end w:w="120" w:type="dxa"/>
            </w:tcMar>
            <w:vAlign w:val="center"/>
          </w:tcPr>
          <w:p>
            <w:pPr>
              <w:spacing w:after="0"/>
            </w:pPr>
            <w:r>
              <w:rPr>
                <w:rFonts w:ascii="Calibri" w:hAnsi="Calibri"/>
                <w:color w:val="1F2937"/>
                <w:sz w:val="18"/>
              </w:rPr>
              <w:t>Approved serverless/classic compute and policy work for a learner.</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SQL</w:t>
            </w:r>
          </w:p>
        </w:tc>
        <w:tc>
          <w:tcPr>
            <w:tcW w:type="dxa" w:w="6260"/>
            <w:tcMar>
              <w:top w:w="80" w:type="dxa"/>
              <w:start w:w="120" w:type="dxa"/>
              <w:bottom w:w="80" w:type="dxa"/>
              <w:end w:w="120" w:type="dxa"/>
            </w:tcMar>
            <w:vAlign w:val="center"/>
          </w:tcPr>
          <w:p>
            <w:pPr>
              <w:spacing w:after="0"/>
            </w:pPr>
            <w:r>
              <w:rPr>
                <w:rFonts w:ascii="Calibri" w:hAnsi="Calibri"/>
                <w:color w:val="1F2937"/>
                <w:sz w:val="18"/>
              </w:rPr>
              <w:t>Warehouse starts, query runs and dashboard can be created.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Catalog</w:t>
            </w:r>
          </w:p>
        </w:tc>
        <w:tc>
          <w:tcPr>
            <w:tcW w:type="dxa" w:w="6260"/>
            <w:tcMar>
              <w:top w:w="80" w:type="dxa"/>
              <w:start w:w="120" w:type="dxa"/>
              <w:bottom w:w="80" w:type="dxa"/>
              <w:end w:w="120" w:type="dxa"/>
            </w:tcMar>
            <w:vAlign w:val="center"/>
          </w:tcPr>
          <w:p>
            <w:pPr>
              <w:spacing w:after="0"/>
            </w:pPr>
            <w:r>
              <w:rPr>
                <w:rFonts w:ascii="Calibri" w:hAnsi="Calibri"/>
                <w:color w:val="1F2937"/>
                <w:sz w:val="18"/>
              </w:rPr>
              <w:t>Learner can use catalog and create/use assigned schema without admin rights.</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ADLS</w:t>
            </w:r>
          </w:p>
        </w:tc>
        <w:tc>
          <w:tcPr>
            <w:tcW w:type="dxa" w:w="6260"/>
            <w:tcMar>
              <w:top w:w="80" w:type="dxa"/>
              <w:start w:w="120" w:type="dxa"/>
              <w:bottom w:w="80" w:type="dxa"/>
              <w:end w:w="120" w:type="dxa"/>
            </w:tcMar>
            <w:vAlign w:val="center"/>
          </w:tcPr>
          <w:p>
            <w:pPr>
              <w:spacing w:after="0"/>
            </w:pPr>
            <w:r>
              <w:rPr>
                <w:rFonts w:ascii="Calibri" w:hAnsi="Calibri"/>
                <w:color w:val="1F2937"/>
                <w:sz w:val="18"/>
              </w:rPr>
              <w:t>Managed-identity external location/volume read succeeds.</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ADF</w:t>
            </w:r>
          </w:p>
        </w:tc>
        <w:tc>
          <w:tcPr>
            <w:tcW w:type="dxa" w:w="6260"/>
            <w:tcMar>
              <w:top w:w="80" w:type="dxa"/>
              <w:start w:w="120" w:type="dxa"/>
              <w:bottom w:w="80" w:type="dxa"/>
              <w:end w:w="120" w:type="dxa"/>
            </w:tcMar>
            <w:vAlign w:val="center"/>
          </w:tcPr>
          <w:p>
            <w:pPr>
              <w:spacing w:after="0"/>
            </w:pPr>
            <w:r>
              <w:rPr>
                <w:rFonts w:ascii="Calibri" w:hAnsi="Calibri"/>
                <w:color w:val="1F2937"/>
                <w:sz w:val="18"/>
              </w:rPr>
              <w:t>Notebook/job invocation works with parameter passing.</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Event Hubs</w:t>
            </w:r>
          </w:p>
        </w:tc>
        <w:tc>
          <w:tcPr>
            <w:tcW w:type="dxa" w:w="6260"/>
            <w:tcMar>
              <w:top w:w="80" w:type="dxa"/>
              <w:start w:w="120" w:type="dxa"/>
              <w:bottom w:w="80" w:type="dxa"/>
              <w:end w:w="120" w:type="dxa"/>
            </w:tcMar>
            <w:vAlign w:val="center"/>
          </w:tcPr>
          <w:p>
            <w:pPr>
              <w:spacing w:after="0"/>
            </w:pPr>
            <w:r>
              <w:rPr>
                <w:rFonts w:ascii="Calibri" w:hAnsi="Calibri"/>
                <w:color w:val="1F2937"/>
                <w:sz w:val="18"/>
              </w:rPr>
              <w:t>Test message appears in Delta sink; secret is not visible in notebook output.</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ML</w:t>
            </w:r>
          </w:p>
        </w:tc>
        <w:tc>
          <w:tcPr>
            <w:tcW w:type="dxa" w:w="6260"/>
            <w:tcMar>
              <w:top w:w="80" w:type="dxa"/>
              <w:start w:w="120" w:type="dxa"/>
              <w:bottom w:w="80" w:type="dxa"/>
              <w:end w:w="120" w:type="dxa"/>
            </w:tcMar>
            <w:vAlign w:val="center"/>
          </w:tcPr>
          <w:p>
            <w:pPr>
              <w:spacing w:after="0"/>
            </w:pPr>
            <w:r>
              <w:rPr>
                <w:rFonts w:ascii="Calibri" w:hAnsi="Calibri"/>
                <w:color w:val="1F2937"/>
                <w:sz w:val="18"/>
              </w:rPr>
              <w:t>Runtime/library supports the MLflow lab.</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Lakeflow</w:t>
            </w:r>
          </w:p>
        </w:tc>
        <w:tc>
          <w:tcPr>
            <w:tcW w:type="dxa" w:w="6260"/>
            <w:tcMar>
              <w:top w:w="80" w:type="dxa"/>
              <w:start w:w="120" w:type="dxa"/>
              <w:bottom w:w="80" w:type="dxa"/>
              <w:end w:w="120" w:type="dxa"/>
            </w:tcMar>
            <w:vAlign w:val="center"/>
          </w:tcPr>
          <w:p>
            <w:pPr>
              <w:spacing w:after="0"/>
            </w:pPr>
            <w:r>
              <w:rPr>
                <w:rFonts w:ascii="Calibri" w:hAnsi="Calibri"/>
                <w:color w:val="1F2937"/>
                <w:sz w:val="18"/>
              </w:rPr>
              <w:t>Pipeline editor and expectations are available, or fallback lab is prepared.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Genie</w:t>
            </w:r>
          </w:p>
        </w:tc>
        <w:tc>
          <w:tcPr>
            <w:tcW w:type="dxa" w:w="6260"/>
            <w:tcMar>
              <w:top w:w="80" w:type="dxa"/>
              <w:start w:w="120" w:type="dxa"/>
              <w:bottom w:w="80" w:type="dxa"/>
              <w:end w:w="120" w:type="dxa"/>
            </w:tcMar>
            <w:vAlign w:val="center"/>
          </w:tcPr>
          <w:p>
            <w:pPr>
              <w:spacing w:after="0"/>
            </w:pPr>
            <w:r>
              <w:rPr>
                <w:rFonts w:ascii="Calibri" w:hAnsi="Calibri"/>
                <w:color w:val="1F2937"/>
                <w:sz w:val="18"/>
              </w:rPr>
              <w:t>Feature available, approved Gold table added and sample questions verified.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1F2937"/>
                <w:sz w:val="18"/>
              </w:rPr>
              <w:t>Cleanup</w:t>
            </w:r>
          </w:p>
        </w:tc>
        <w:tc>
          <w:tcPr>
            <w:tcW w:type="dxa" w:w="6260"/>
            <w:tcMar>
              <w:top w:w="80" w:type="dxa"/>
              <w:start w:w="120" w:type="dxa"/>
              <w:bottom w:w="80" w:type="dxa"/>
              <w:end w:w="120" w:type="dxa"/>
            </w:tcMar>
            <w:vAlign w:val="center"/>
          </w:tcPr>
          <w:p>
            <w:pPr>
              <w:spacing w:after="0"/>
            </w:pPr>
            <w:r>
              <w:rPr>
                <w:rFonts w:ascii="Calibri" w:hAnsi="Calibri"/>
                <w:color w:val="1F2937"/>
                <w:sz w:val="18"/>
              </w:rPr>
              <w:t>Resource inventory, evidence location, deletion owner and deadline recorded.</w:t>
            </w:r>
          </w:p>
        </w:tc>
      </w:tr>
    </w:tbl>
    <w:p>
      <w:pPr>
        <w:spacing w:after="40"/>
      </w:pPr>
    </w:p>
    <w:p>
      <w:pPr>
        <w:pStyle w:val="Heading1"/>
        <w:pageBreakBefore/>
      </w:pPr>
      <w:r>
        <w:t>Appendix C - Official sources and version notes</w:t>
      </w:r>
    </w:p>
    <w:p>
      <w:r>
        <w:rPr>
          <w:i w:val="0"/>
        </w:rPr>
        <w:t>Platform terminology and recommendations were checked against Microsoft Learn / Azure Databricks documentation available on 31 August 2026. Interfaces and feature availability can vary by region, plan and preview status. Re-check these pages during the course preflight.</w:t>
      </w:r>
    </w:p>
    <w:p>
      <w:pPr>
        <w:pStyle w:val="ListBullet"/>
      </w:pPr>
      <w:hyperlink r:id="rId11">
        <w:r>
          <w:rPr>
            <w:color w:val="2E74B5"/>
            <w:u w:val="single"/>
          </w:rPr>
          <w:t>Azure Databricks components</w:t>
        </w:r>
      </w:hyperlink>
    </w:p>
    <w:p>
      <w:pPr>
        <w:pStyle w:val="ListBullet"/>
      </w:pPr>
      <w:hyperlink r:id="rId12">
        <w:r>
          <w:rPr>
            <w:color w:val="2E74B5"/>
            <w:u w:val="single"/>
          </w:rPr>
          <w:t>High-level architecture</w:t>
        </w:r>
      </w:hyperlink>
    </w:p>
    <w:p>
      <w:pPr>
        <w:pStyle w:val="ListBullet"/>
      </w:pPr>
      <w:hyperlink r:id="rId13">
        <w:r>
          <w:rPr>
            <w:color w:val="2E74B5"/>
            <w:u w:val="single"/>
          </w:rPr>
          <w:t>Compute selection recommendations</w:t>
        </w:r>
      </w:hyperlink>
    </w:p>
    <w:p>
      <w:pPr>
        <w:pStyle w:val="ListBullet"/>
      </w:pPr>
      <w:hyperlink r:id="rId14">
        <w:r>
          <w:rPr>
            <w:color w:val="2E74B5"/>
            <w:u w:val="single"/>
          </w:rPr>
          <w:t>Unity Catalog overview</w:t>
        </w:r>
      </w:hyperlink>
    </w:p>
    <w:p>
      <w:pPr>
        <w:pStyle w:val="ListBullet"/>
      </w:pPr>
      <w:hyperlink r:id="rId15">
        <w:r>
          <w:rPr>
            <w:color w:val="2E74B5"/>
            <w:u w:val="single"/>
          </w:rPr>
          <w:t>Unity Catalog best practices</w:t>
        </w:r>
      </w:hyperlink>
    </w:p>
    <w:p>
      <w:pPr>
        <w:pStyle w:val="ListBullet"/>
      </w:pPr>
      <w:hyperlink r:id="rId16">
        <w:r>
          <w:rPr>
            <w:color w:val="2E74B5"/>
            <w:u w:val="single"/>
          </w:rPr>
          <w:t>Lakeflow Jobs</w:t>
        </w:r>
      </w:hyperlink>
    </w:p>
    <w:p>
      <w:pPr>
        <w:pStyle w:val="ListBullet"/>
      </w:pPr>
      <w:hyperlink r:id="rId17">
        <w:r>
          <w:rPr>
            <w:color w:val="2E74B5"/>
            <w:u w:val="single"/>
          </w:rPr>
          <w:t>Lakeflow Spark Declarative Pipelines</w:t>
        </w:r>
      </w:hyperlink>
    </w:p>
    <w:p>
      <w:pPr>
        <w:pStyle w:val="ListBullet"/>
      </w:pPr>
      <w:hyperlink r:id="rId18">
        <w:r>
          <w:rPr>
            <w:color w:val="2E74B5"/>
            <w:u w:val="single"/>
          </w:rPr>
          <w:t>Predictive optimization</w:t>
        </w:r>
      </w:hyperlink>
    </w:p>
    <w:p>
      <w:pPr>
        <w:pStyle w:val="ListBullet"/>
      </w:pPr>
      <w:hyperlink r:id="rId19">
        <w:r>
          <w:rPr>
            <w:color w:val="2E74B5"/>
            <w:u w:val="single"/>
          </w:rPr>
          <w:t>Azure VNet injection</w:t>
        </w:r>
      </w:hyperlink>
    </w:p>
    <w:p>
      <w:pPr>
        <w:pStyle w:val="ListBullet"/>
      </w:pPr>
      <w:hyperlink r:id="rId20">
        <w:r>
          <w:rPr>
            <w:color w:val="2E74B5"/>
            <w:u w:val="single"/>
          </w:rPr>
          <w:t>Azure storage integration guidance</w:t>
        </w:r>
      </w:hyperlink>
    </w:p>
    <w:p>
      <w:pPr>
        <w:pStyle w:val="ListBullet"/>
      </w:pPr>
      <w:hyperlink r:id="rId21">
        <w:r>
          <w:rPr>
            <w:color w:val="2E74B5"/>
            <w:u w:val="single"/>
          </w:rPr>
          <w:t>Compute policy families</w:t>
        </w:r>
      </w:hyperlink>
    </w:p>
    <w:p>
      <w:pPr>
        <w:pStyle w:val="ListBullet"/>
      </w:pPr>
      <w:hyperlink r:id="rId22">
        <w:r>
          <w:rPr>
            <w:color w:val="2E74B5"/>
            <w:u w:val="single"/>
          </w:rPr>
          <w:t>Databricks budgets</w:t>
        </w:r>
      </w:hyperlink>
    </w:p>
    <w:p>
      <w:pPr>
        <w:pStyle w:val="ListBullet"/>
      </w:pPr>
      <w:hyperlink r:id="rId23">
        <w:r>
          <w:rPr>
            <w:color w:val="2E74B5"/>
            <w:u w:val="single"/>
          </w:rPr>
          <w:t>Databricks Terraform provider</w:t>
        </w:r>
      </w:hyperlink>
    </w:p>
    <w:p>
      <w:pPr>
        <w:pStyle w:val="ListBullet"/>
      </w:pPr>
      <w:hyperlink r:id="rId24">
        <w:r>
          <w:rPr>
            <w:color w:val="2E74B5"/>
            <w:u w:val="single"/>
          </w:rPr>
          <w:t>Declarative Automation Bundles</w:t>
        </w:r>
      </w:hyperlink>
    </w:p>
    <w:p>
      <w:pPr>
        <w:pStyle w:val="ListBullet"/>
      </w:pPr>
      <w:hyperlink r:id="rId25">
        <w:r>
          <w:rPr>
            <w:color w:val="2E74B5"/>
            <w:u w:val="single"/>
          </w:rPr>
          <w:t>AI/BI dashboards</w:t>
        </w:r>
      </w:hyperlink>
    </w:p>
    <w:p>
      <w:pPr>
        <w:pStyle w:val="ListBullet"/>
      </w:pPr>
      <w:hyperlink r:id="rId26">
        <w:r>
          <w:rPr>
            <w:color w:val="2E74B5"/>
            <w:u w:val="single"/>
          </w:rPr>
          <w:t>SQL alerts</w:t>
        </w:r>
      </w:hyperlink>
    </w:p>
    <w:p>
      <w:pPr>
        <w:pStyle w:val="ListBullet"/>
      </w:pPr>
      <w:hyperlink r:id="rId27">
        <w:r>
          <w:rPr>
            <w:color w:val="2E74B5"/>
            <w:u w:val="single"/>
          </w:rPr>
          <w:t>Genie Agents</w:t>
        </w:r>
      </w:hyperlink>
    </w:p>
    <w:p>
      <w:pPr>
        <w:pStyle w:val="ListBullet"/>
      </w:pPr>
      <w:hyperlink r:id="rId28">
        <w:r>
          <w:rPr>
            <w:color w:val="2E74B5"/>
            <w:u w:val="single"/>
          </w:rPr>
          <w:t>Free trial vs Free Edition</w:t>
        </w:r>
      </w:hyperlink>
    </w:p>
    <w:p>
      <w:pPr>
        <w:pStyle w:val="Heading2"/>
      </w:pPr>
      <w:r>
        <w:t>Version-sensitive trainer notes</w:t>
      </w:r>
    </w:p>
    <w:p>
      <w:pPr>
        <w:pStyle w:val="ListBullet"/>
      </w:pPr>
      <w:r>
        <w:t>Genie Agents were formerly known as Genie Spaces.</w:t>
      </w:r>
    </w:p>
    <w:p>
      <w:pPr>
        <w:pStyle w:val="ListBullet"/>
      </w:pPr>
      <w:r>
        <w:t>Declarative Automation Bundles were formerly called Databricks Asset Bundles.</w:t>
      </w:r>
    </w:p>
    <w:p>
      <w:pPr>
        <w:pStyle w:val="ListBullet"/>
      </w:pPr>
      <w:r>
        <w:t>Lakeflow pipeline terminology evolved from Delta Live Tables / DLT. Existing customer systems may still use the old name.</w:t>
      </w:r>
    </w:p>
    <w:p>
      <w:pPr>
        <w:pStyle w:val="ListBullet"/>
      </w:pPr>
      <w:r>
        <w:t>DBFS root and mounts are legacy patterns for new governance-first designs; use Unity Catalog tables and volumes.</w:t>
      </w:r>
    </w:p>
    <w:p>
      <w:pPr>
        <w:pStyle w:val="ListBullet"/>
      </w:pPr>
      <w:r>
        <w:t>Preview and beta features should be clearly labeled and should not be a mandatory assessment dependency.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Trainer edition |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Azure Databricks Trainer Handbook | Days 16-25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A5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databricks/getting-started/concepts" TargetMode="External"/><Relationship Id="rId12" Type="http://schemas.openxmlformats.org/officeDocument/2006/relationships/hyperlink" Target="https://learn.microsoft.com/en-us/azure/databricks/getting-started/high-level-architecture" TargetMode="External"/><Relationship Id="rId13" Type="http://schemas.openxmlformats.org/officeDocument/2006/relationships/hyperlink" Target="https://learn.microsoft.com/en-us/azure/databricks/compute/choose-compute" TargetMode="External"/><Relationship Id="rId14" Type="http://schemas.openxmlformats.org/officeDocument/2006/relationships/hyperlink" Target="https://learn.microsoft.com/en-us/azure/databricks/data-governance/unity-catalog/" TargetMode="External"/><Relationship Id="rId15" Type="http://schemas.openxmlformats.org/officeDocument/2006/relationships/hyperlink" Target="https://learn.microsoft.com/en-us/azure/databricks/data-governance/unity-catalog/best-practices" TargetMode="External"/><Relationship Id="rId16" Type="http://schemas.openxmlformats.org/officeDocument/2006/relationships/hyperlink" Target="https://learn.microsoft.com/en-us/azure/databricks/jobs/" TargetMode="External"/><Relationship Id="rId17" Type="http://schemas.openxmlformats.org/officeDocument/2006/relationships/hyperlink" Target="https://learn.microsoft.com/en-us/azure/databricks/ldp/" TargetMode="External"/><Relationship Id="rId18" Type="http://schemas.openxmlformats.org/officeDocument/2006/relationships/hyperlink" Target="https://learn.microsoft.com/en-us/azure/databricks/optimizations/predictive-optimization" TargetMode="External"/><Relationship Id="rId19" Type="http://schemas.openxmlformats.org/officeDocument/2006/relationships/hyperlink" Target="https://learn.microsoft.com/en-us/azure/databricks/security/network/classic/vnet-inject" TargetMode="External"/><Relationship Id="rId20" Type="http://schemas.openxmlformats.org/officeDocument/2006/relationships/hyperlink" Target="https://learn.microsoft.com/en-us/azure/databricks/connect/storage/azure-storage" TargetMode="External"/><Relationship Id="rId21" Type="http://schemas.openxmlformats.org/officeDocument/2006/relationships/hyperlink" Target="https://learn.microsoft.com/en-us/azure/databricks/admin/clusters/policy-families" TargetMode="External"/><Relationship Id="rId22" Type="http://schemas.openxmlformats.org/officeDocument/2006/relationships/hyperlink" Target="https://learn.microsoft.com/en-us/azure/databricks/admin/account-settings/budgets" TargetMode="External"/><Relationship Id="rId23" Type="http://schemas.openxmlformats.org/officeDocument/2006/relationships/hyperlink" Target="https://learn.microsoft.com/en-us/azure/databricks/dev-tools/terraform/" TargetMode="External"/><Relationship Id="rId24" Type="http://schemas.openxmlformats.org/officeDocument/2006/relationships/hyperlink" Target="https://learn.microsoft.com/en-us/azure/databricks/dev-tools/bundles/" TargetMode="External"/><Relationship Id="rId25" Type="http://schemas.openxmlformats.org/officeDocument/2006/relationships/hyperlink" Target="https://learn.microsoft.com/en-us/azure/databricks/dashboards/" TargetMode="External"/><Relationship Id="rId26" Type="http://schemas.openxmlformats.org/officeDocument/2006/relationships/hyperlink" Target="https://learn.microsoft.com/en-us/azure/databricks/sql/user/alerts/" TargetMode="External"/><Relationship Id="rId27" Type="http://schemas.openxmlformats.org/officeDocument/2006/relationships/hyperlink" Target="https://learn.microsoft.com/en-us/azure/databricks/genie-agents/concepts" TargetMode="External"/><Relationship Id="rId28" Type="http://schemas.openxmlformats.org/officeDocument/2006/relationships/hyperlink" Target="https://learn.microsoft.com/en-us/azure/databricks/getting-started/free-trial-vs-free-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Trainer Handbook and Lab Guide - Days 16-25</dc:title>
  <dc:subject>Trainer-ready Azure Databricks course aligned to the 2026 Cloud-Data-GenAI schedule</dc:subject>
  <dc:creator>OpenAI - prepared for Srinivasa</dc:creator>
  <cp:keywords>Azure Databricks, Spark, Delta Lake, Unity Catalog, Lakeflow, trainer guide, labs</cp:keywords>
  <dc:description>generated by python-docx</dc:description>
  <cp:lastModifiedBy/>
  <cp:revision>1</cp:revision>
  <dcterms:created xsi:type="dcterms:W3CDTF">2013-12-23T23:15:00Z</dcterms:created>
  <dcterms:modified xsi:type="dcterms:W3CDTF">2013-12-23T23:15:00Z</dcterms:modified>
  <cp:category/>
</cp:coreProperties>
</file>