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00"/>
      </w:pPr>
      <w:r>
        <w:t>Azure Databricks Lessons 1 and 2 Trainer Explanation</w:t>
      </w:r>
    </w:p>
    <w:p>
      <w:r>
        <w:rPr>
          <w:rFonts w:ascii="Aptos" w:hAnsi="Aptos"/>
          <w:b w:val="0"/>
          <w:i w:val="0"/>
          <w:color w:val="0B2545"/>
          <w:sz w:val="30"/>
        </w:rPr>
        <w:t>Delivery script, demonstrations and facilitation notes</w:t>
      </w:r>
    </w:p>
    <w:p>
      <w:pPr>
        <w:spacing w:before="600"/>
      </w:pPr>
      <w:r>
        <w:rPr>
          <w:rFonts w:ascii="Aptos" w:hAnsi="Aptos"/>
          <w:b/>
          <w:i w:val="0"/>
          <w:color w:val="0B2545"/>
          <w:sz w:val="20"/>
        </w:rPr>
        <w:t xml:space="preserve">Audience  </w:t>
      </w:r>
      <w:r>
        <w:rPr>
          <w:rFonts w:ascii="Aptos" w:hAnsi="Aptos"/>
          <w:b w:val="0"/>
          <w:i w:val="0"/>
          <w:color w:val="5B6573"/>
          <w:sz w:val="20"/>
        </w:rPr>
        <w:t>Trainer delivering a beginner to intermediate class for 14 learners</w:t>
      </w:r>
    </w:p>
    <w:p>
      <w:r>
        <w:rPr>
          <w:rFonts w:ascii="Aptos" w:hAnsi="Aptos"/>
          <w:b/>
          <w:i w:val="0"/>
          <w:color w:val="0B2545"/>
          <w:sz w:val="20"/>
        </w:rPr>
        <w:t xml:space="preserve">Scope  </w:t>
      </w:r>
      <w:r>
        <w:rPr>
          <w:rFonts w:ascii="Aptos" w:hAnsi="Aptos"/>
          <w:b w:val="0"/>
          <w:i w:val="0"/>
          <w:color w:val="5B6573"/>
          <w:sz w:val="20"/>
        </w:rPr>
        <w:t>From first workspace navigation to a governed Delta table</w:t>
      </w:r>
    </w:p>
    <w:p>
      <w:r>
        <w:rPr>
          <w:rFonts w:ascii="Aptos" w:hAnsi="Aptos"/>
          <w:b/>
          <w:i w:val="0"/>
          <w:color w:val="0B2545"/>
          <w:sz w:val="20"/>
        </w:rPr>
        <w:t xml:space="preserve">Environment  </w:t>
      </w:r>
      <w:r>
        <w:rPr>
          <w:rFonts w:ascii="Aptos" w:hAnsi="Aptos"/>
          <w:b w:val="0"/>
          <w:i w:val="0"/>
          <w:color w:val="5B6573"/>
          <w:sz w:val="20"/>
        </w:rPr>
        <w:t>One Premium Azure Databricks workspace • 14 learners • one learner schema each</w:t>
      </w:r>
    </w:p>
    <w:p>
      <w:r>
        <w:br w:type="page"/>
      </w:r>
    </w:p>
    <w:p>
      <w:pPr>
        <w:pStyle w:val="Heading1"/>
      </w:pPr>
      <w:r>
        <w:t>Recommended delivery plan</w:t>
      </w:r>
    </w:p>
    <w:p>
      <w:r>
        <w:rPr>
          <w:rFonts w:ascii="Aptos" w:hAnsi="Aptos"/>
          <w:b w:val="0"/>
          <w:i w:val="0"/>
          <w:color w:val="222222"/>
          <w:sz w:val="21"/>
        </w:rPr>
        <w:t>Deliver the material as two instructor-led lessons with a shared retail-orders story. Keep explanations short, demonstrate one idea, and then let learners reproduce it. The lab guide contains the executable steps; this document tells you what to say and what to watch for.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520"/>
            <w:shd w:fill="0B2545"/>
            <w:tcMar>
              <w:top w:w="90" w:type="dxa"/>
              <w:start w:w="120" w:type="dxa"/>
              <w:bottom w:w="90" w:type="dxa"/>
              <w:end w:w="120" w:type="dxa"/>
            </w:tcMar>
            <w:vAlign w:val="center"/>
          </w:tcPr>
          <w:p>
            <w:pPr>
              <w:spacing w:after="0"/>
            </w:pPr>
            <w:r>
              <w:rPr>
                <w:rFonts w:ascii="Aptos" w:hAnsi="Aptos"/>
                <w:b/>
                <w:i w:val="0"/>
                <w:color w:val="FFFFFF"/>
                <w:sz w:val="17"/>
              </w:rPr>
              <w:t>Block</w:t>
            </w:r>
          </w:p>
        </w:tc>
        <w:tc>
          <w:tcPr>
            <w:tcW w:type="dxa" w:w="1440"/>
            <w:shd w:fill="0B2545"/>
            <w:tcMar>
              <w:top w:w="90" w:type="dxa"/>
              <w:start w:w="120" w:type="dxa"/>
              <w:bottom w:w="90" w:type="dxa"/>
              <w:end w:w="120" w:type="dxa"/>
            </w:tcMar>
            <w:vAlign w:val="center"/>
          </w:tcPr>
          <w:p>
            <w:pPr>
              <w:spacing w:after="0"/>
            </w:pPr>
            <w:r>
              <w:rPr>
                <w:rFonts w:ascii="Aptos" w:hAnsi="Aptos"/>
                <w:b/>
                <w:i w:val="0"/>
                <w:color w:val="FFFFFF"/>
                <w:sz w:val="17"/>
              </w:rPr>
              <w:t>Time</w:t>
            </w:r>
          </w:p>
        </w:tc>
        <w:tc>
          <w:tcPr>
            <w:tcW w:type="dxa" w:w="2592"/>
            <w:shd w:fill="0B2545"/>
            <w:tcMar>
              <w:top w:w="90" w:type="dxa"/>
              <w:start w:w="120" w:type="dxa"/>
              <w:bottom w:w="90" w:type="dxa"/>
              <w:end w:w="120" w:type="dxa"/>
            </w:tcMar>
            <w:vAlign w:val="center"/>
          </w:tcPr>
          <w:p>
            <w:pPr>
              <w:spacing w:after="0"/>
            </w:pPr>
            <w:r>
              <w:rPr>
                <w:rFonts w:ascii="Aptos" w:hAnsi="Aptos"/>
                <w:b/>
                <w:i w:val="0"/>
                <w:color w:val="FFFFFF"/>
                <w:sz w:val="17"/>
              </w:rPr>
              <w:t>Method</w:t>
            </w:r>
          </w:p>
        </w:tc>
        <w:tc>
          <w:tcPr>
            <w:tcW w:type="dxa" w:w="3240"/>
            <w:shd w:fill="0B2545"/>
            <w:tcMar>
              <w:top w:w="90" w:type="dxa"/>
              <w:start w:w="120" w:type="dxa"/>
              <w:bottom w:w="90" w:type="dxa"/>
              <w:end w:w="120" w:type="dxa"/>
            </w:tcMar>
            <w:vAlign w:val="center"/>
          </w:tcPr>
          <w:p>
            <w:pPr>
              <w:spacing w:after="0"/>
            </w:pPr>
            <w:r>
              <w:rPr>
                <w:rFonts w:ascii="Aptos" w:hAnsi="Aptos"/>
                <w:b/>
                <w:i w:val="0"/>
                <w:color w:val="FFFFFF"/>
                <w:sz w:val="17"/>
              </w:rPr>
              <w:t>Trainer outcome</w:t>
            </w:r>
          </w:p>
        </w:tc>
      </w:tr>
      <w:tr>
        <w:trPr>
          <w:cantSplit/>
        </w:trPr>
        <w:tc>
          <w:tcPr>
            <w:tcW w:type="dxa" w:w="2520"/>
            <w:tcMar>
              <w:top w:w="90" w:type="dxa"/>
              <w:start w:w="120" w:type="dxa"/>
              <w:bottom w:w="90" w:type="dxa"/>
              <w:end w:w="120" w:type="dxa"/>
            </w:tcMar>
            <w:vAlign w:val="center"/>
          </w:tcPr>
          <w:p>
            <w:pPr>
              <w:spacing w:after="0" w:line="252" w:lineRule="auto"/>
            </w:pPr>
            <w:r>
              <w:rPr>
                <w:rFonts w:ascii="Aptos" w:hAnsi="Aptos"/>
                <w:b w:val="0"/>
                <w:i w:val="0"/>
                <w:color w:val="222222"/>
                <w:sz w:val="17"/>
              </w:rPr>
              <w:t>Lesson 1 concepts</w:t>
            </w:r>
          </w:p>
        </w:tc>
        <w:tc>
          <w:tcPr>
            <w:tcW w:type="dxa" w:w="1440"/>
            <w:tcMar>
              <w:top w:w="90" w:type="dxa"/>
              <w:start w:w="120" w:type="dxa"/>
              <w:bottom w:w="90" w:type="dxa"/>
              <w:end w:w="120" w:type="dxa"/>
            </w:tcMar>
            <w:vAlign w:val="center"/>
          </w:tcPr>
          <w:p>
            <w:pPr>
              <w:spacing w:after="0" w:line="252" w:lineRule="auto"/>
            </w:pPr>
            <w:r>
              <w:rPr>
                <w:rFonts w:ascii="Aptos" w:hAnsi="Aptos"/>
                <w:b w:val="0"/>
                <w:i w:val="0"/>
                <w:color w:val="222222"/>
                <w:sz w:val="17"/>
              </w:rPr>
              <w:t>55 min</w:t>
            </w:r>
          </w:p>
        </w:tc>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7"/>
              </w:rPr>
              <w:t>Explain and question</w:t>
            </w:r>
          </w:p>
        </w:tc>
        <w:tc>
          <w:tcPr>
            <w:tcW w:type="dxa" w:w="3240"/>
            <w:tcMar>
              <w:top w:w="90" w:type="dxa"/>
              <w:start w:w="120" w:type="dxa"/>
              <w:bottom w:w="90" w:type="dxa"/>
              <w:end w:w="120" w:type="dxa"/>
            </w:tcMar>
            <w:vAlign w:val="center"/>
          </w:tcPr>
          <w:p>
            <w:pPr>
              <w:spacing w:after="0" w:line="252" w:lineRule="auto"/>
            </w:pPr>
            <w:r>
              <w:rPr>
                <w:rFonts w:ascii="Aptos" w:hAnsi="Aptos"/>
                <w:b w:val="0"/>
                <w:i w:val="0"/>
                <w:color w:val="222222"/>
                <w:sz w:val="17"/>
              </w:rPr>
              <w:t>Learners can name the five objects</w:t>
            </w:r>
          </w:p>
        </w:tc>
      </w:tr>
      <w:tr>
        <w:trPr>
          <w:cantSplit/>
        </w:trPr>
        <w:tc>
          <w:tcPr>
            <w:tcW w:type="dxa" w:w="25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Lesson 1 demo and lab</w:t>
            </w:r>
          </w:p>
        </w:tc>
        <w:tc>
          <w:tcPr>
            <w:tcW w:type="dxa" w:w="14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65 min</w:t>
            </w:r>
          </w:p>
        </w:tc>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Live code then guided practice</w:t>
            </w:r>
          </w:p>
        </w:tc>
        <w:tc>
          <w:tcPr>
            <w:tcW w:type="dxa" w:w="32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DataFrame and SQL summary work</w:t>
            </w:r>
          </w:p>
        </w:tc>
      </w:tr>
      <w:tr>
        <w:trPr>
          <w:cantSplit/>
        </w:trPr>
        <w:tc>
          <w:tcPr>
            <w:tcW w:type="dxa" w:w="2520"/>
            <w:tcMar>
              <w:top w:w="90" w:type="dxa"/>
              <w:start w:w="120" w:type="dxa"/>
              <w:bottom w:w="90" w:type="dxa"/>
              <w:end w:w="120" w:type="dxa"/>
            </w:tcMar>
            <w:vAlign w:val="center"/>
          </w:tcPr>
          <w:p>
            <w:pPr>
              <w:spacing w:after="0" w:line="252" w:lineRule="auto"/>
            </w:pPr>
            <w:r>
              <w:rPr>
                <w:rFonts w:ascii="Aptos" w:hAnsi="Aptos"/>
                <w:b w:val="0"/>
                <w:i w:val="0"/>
                <w:color w:val="222222"/>
                <w:sz w:val="17"/>
              </w:rPr>
              <w:t>Break</w:t>
            </w:r>
          </w:p>
        </w:tc>
        <w:tc>
          <w:tcPr>
            <w:tcW w:type="dxa" w:w="1440"/>
            <w:tcMar>
              <w:top w:w="90" w:type="dxa"/>
              <w:start w:w="120" w:type="dxa"/>
              <w:bottom w:w="90" w:type="dxa"/>
              <w:end w:w="120" w:type="dxa"/>
            </w:tcMar>
            <w:vAlign w:val="center"/>
          </w:tcPr>
          <w:p>
            <w:pPr>
              <w:spacing w:after="0" w:line="252" w:lineRule="auto"/>
            </w:pPr>
            <w:r>
              <w:rPr>
                <w:rFonts w:ascii="Aptos" w:hAnsi="Aptos"/>
                <w:b w:val="0"/>
                <w:i w:val="0"/>
                <w:color w:val="222222"/>
                <w:sz w:val="17"/>
              </w:rPr>
              <w:t>10 min</w:t>
            </w:r>
          </w:p>
        </w:tc>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7"/>
              </w:rPr>
              <w:t>—</w:t>
            </w:r>
          </w:p>
        </w:tc>
        <w:tc>
          <w:tcPr>
            <w:tcW w:type="dxa" w:w="3240"/>
            <w:tcMar>
              <w:top w:w="90" w:type="dxa"/>
              <w:start w:w="120" w:type="dxa"/>
              <w:bottom w:w="90" w:type="dxa"/>
              <w:end w:w="120" w:type="dxa"/>
            </w:tcMar>
            <w:vAlign w:val="center"/>
          </w:tcPr>
          <w:p>
            <w:pPr>
              <w:spacing w:after="0" w:line="252" w:lineRule="auto"/>
            </w:pPr>
            <w:r>
              <w:rPr>
                <w:rFonts w:ascii="Aptos" w:hAnsi="Aptos"/>
                <w:b w:val="0"/>
                <w:i w:val="0"/>
                <w:color w:val="222222"/>
                <w:sz w:val="17"/>
              </w:rPr>
              <w:t>Reset compute and questions</w:t>
            </w:r>
          </w:p>
        </w:tc>
      </w:tr>
      <w:tr>
        <w:trPr>
          <w:cantSplit/>
        </w:trPr>
        <w:tc>
          <w:tcPr>
            <w:tcW w:type="dxa" w:w="25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Lesson 2 concepts</w:t>
            </w:r>
          </w:p>
        </w:tc>
        <w:tc>
          <w:tcPr>
            <w:tcW w:type="dxa" w:w="14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40 min</w:t>
            </w:r>
          </w:p>
        </w:tc>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Explain with catalog example</w:t>
            </w:r>
          </w:p>
        </w:tc>
        <w:tc>
          <w:tcPr>
            <w:tcW w:type="dxa" w:w="32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Learners understand governance and Delta</w:t>
            </w:r>
          </w:p>
        </w:tc>
      </w:tr>
      <w:tr>
        <w:trPr>
          <w:cantSplit/>
        </w:trPr>
        <w:tc>
          <w:tcPr>
            <w:tcW w:type="dxa" w:w="2520"/>
            <w:tcMar>
              <w:top w:w="90" w:type="dxa"/>
              <w:start w:w="120" w:type="dxa"/>
              <w:bottom w:w="90" w:type="dxa"/>
              <w:end w:w="120" w:type="dxa"/>
            </w:tcMar>
            <w:vAlign w:val="center"/>
          </w:tcPr>
          <w:p>
            <w:pPr>
              <w:spacing w:after="0" w:line="252" w:lineRule="auto"/>
            </w:pPr>
            <w:r>
              <w:rPr>
                <w:rFonts w:ascii="Aptos" w:hAnsi="Aptos"/>
                <w:b w:val="0"/>
                <w:i w:val="0"/>
                <w:color w:val="222222"/>
                <w:sz w:val="17"/>
              </w:rPr>
              <w:t>Lesson 2 lab</w:t>
            </w:r>
          </w:p>
        </w:tc>
        <w:tc>
          <w:tcPr>
            <w:tcW w:type="dxa" w:w="1440"/>
            <w:tcMar>
              <w:top w:w="90" w:type="dxa"/>
              <w:start w:w="120" w:type="dxa"/>
              <w:bottom w:w="90" w:type="dxa"/>
              <w:end w:w="120" w:type="dxa"/>
            </w:tcMar>
            <w:vAlign w:val="center"/>
          </w:tcPr>
          <w:p>
            <w:pPr>
              <w:spacing w:after="0" w:line="252" w:lineRule="auto"/>
            </w:pPr>
            <w:r>
              <w:rPr>
                <w:rFonts w:ascii="Aptos" w:hAnsi="Aptos"/>
                <w:b w:val="0"/>
                <w:i w:val="0"/>
                <w:color w:val="222222"/>
                <w:sz w:val="17"/>
              </w:rPr>
              <w:t>65 min</w:t>
            </w:r>
          </w:p>
        </w:tc>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7"/>
              </w:rPr>
              <w:t>Guided then independent</w:t>
            </w:r>
          </w:p>
        </w:tc>
        <w:tc>
          <w:tcPr>
            <w:tcW w:type="dxa" w:w="3240"/>
            <w:tcMar>
              <w:top w:w="90" w:type="dxa"/>
              <w:start w:w="120" w:type="dxa"/>
              <w:bottom w:w="90" w:type="dxa"/>
              <w:end w:w="120" w:type="dxa"/>
            </w:tcMar>
            <w:vAlign w:val="center"/>
          </w:tcPr>
          <w:p>
            <w:pPr>
              <w:spacing w:after="0" w:line="252" w:lineRule="auto"/>
            </w:pPr>
            <w:r>
              <w:rPr>
                <w:rFonts w:ascii="Aptos" w:hAnsi="Aptos"/>
                <w:b w:val="0"/>
                <w:i w:val="0"/>
                <w:color w:val="222222"/>
                <w:sz w:val="17"/>
              </w:rPr>
              <w:t>Governed table and history</w:t>
            </w:r>
          </w:p>
        </w:tc>
      </w:tr>
      <w:tr>
        <w:trPr>
          <w:cantSplit/>
        </w:trPr>
        <w:tc>
          <w:tcPr>
            <w:tcW w:type="dxa" w:w="25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Assessment and close</w:t>
            </w:r>
          </w:p>
        </w:tc>
        <w:tc>
          <w:tcPr>
            <w:tcW w:type="dxa" w:w="14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25 min</w:t>
            </w:r>
          </w:p>
        </w:tc>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Challenge and review</w:t>
            </w:r>
          </w:p>
        </w:tc>
        <w:tc>
          <w:tcPr>
            <w:tcW w:type="dxa" w:w="32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Evidence collected; misconceptions corrected</w:t>
            </w:r>
          </w:p>
        </w:tc>
      </w:tr>
    </w:tbl>
    <w:p>
      <w:pPr>
        <w:spacing w:after="20"/>
      </w:pPr>
    </w:p>
    <w:p>
      <w:pPr>
        <w:pStyle w:val="Heading2"/>
      </w:pPr>
      <w:r>
        <w:t>Room and tenant preparation</w:t>
      </w:r>
    </w:p>
    <w:p>
      <w:pPr>
        <w:pStyle w:val="ListBullet"/>
      </w:pPr>
      <w:r>
        <w:rPr>
          <w:rFonts w:ascii="Aptos" w:hAnsi="Aptos"/>
          <w:b w:val="0"/>
          <w:i w:val="0"/>
          <w:color w:val="222222"/>
          <w:sz w:val="21"/>
        </w:rPr>
        <w:t>Use one Premium workspace, not 14 workspaces.</w:t>
      </w:r>
    </w:p>
    <w:p>
      <w:pPr>
        <w:pStyle w:val="ListBullet"/>
      </w:pPr>
      <w:r>
        <w:rPr>
          <w:rFonts w:ascii="Aptos" w:hAnsi="Aptos"/>
          <w:b w:val="0"/>
          <w:i w:val="0"/>
          <w:color w:val="222222"/>
          <w:sz w:val="21"/>
        </w:rPr>
        <w:t>Map the 14 learners to student_01 through student_14 before class.</w:t>
      </w:r>
    </w:p>
    <w:p>
      <w:pPr>
        <w:pStyle w:val="ListBullet"/>
      </w:pPr>
      <w:r>
        <w:rPr>
          <w:rFonts w:ascii="Aptos" w:hAnsi="Aptos"/>
          <w:b w:val="0"/>
          <w:i w:val="0"/>
          <w:color w:val="222222"/>
          <w:sz w:val="21"/>
        </w:rPr>
        <w:t>Test sign-in, compute permission and one table creation as a learner.</w:t>
      </w:r>
    </w:p>
    <w:p>
      <w:pPr>
        <w:pStyle w:val="ListBullet"/>
      </w:pPr>
      <w:r>
        <w:rPr>
          <w:rFonts w:ascii="Aptos" w:hAnsi="Aptos"/>
          <w:b w:val="0"/>
          <w:i w:val="0"/>
          <w:color w:val="222222"/>
          <w:sz w:val="21"/>
        </w:rPr>
        <w:t>Keep an admin notebook open separately from the learner demo notebook.</w:t>
      </w:r>
    </w:p>
    <w:p>
      <w:pPr>
        <w:pStyle w:val="ListBullet"/>
      </w:pPr>
      <w:r>
        <w:rPr>
          <w:rFonts w:ascii="Aptos" w:hAnsi="Aptos"/>
          <w:b w:val="0"/>
          <w:i w:val="0"/>
          <w:color w:val="222222"/>
          <w:sz w:val="21"/>
        </w:rPr>
        <w:t>Prepare a fallback if serverless is unavailable: small classic compute under a restrictive policy.</w:t>
      </w:r>
    </w:p>
    <w:p>
      <w:pPr>
        <w:pStyle w:val="ListBullet"/>
      </w:pPr>
      <w:r>
        <w:rPr>
          <w:rFonts w:ascii="Aptos" w:hAnsi="Aptos"/>
          <w:b w:val="0"/>
          <w:i w:val="0"/>
          <w:color w:val="222222"/>
          <w:sz w:val="21"/>
        </w:rPr>
        <w:t>Project at a zoom level where notebook code and Catalog Explorer are readable.</w:t>
      </w:r>
    </w:p>
    <w:p>
      <w:r>
        <w:br w:type="page"/>
      </w:r>
    </w:p>
    <w:p>
      <w:pPr>
        <w:pStyle w:val="Heading1"/>
      </w:pPr>
      <w:r>
        <w:t>Lesson 1 opening</w:t>
      </w:r>
    </w:p>
    <w:p>
      <w:pPr>
        <w:pStyle w:val="Heading2"/>
      </w:pPr>
      <w:r>
        <w:t>Opening words</w:t>
      </w:r>
    </w:p>
    <w:p>
      <w:r>
        <w:rPr>
          <w:rFonts w:ascii="Aptos" w:hAnsi="Aptos"/>
          <w:b w:val="0"/>
          <w:i w:val="0"/>
          <w:color w:val="222222"/>
          <w:sz w:val="21"/>
        </w:rPr>
        <w:t>“Today we will move from four rows in a Python notebook to a distributed DataFrame, query it with SQL, and understand what actually executes. The goal is not to memorize menus. The goal is to build a model you can use when the data and cluster become much larger.”</w:t>
      </w:r>
    </w:p>
    <w:p>
      <w:pPr>
        <w:pStyle w:val="Heading2"/>
      </w:pPr>
      <w:r>
        <w:t>Diagnostic questions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600"/>
            <w:shd w:fill="0B2545"/>
            <w:tcMar>
              <w:top w:w="90" w:type="dxa"/>
              <w:start w:w="120" w:type="dxa"/>
              <w:bottom w:w="90" w:type="dxa"/>
              <w:end w:w="120" w:type="dxa"/>
            </w:tcMar>
            <w:vAlign w:val="center"/>
          </w:tcPr>
          <w:p>
            <w:pPr>
              <w:spacing w:after="0"/>
            </w:pPr>
            <w:r>
              <w:rPr>
                <w:rFonts w:ascii="Aptos" w:hAnsi="Aptos"/>
                <w:b/>
                <w:i w:val="0"/>
                <w:color w:val="FFFFFF"/>
                <w:sz w:val="18"/>
              </w:rPr>
              <w:t>Ask</w:t>
            </w:r>
          </w:p>
        </w:tc>
        <w:tc>
          <w:tcPr>
            <w:tcW w:type="dxa" w:w="3168"/>
            <w:shd w:fill="0B2545"/>
            <w:tcMar>
              <w:top w:w="90" w:type="dxa"/>
              <w:start w:w="120" w:type="dxa"/>
              <w:bottom w:w="90" w:type="dxa"/>
              <w:end w:w="120" w:type="dxa"/>
            </w:tcMar>
            <w:vAlign w:val="center"/>
          </w:tcPr>
          <w:p>
            <w:pPr>
              <w:spacing w:after="0"/>
            </w:pPr>
            <w:r>
              <w:rPr>
                <w:rFonts w:ascii="Aptos" w:hAnsi="Aptos"/>
                <w:b/>
                <w:i w:val="0"/>
                <w:color w:val="FFFFFF"/>
                <w:sz w:val="18"/>
              </w:rPr>
              <w:t>Listen for</w:t>
            </w:r>
          </w:p>
        </w:tc>
        <w:tc>
          <w:tcPr>
            <w:tcW w:type="dxa" w:w="3096"/>
            <w:shd w:fill="0B2545"/>
            <w:tcMar>
              <w:top w:w="90" w:type="dxa"/>
              <w:start w:w="120" w:type="dxa"/>
              <w:bottom w:w="90" w:type="dxa"/>
              <w:end w:w="120" w:type="dxa"/>
            </w:tcMar>
            <w:vAlign w:val="center"/>
          </w:tcPr>
          <w:p>
            <w:pPr>
              <w:spacing w:after="0"/>
            </w:pPr>
            <w:r>
              <w:rPr>
                <w:rFonts w:ascii="Aptos" w:hAnsi="Aptos"/>
                <w:b/>
                <w:i w:val="0"/>
                <w:color w:val="FFFFFF"/>
                <w:sz w:val="18"/>
              </w:rPr>
              <w:t>If learners are unsure</w:t>
            </w:r>
          </w:p>
        </w:tc>
      </w:tr>
      <w:tr>
        <w:trPr>
          <w:cantSplit/>
        </w:trPr>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8"/>
              </w:rPr>
              <w:t>What is the difference between code and the machine running it?</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Notebook versus compute</w:t>
            </w:r>
          </w:p>
        </w:tc>
        <w:tc>
          <w:tcPr>
            <w:tcW w:type="dxa" w:w="3096"/>
            <w:tcMar>
              <w:top w:w="90" w:type="dxa"/>
              <w:start w:w="120" w:type="dxa"/>
              <w:bottom w:w="90" w:type="dxa"/>
              <w:end w:w="120" w:type="dxa"/>
            </w:tcMar>
            <w:vAlign w:val="center"/>
          </w:tcPr>
          <w:p>
            <w:pPr>
              <w:spacing w:after="0" w:line="252" w:lineRule="auto"/>
            </w:pPr>
            <w:r>
              <w:rPr>
                <w:rFonts w:ascii="Aptos" w:hAnsi="Aptos"/>
                <w:b w:val="0"/>
                <w:i w:val="0"/>
                <w:color w:val="222222"/>
                <w:sz w:val="18"/>
              </w:rPr>
              <w:t>Use the IDE and runtime analogy</w:t>
            </w:r>
          </w:p>
        </w:tc>
      </w:tr>
      <w:tr>
        <w:trPr>
          <w:cantSplit/>
        </w:trPr>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What problem does Spark solve?</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Parallel processing of large data</w:t>
            </w:r>
          </w:p>
        </w:tc>
        <w:tc>
          <w:tcPr>
            <w:tcW w:type="dxa" w:w="30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Start with partitions and workers</w:t>
            </w:r>
          </w:p>
        </w:tc>
      </w:tr>
      <w:tr>
        <w:trPr>
          <w:cantSplit/>
        </w:trPr>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8"/>
              </w:rPr>
              <w:t>Why is CSV not a database table?</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No transactions or reliable schema</w:t>
            </w:r>
          </w:p>
        </w:tc>
        <w:tc>
          <w:tcPr>
            <w:tcW w:type="dxa" w:w="3096"/>
            <w:tcMar>
              <w:top w:w="90" w:type="dxa"/>
              <w:start w:w="120" w:type="dxa"/>
              <w:bottom w:w="90" w:type="dxa"/>
              <w:end w:w="120" w:type="dxa"/>
            </w:tcMar>
            <w:vAlign w:val="center"/>
          </w:tcPr>
          <w:p>
            <w:pPr>
              <w:spacing w:after="0" w:line="252" w:lineRule="auto"/>
            </w:pPr>
            <w:r>
              <w:rPr>
                <w:rFonts w:ascii="Aptos" w:hAnsi="Aptos"/>
                <w:b w:val="0"/>
                <w:i w:val="0"/>
                <w:color w:val="222222"/>
                <w:sz w:val="18"/>
              </w:rPr>
              <w:t>Contrast with Delta log</w:t>
            </w:r>
          </w:p>
        </w:tc>
      </w:tr>
    </w:tbl>
    <w:p>
      <w:pPr>
        <w:spacing w:after="20"/>
      </w:pPr>
    </w:p>
    <w:p>
      <w:pPr>
        <w:pStyle w:val="Heading2"/>
      </w:pPr>
      <w:r>
        <w:t>The core analogy</w:t>
      </w:r>
    </w:p>
    <w:p>
      <w:r>
        <w:rPr>
          <w:rFonts w:ascii="Aptos" w:hAnsi="Aptos"/>
          <w:b w:val="0"/>
          <w:i w:val="0"/>
          <w:color w:val="222222"/>
          <w:sz w:val="21"/>
        </w:rPr>
        <w:t>Use a restaurant carefully: the notebook is the order ticket, the driver is the head coordinator, executors are kitchen stations, and partitions are batches of items assigned to stations. Then retire the analogy and return to the exact Spark words. Emphasize that executors are processes, not people, and that real scheduling is more complex.</w:t>
      </w:r>
    </w:p>
    <w:p>
      <w:pPr>
        <w:spacing w:before="80" w:after="140"/>
      </w:pPr>
      <w:r>
        <w:rPr>
          <w:rFonts w:ascii="Aptos" w:hAnsi="Aptos"/>
          <w:b/>
          <w:i w:val="0"/>
          <w:color w:val="0B2545"/>
          <w:sz w:val="20"/>
        </w:rPr>
        <w:t xml:space="preserve">TRAINER CUE: </w:t>
      </w:r>
      <w:r>
        <w:rPr>
          <w:rFonts w:ascii="Aptos" w:hAnsi="Aptos"/>
          <w:b w:val="0"/>
          <w:i w:val="0"/>
          <w:color w:val="222222"/>
          <w:sz w:val="20"/>
        </w:rPr>
        <w:t>Ask learners to point to the workspace, notebook and compute selector on screen before introducing Spark APIs.</w:t>
      </w:r>
    </w:p>
    <w:p>
      <w:r>
        <w:br w:type="page"/>
      </w:r>
    </w:p>
    <w:p>
      <w:pPr>
        <w:pStyle w:val="Heading1"/>
      </w:pPr>
      <w:r>
        <w:t>Explain the lakehouse and architecture</w:t>
      </w:r>
    </w:p>
    <w:p>
      <w:pPr>
        <w:pStyle w:val="Heading2"/>
      </w:pPr>
      <w:r>
        <w:t>What to say</w:t>
      </w:r>
    </w:p>
    <w:p>
      <w:r>
        <w:rPr>
          <w:rFonts w:ascii="Aptos" w:hAnsi="Aptos"/>
          <w:b w:val="0"/>
          <w:i w:val="0"/>
          <w:color w:val="222222"/>
          <w:sz w:val="21"/>
        </w:rPr>
        <w:t>“A data lake gives economical storage and open files. A warehouse gives managed tables and SQL reliability. A lakehouse adds table-management capabilities to data stored in open formats. Databricks is the managed platform where teams use notebooks, compute, SQL and governance around that data.”</w:t>
      </w:r>
    </w:p>
    <w:p>
      <w:pPr>
        <w:pStyle w:val="Heading2"/>
      </w:pPr>
      <w:r>
        <w:t>Architecture explanation</w:t>
      </w:r>
    </w:p>
    <w:p>
      <w:pPr>
        <w:pStyle w:val="ListBullet"/>
      </w:pPr>
      <w:r>
        <w:rPr>
          <w:rFonts w:ascii="Aptos" w:hAnsi="Aptos"/>
          <w:b w:val="0"/>
          <w:i w:val="0"/>
          <w:color w:val="222222"/>
          <w:sz w:val="21"/>
        </w:rPr>
        <w:t>Control plane: the managed service experience, workspace UI and orchestration.</w:t>
      </w:r>
    </w:p>
    <w:p>
      <w:pPr>
        <w:pStyle w:val="ListBullet"/>
      </w:pPr>
      <w:r>
        <w:rPr>
          <w:rFonts w:ascii="Aptos" w:hAnsi="Aptos"/>
          <w:b w:val="0"/>
          <w:i w:val="0"/>
          <w:color w:val="222222"/>
          <w:sz w:val="21"/>
        </w:rPr>
        <w:t>Compute plane: where Spark drivers and executors process data.</w:t>
      </w:r>
    </w:p>
    <w:p>
      <w:pPr>
        <w:pStyle w:val="ListBullet"/>
      </w:pPr>
      <w:r>
        <w:rPr>
          <w:rFonts w:ascii="Aptos" w:hAnsi="Aptos"/>
          <w:b w:val="0"/>
          <w:i w:val="0"/>
          <w:color w:val="222222"/>
          <w:sz w:val="21"/>
        </w:rPr>
        <w:t>Storage: where files and table data live.</w:t>
      </w:r>
    </w:p>
    <w:p>
      <w:pPr>
        <w:pStyle w:val="ListBullet"/>
      </w:pPr>
      <w:r>
        <w:rPr>
          <w:rFonts w:ascii="Aptos" w:hAnsi="Aptos"/>
          <w:b w:val="0"/>
          <w:i w:val="0"/>
          <w:color w:val="222222"/>
          <w:sz w:val="21"/>
        </w:rPr>
        <w:t>Unity Catalog: where governed names, permissions, lineage and discovery are applied.</w:t>
      </w:r>
    </w:p>
    <w:p>
      <w:pPr>
        <w:pStyle w:val="Heading2"/>
      </w:pPr>
      <w:r>
        <w:t>Misconceptions to correct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096"/>
            <w:shd w:fill="0B2545"/>
            <w:tcMar>
              <w:top w:w="90" w:type="dxa"/>
              <w:start w:w="120" w:type="dxa"/>
              <w:bottom w:w="90" w:type="dxa"/>
              <w:end w:w="120" w:type="dxa"/>
            </w:tcMar>
            <w:vAlign w:val="center"/>
          </w:tcPr>
          <w:p>
            <w:pPr>
              <w:spacing w:after="0"/>
            </w:pPr>
            <w:r>
              <w:rPr>
                <w:rFonts w:ascii="Aptos" w:hAnsi="Aptos"/>
                <w:b/>
                <w:i w:val="0"/>
                <w:color w:val="FFFFFF"/>
                <w:sz w:val="18"/>
              </w:rPr>
              <w:t>Misconception</w:t>
            </w:r>
          </w:p>
        </w:tc>
        <w:tc>
          <w:tcPr>
            <w:tcW w:type="dxa" w:w="6696"/>
            <w:shd w:fill="0B2545"/>
            <w:tcMar>
              <w:top w:w="90" w:type="dxa"/>
              <w:start w:w="120" w:type="dxa"/>
              <w:bottom w:w="90" w:type="dxa"/>
              <w:end w:w="120" w:type="dxa"/>
            </w:tcMar>
            <w:vAlign w:val="center"/>
          </w:tcPr>
          <w:p>
            <w:pPr>
              <w:spacing w:after="0"/>
            </w:pPr>
            <w:r>
              <w:rPr>
                <w:rFonts w:ascii="Aptos" w:hAnsi="Aptos"/>
                <w:b/>
                <w:i w:val="0"/>
                <w:color w:val="FFFFFF"/>
                <w:sz w:val="18"/>
              </w:rPr>
              <w:t>Correction</w:t>
            </w:r>
          </w:p>
        </w:tc>
      </w:tr>
      <w:tr>
        <w:trPr>
          <w:cantSplit/>
        </w:trPr>
        <w:tc>
          <w:tcPr>
            <w:tcW w:type="dxa" w:w="3096"/>
            <w:tcMar>
              <w:top w:w="90" w:type="dxa"/>
              <w:start w:w="120" w:type="dxa"/>
              <w:bottom w:w="90" w:type="dxa"/>
              <w:end w:w="120" w:type="dxa"/>
            </w:tcMar>
            <w:vAlign w:val="center"/>
          </w:tcPr>
          <w:p>
            <w:pPr>
              <w:spacing w:after="0" w:line="252" w:lineRule="auto"/>
            </w:pPr>
            <w:r>
              <w:rPr>
                <w:rFonts w:ascii="Aptos" w:hAnsi="Aptos"/>
                <w:b w:val="0"/>
                <w:i w:val="0"/>
                <w:color w:val="222222"/>
                <w:sz w:val="18"/>
              </w:rPr>
              <w:t>The workspace stores all table data</w:t>
            </w:r>
          </w:p>
        </w:tc>
        <w:tc>
          <w:tcPr>
            <w:tcW w:type="dxa" w:w="6696"/>
            <w:tcMar>
              <w:top w:w="90" w:type="dxa"/>
              <w:start w:w="120" w:type="dxa"/>
              <w:bottom w:w="90" w:type="dxa"/>
              <w:end w:w="120" w:type="dxa"/>
            </w:tcMar>
            <w:vAlign w:val="center"/>
          </w:tcPr>
          <w:p>
            <w:pPr>
              <w:spacing w:after="0" w:line="252" w:lineRule="auto"/>
            </w:pPr>
            <w:r>
              <w:rPr>
                <w:rFonts w:ascii="Aptos" w:hAnsi="Aptos"/>
                <w:b w:val="0"/>
                <w:i w:val="0"/>
                <w:color w:val="222222"/>
                <w:sz w:val="18"/>
              </w:rPr>
              <w:t>The workspace is the collaboration boundary; data is stored in cloud storage locations managed or referenced by the platform.</w:t>
            </w:r>
          </w:p>
        </w:tc>
      </w:tr>
      <w:tr>
        <w:trPr>
          <w:cantSplit/>
        </w:trPr>
        <w:tc>
          <w:tcPr>
            <w:tcW w:type="dxa" w:w="30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 notebook is a cluster</w:t>
            </w:r>
          </w:p>
        </w:tc>
        <w:tc>
          <w:tcPr>
            <w:tcW w:type="dxa" w:w="66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 notebook contains code; compute executes it.</w:t>
            </w:r>
          </w:p>
        </w:tc>
      </w:tr>
      <w:tr>
        <w:trPr>
          <w:cantSplit/>
        </w:trPr>
        <w:tc>
          <w:tcPr>
            <w:tcW w:type="dxa" w:w="3096"/>
            <w:tcMar>
              <w:top w:w="90" w:type="dxa"/>
              <w:start w:w="120" w:type="dxa"/>
              <w:bottom w:w="90" w:type="dxa"/>
              <w:end w:w="120" w:type="dxa"/>
            </w:tcMar>
            <w:vAlign w:val="center"/>
          </w:tcPr>
          <w:p>
            <w:pPr>
              <w:spacing w:after="0" w:line="252" w:lineRule="auto"/>
            </w:pPr>
            <w:r>
              <w:rPr>
                <w:rFonts w:ascii="Aptos" w:hAnsi="Aptos"/>
                <w:b w:val="0"/>
                <w:i w:val="0"/>
                <w:color w:val="222222"/>
                <w:sz w:val="18"/>
              </w:rPr>
              <w:t>Spark means every operation is distributed</w:t>
            </w:r>
          </w:p>
        </w:tc>
        <w:tc>
          <w:tcPr>
            <w:tcW w:type="dxa" w:w="6696"/>
            <w:tcMar>
              <w:top w:w="90" w:type="dxa"/>
              <w:start w:w="120" w:type="dxa"/>
              <w:bottom w:w="90" w:type="dxa"/>
              <w:end w:w="120" w:type="dxa"/>
            </w:tcMar>
            <w:vAlign w:val="center"/>
          </w:tcPr>
          <w:p>
            <w:pPr>
              <w:spacing w:after="0" w:line="252" w:lineRule="auto"/>
            </w:pPr>
            <w:r>
              <w:rPr>
                <w:rFonts w:ascii="Aptos" w:hAnsi="Aptos"/>
                <w:b w:val="0"/>
                <w:i w:val="0"/>
                <w:color w:val="222222"/>
                <w:sz w:val="18"/>
              </w:rPr>
              <w:t>Some work happens on the driver, and small/local operations may not benefit from distribution.</w:t>
            </w:r>
          </w:p>
        </w:tc>
      </w:tr>
      <w:tr>
        <w:trPr>
          <w:cantSplit/>
        </w:trPr>
        <w:tc>
          <w:tcPr>
            <w:tcW w:type="dxa" w:w="30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Serverless means free</w:t>
            </w:r>
          </w:p>
        </w:tc>
        <w:tc>
          <w:tcPr>
            <w:tcW w:type="dxa" w:w="66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Infrastructure is managed for you, but usage still has cost and policy implications.</w:t>
            </w:r>
          </w:p>
        </w:tc>
      </w:tr>
    </w:tbl>
    <w:p>
      <w:pPr>
        <w:spacing w:after="20"/>
      </w:pPr>
    </w:p>
    <w:p>
      <w:r>
        <w:br w:type="page"/>
      </w:r>
    </w:p>
    <w:p>
      <w:pPr>
        <w:pStyle w:val="Heading1"/>
      </w:pPr>
      <w:r>
        <w:t>Explain Spark from a Java perspective</w:t>
      </w:r>
    </w:p>
    <w:p>
      <w:r>
        <w:rPr>
          <w:rFonts w:ascii="Aptos" w:hAnsi="Aptos"/>
          <w:b w:val="0"/>
          <w:i w:val="0"/>
          <w:color w:val="222222"/>
          <w:sz w:val="21"/>
        </w:rPr>
        <w:t>Start with familiar execution, then add distribution. In a Java program, main coordinates calls in one process unless you explicitly add concurrency. In Spark, the driver builds a plan and coordinates tasks on executors. A DataFrame is not a Java List of rows copied to one machine; it is a distributed logical table whose partitions may live across workers.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shd w:fill="0B2545"/>
            <w:tcMar>
              <w:top w:w="90" w:type="dxa"/>
              <w:start w:w="120" w:type="dxa"/>
              <w:bottom w:w="90" w:type="dxa"/>
              <w:end w:w="120" w:type="dxa"/>
            </w:tcMar>
            <w:vAlign w:val="center"/>
          </w:tcPr>
          <w:p>
            <w:pPr>
              <w:spacing w:after="0"/>
            </w:pPr>
            <w:r>
              <w:rPr>
                <w:rFonts w:ascii="Aptos" w:hAnsi="Aptos"/>
                <w:b/>
                <w:i w:val="0"/>
                <w:color w:val="FFFFFF"/>
                <w:sz w:val="18"/>
              </w:rPr>
              <w:t>Spark idea</w:t>
            </w:r>
          </w:p>
        </w:tc>
        <w:tc>
          <w:tcPr>
            <w:tcW w:type="dxa" w:w="3672"/>
            <w:shd w:fill="0B2545"/>
            <w:tcMar>
              <w:top w:w="90" w:type="dxa"/>
              <w:start w:w="120" w:type="dxa"/>
              <w:bottom w:w="90" w:type="dxa"/>
              <w:end w:w="120" w:type="dxa"/>
            </w:tcMar>
            <w:vAlign w:val="center"/>
          </w:tcPr>
          <w:p>
            <w:pPr>
              <w:spacing w:after="0"/>
            </w:pPr>
            <w:r>
              <w:rPr>
                <w:rFonts w:ascii="Aptos" w:hAnsi="Aptos"/>
                <w:b/>
                <w:i w:val="0"/>
                <w:color w:val="FFFFFF"/>
                <w:sz w:val="18"/>
              </w:rPr>
              <w:t>Java bridge</w:t>
            </w:r>
          </w:p>
        </w:tc>
        <w:tc>
          <w:tcPr>
            <w:tcW w:type="dxa" w:w="3960"/>
            <w:shd w:fill="0B2545"/>
            <w:tcMar>
              <w:top w:w="90" w:type="dxa"/>
              <w:start w:w="120" w:type="dxa"/>
              <w:bottom w:w="90" w:type="dxa"/>
              <w:end w:w="120" w:type="dxa"/>
            </w:tcMar>
            <w:vAlign w:val="center"/>
          </w:tcPr>
          <w:p>
            <w:pPr>
              <w:spacing w:after="0"/>
            </w:pPr>
            <w:r>
              <w:rPr>
                <w:rFonts w:ascii="Aptos" w:hAnsi="Aptos"/>
                <w:b/>
                <w:i w:val="0"/>
                <w:color w:val="FFFFFF"/>
                <w:sz w:val="18"/>
              </w:rPr>
              <w:t>Trainer emphasis</w:t>
            </w:r>
          </w:p>
        </w:tc>
      </w:tr>
      <w:tr>
        <w:trPr>
          <w:cantSplit/>
        </w:trPr>
        <w:tc>
          <w:tcPr>
            <w:tcW w:type="dxa" w:w="1944"/>
            <w:tcMar>
              <w:top w:w="90" w:type="dxa"/>
              <w:start w:w="120" w:type="dxa"/>
              <w:bottom w:w="90" w:type="dxa"/>
              <w:end w:w="120" w:type="dxa"/>
            </w:tcMar>
            <w:vAlign w:val="center"/>
          </w:tcPr>
          <w:p>
            <w:pPr>
              <w:spacing w:after="0" w:line="252" w:lineRule="auto"/>
            </w:pPr>
            <w:r>
              <w:rPr>
                <w:rFonts w:ascii="Aptos" w:hAnsi="Aptos"/>
                <w:b w:val="0"/>
                <w:i w:val="0"/>
                <w:color w:val="222222"/>
                <w:sz w:val="18"/>
              </w:rPr>
              <w:t>DataFrame</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8"/>
              </w:rPr>
              <w:t>Conceptually similar to a typed table or collection of Row objects</w:t>
            </w:r>
          </w:p>
        </w:tc>
        <w:tc>
          <w:tcPr>
            <w:tcW w:type="dxa" w:w="3960"/>
            <w:tcMar>
              <w:top w:w="90" w:type="dxa"/>
              <w:start w:w="120" w:type="dxa"/>
              <w:bottom w:w="90" w:type="dxa"/>
              <w:end w:w="120" w:type="dxa"/>
            </w:tcMar>
            <w:vAlign w:val="center"/>
          </w:tcPr>
          <w:p>
            <w:pPr>
              <w:spacing w:after="0" w:line="252" w:lineRule="auto"/>
            </w:pPr>
            <w:r>
              <w:rPr>
                <w:rFonts w:ascii="Aptos" w:hAnsi="Aptos"/>
                <w:b w:val="0"/>
                <w:i w:val="0"/>
                <w:color w:val="222222"/>
                <w:sz w:val="18"/>
              </w:rPr>
              <w:t>Do not imply it is held fully in driver memory</w:t>
            </w:r>
          </w:p>
        </w:tc>
      </w:tr>
      <w:tr>
        <w:trPr>
          <w:cantSplit/>
        </w:trPr>
        <w:tc>
          <w:tcPr>
            <w:tcW w:type="dxa" w:w="19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Transformation</w:t>
            </w:r>
          </w:p>
        </w:tc>
        <w:tc>
          <w:tcPr>
            <w:tcW w:type="dxa" w:w="36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Like an intermediate Stream operation</w:t>
            </w:r>
          </w:p>
        </w:tc>
        <w:tc>
          <w:tcPr>
            <w:tcW w:type="dxa" w:w="39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Lazy; returns a new logical DataFrame</w:t>
            </w:r>
          </w:p>
        </w:tc>
      </w:tr>
      <w:tr>
        <w:trPr>
          <w:cantSplit/>
        </w:trPr>
        <w:tc>
          <w:tcPr>
            <w:tcW w:type="dxa" w:w="1944"/>
            <w:tcMar>
              <w:top w:w="90" w:type="dxa"/>
              <w:start w:w="120" w:type="dxa"/>
              <w:bottom w:w="90" w:type="dxa"/>
              <w:end w:w="120" w:type="dxa"/>
            </w:tcMar>
            <w:vAlign w:val="center"/>
          </w:tcPr>
          <w:p>
            <w:pPr>
              <w:spacing w:after="0" w:line="252" w:lineRule="auto"/>
            </w:pPr>
            <w:r>
              <w:rPr>
                <w:rFonts w:ascii="Aptos" w:hAnsi="Aptos"/>
                <w:b w:val="0"/>
                <w:i w:val="0"/>
                <w:color w:val="222222"/>
                <w:sz w:val="18"/>
              </w:rPr>
              <w:t>Action</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8"/>
              </w:rPr>
              <w:t>Like a terminal Stream operation</w:t>
            </w:r>
          </w:p>
        </w:tc>
        <w:tc>
          <w:tcPr>
            <w:tcW w:type="dxa" w:w="3960"/>
            <w:tcMar>
              <w:top w:w="90" w:type="dxa"/>
              <w:start w:w="120" w:type="dxa"/>
              <w:bottom w:w="90" w:type="dxa"/>
              <w:end w:w="120" w:type="dxa"/>
            </w:tcMar>
            <w:vAlign w:val="center"/>
          </w:tcPr>
          <w:p>
            <w:pPr>
              <w:spacing w:after="0" w:line="252" w:lineRule="auto"/>
            </w:pPr>
            <w:r>
              <w:rPr>
                <w:rFonts w:ascii="Aptos" w:hAnsi="Aptos"/>
                <w:b w:val="0"/>
                <w:i w:val="0"/>
                <w:color w:val="222222"/>
                <w:sz w:val="18"/>
              </w:rPr>
              <w:t>Triggers a job and may move data</w:t>
            </w:r>
          </w:p>
        </w:tc>
      </w:tr>
      <w:tr>
        <w:trPr>
          <w:cantSplit/>
        </w:trPr>
        <w:tc>
          <w:tcPr>
            <w:tcW w:type="dxa" w:w="19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collect</w:t>
            </w:r>
          </w:p>
        </w:tc>
        <w:tc>
          <w:tcPr>
            <w:tcW w:type="dxa" w:w="36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Materialize results in the driver</w:t>
            </w:r>
          </w:p>
        </w:tc>
        <w:tc>
          <w:tcPr>
            <w:tcW w:type="dxa" w:w="39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Dangerous for large data</w:t>
            </w:r>
          </w:p>
        </w:tc>
      </w:tr>
      <w:tr>
        <w:trPr>
          <w:cantSplit/>
        </w:trPr>
        <w:tc>
          <w:tcPr>
            <w:tcW w:type="dxa" w:w="1944"/>
            <w:tcMar>
              <w:top w:w="90" w:type="dxa"/>
              <w:start w:w="120" w:type="dxa"/>
              <w:bottom w:w="90" w:type="dxa"/>
              <w:end w:w="120" w:type="dxa"/>
            </w:tcMar>
            <w:vAlign w:val="center"/>
          </w:tcPr>
          <w:p>
            <w:pPr>
              <w:spacing w:after="0" w:line="252" w:lineRule="auto"/>
            </w:pPr>
            <w:r>
              <w:rPr>
                <w:rFonts w:ascii="Aptos" w:hAnsi="Aptos"/>
                <w:b w:val="0"/>
                <w:i w:val="0"/>
                <w:color w:val="222222"/>
                <w:sz w:val="18"/>
              </w:rPr>
              <w:t>UDF</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8"/>
              </w:rPr>
              <w:t>Custom function applied to data</w:t>
            </w:r>
          </w:p>
        </w:tc>
        <w:tc>
          <w:tcPr>
            <w:tcW w:type="dxa" w:w="3960"/>
            <w:tcMar>
              <w:top w:w="90" w:type="dxa"/>
              <w:start w:w="120" w:type="dxa"/>
              <w:bottom w:w="90" w:type="dxa"/>
              <w:end w:w="120" w:type="dxa"/>
            </w:tcMar>
            <w:vAlign w:val="center"/>
          </w:tcPr>
          <w:p>
            <w:pPr>
              <w:spacing w:after="0" w:line="252" w:lineRule="auto"/>
            </w:pPr>
            <w:r>
              <w:rPr>
                <w:rFonts w:ascii="Aptos" w:hAnsi="Aptos"/>
                <w:b w:val="0"/>
                <w:i w:val="0"/>
                <w:color w:val="222222"/>
                <w:sz w:val="18"/>
              </w:rPr>
              <w:t>Built-in expressions are usually easier to optimize</w:t>
            </w:r>
          </w:p>
        </w:tc>
      </w:tr>
    </w:tbl>
    <w:p>
      <w:pPr>
        <w:spacing w:after="20"/>
      </w:pPr>
    </w:p>
    <w:p>
      <w:pPr>
        <w:pStyle w:val="Heading2"/>
      </w:pPr>
      <w:r>
        <w:t>Live whiteboard sequence</w:t>
      </w:r>
    </w:p>
    <w:p>
      <w:pPr>
        <w:pStyle w:val="ListNumber"/>
      </w:pPr>
      <w:r>
        <w:rPr>
          <w:rFonts w:ascii="Aptos" w:hAnsi="Aptos"/>
          <w:b w:val="0"/>
          <w:i w:val="0"/>
          <w:color w:val="222222"/>
          <w:sz w:val="21"/>
        </w:rPr>
        <w:t>Draw one driver box.</w:t>
      </w:r>
    </w:p>
    <w:p>
      <w:pPr>
        <w:pStyle w:val="ListNumber"/>
      </w:pPr>
      <w:r>
        <w:rPr>
          <w:rFonts w:ascii="Aptos" w:hAnsi="Aptos"/>
          <w:b w:val="0"/>
          <w:i w:val="0"/>
          <w:color w:val="222222"/>
          <w:sz w:val="21"/>
        </w:rPr>
        <w:t>Draw two executor boxes.</w:t>
      </w:r>
    </w:p>
    <w:p>
      <w:pPr>
        <w:pStyle w:val="ListNumber"/>
      </w:pPr>
      <w:r>
        <w:rPr>
          <w:rFonts w:ascii="Aptos" w:hAnsi="Aptos"/>
          <w:b w:val="0"/>
          <w:i w:val="0"/>
          <w:color w:val="222222"/>
          <w:sz w:val="21"/>
        </w:rPr>
        <w:t>Split eight records into two partitions.</w:t>
      </w:r>
    </w:p>
    <w:p>
      <w:pPr>
        <w:pStyle w:val="ListNumber"/>
      </w:pPr>
      <w:r>
        <w:rPr>
          <w:rFonts w:ascii="Aptos" w:hAnsi="Aptos"/>
          <w:b w:val="0"/>
          <w:i w:val="0"/>
          <w:color w:val="222222"/>
          <w:sz w:val="21"/>
        </w:rPr>
        <w:t>Apply filter to each partition.</w:t>
      </w:r>
    </w:p>
    <w:p>
      <w:pPr>
        <w:pStyle w:val="ListNumber"/>
      </w:pPr>
      <w:r>
        <w:rPr>
          <w:rFonts w:ascii="Aptos" w:hAnsi="Aptos"/>
          <w:b w:val="0"/>
          <w:i w:val="0"/>
          <w:color w:val="222222"/>
          <w:sz w:val="21"/>
        </w:rPr>
        <w:t>Show a groupBy causing data to move by key.</w:t>
      </w:r>
    </w:p>
    <w:p>
      <w:pPr>
        <w:pStyle w:val="ListNumber"/>
      </w:pPr>
      <w:r>
        <w:rPr>
          <w:rFonts w:ascii="Aptos" w:hAnsi="Aptos"/>
          <w:b w:val="0"/>
          <w:i w:val="0"/>
          <w:color w:val="222222"/>
          <w:sz w:val="21"/>
        </w:rPr>
        <w:t>Circle display as the action that starts execution.</w:t>
      </w:r>
    </w:p>
    <w:p>
      <w:pPr>
        <w:spacing w:before="80" w:after="140"/>
      </w:pPr>
      <w:r>
        <w:rPr>
          <w:rFonts w:ascii="Aptos" w:hAnsi="Aptos"/>
          <w:b/>
          <w:i w:val="0"/>
          <w:color w:val="0B2545"/>
          <w:sz w:val="20"/>
        </w:rPr>
        <w:t xml:space="preserve">CHECK FOR UNDERSTANDING: </w:t>
      </w:r>
      <w:r>
        <w:rPr>
          <w:rFonts w:ascii="Aptos" w:hAnsi="Aptos"/>
          <w:b w:val="0"/>
          <w:i w:val="0"/>
          <w:color w:val="222222"/>
          <w:sz w:val="20"/>
        </w:rPr>
        <w:t>Ask: “If I define three transformations but never call display, count or write, what may Spark do?” Expected: build a plan but not execute the full data job yet.</w:t>
      </w:r>
    </w:p>
    <w:p>
      <w:r>
        <w:br w:type="page"/>
      </w:r>
    </w:p>
    <w:p>
      <w:pPr>
        <w:pStyle w:val="Heading1"/>
      </w:pPr>
      <w:r>
        <w:t>Lesson 1 live demonstration script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152"/>
            <w:shd w:fill="0B2545"/>
            <w:tcMar>
              <w:top w:w="90" w:type="dxa"/>
              <w:start w:w="120" w:type="dxa"/>
              <w:bottom w:w="90" w:type="dxa"/>
              <w:end w:w="120" w:type="dxa"/>
            </w:tcMar>
            <w:vAlign w:val="center"/>
          </w:tcPr>
          <w:p>
            <w:pPr>
              <w:spacing w:after="0"/>
            </w:pPr>
            <w:r>
              <w:rPr>
                <w:rFonts w:ascii="Aptos" w:hAnsi="Aptos"/>
                <w:b/>
                <w:i w:val="0"/>
                <w:color w:val="FFFFFF"/>
                <w:sz w:val="17"/>
              </w:rPr>
              <w:t>Minute</w:t>
            </w:r>
          </w:p>
        </w:tc>
        <w:tc>
          <w:tcPr>
            <w:tcW w:type="dxa" w:w="3312"/>
            <w:shd w:fill="0B2545"/>
            <w:tcMar>
              <w:top w:w="90" w:type="dxa"/>
              <w:start w:w="120" w:type="dxa"/>
              <w:bottom w:w="90" w:type="dxa"/>
              <w:end w:w="120" w:type="dxa"/>
            </w:tcMar>
            <w:vAlign w:val="center"/>
          </w:tcPr>
          <w:p>
            <w:pPr>
              <w:spacing w:after="0"/>
            </w:pPr>
            <w:r>
              <w:rPr>
                <w:rFonts w:ascii="Aptos" w:hAnsi="Aptos"/>
                <w:b/>
                <w:i w:val="0"/>
                <w:color w:val="FFFFFF"/>
                <w:sz w:val="17"/>
              </w:rPr>
              <w:t>Action</w:t>
            </w:r>
          </w:p>
        </w:tc>
        <w:tc>
          <w:tcPr>
            <w:tcW w:type="dxa" w:w="5112"/>
            <w:shd w:fill="0B2545"/>
            <w:tcMar>
              <w:top w:w="90" w:type="dxa"/>
              <w:start w:w="120" w:type="dxa"/>
              <w:bottom w:w="90" w:type="dxa"/>
              <w:end w:w="120" w:type="dxa"/>
            </w:tcMar>
            <w:vAlign w:val="center"/>
          </w:tcPr>
          <w:p>
            <w:pPr>
              <w:spacing w:after="0"/>
            </w:pPr>
            <w:r>
              <w:rPr>
                <w:rFonts w:ascii="Aptos" w:hAnsi="Aptos"/>
                <w:b/>
                <w:i w:val="0"/>
                <w:color w:val="FFFFFF"/>
                <w:sz w:val="17"/>
              </w:rPr>
              <w:t>Narration</w:t>
            </w:r>
          </w:p>
        </w:tc>
      </w:tr>
      <w:tr>
        <w:trPr>
          <w:cantSplit/>
        </w:trPr>
        <w:tc>
          <w:tcPr>
            <w:tcW w:type="dxa" w:w="1152"/>
            <w:tcMar>
              <w:top w:w="90" w:type="dxa"/>
              <w:start w:w="120" w:type="dxa"/>
              <w:bottom w:w="90" w:type="dxa"/>
              <w:end w:w="120" w:type="dxa"/>
            </w:tcMar>
            <w:vAlign w:val="center"/>
          </w:tcPr>
          <w:p>
            <w:pPr>
              <w:spacing w:after="0" w:line="252" w:lineRule="auto"/>
            </w:pPr>
            <w:r>
              <w:rPr>
                <w:rFonts w:ascii="Aptos" w:hAnsi="Aptos"/>
                <w:b w:val="0"/>
                <w:i w:val="0"/>
                <w:color w:val="222222"/>
                <w:sz w:val="17"/>
              </w:rPr>
              <w:t>0–5</w:t>
            </w:r>
          </w:p>
        </w:tc>
        <w:tc>
          <w:tcPr>
            <w:tcW w:type="dxa" w:w="3312"/>
            <w:tcMar>
              <w:top w:w="90" w:type="dxa"/>
              <w:start w:w="120" w:type="dxa"/>
              <w:bottom w:w="90" w:type="dxa"/>
              <w:end w:w="120" w:type="dxa"/>
            </w:tcMar>
            <w:vAlign w:val="center"/>
          </w:tcPr>
          <w:p>
            <w:pPr>
              <w:spacing w:after="0" w:line="252" w:lineRule="auto"/>
            </w:pPr>
            <w:r>
              <w:rPr>
                <w:rFonts w:ascii="Aptos" w:hAnsi="Aptos"/>
                <w:b w:val="0"/>
                <w:i w:val="0"/>
                <w:color w:val="222222"/>
                <w:sz w:val="17"/>
              </w:rPr>
              <w:t>Create 01 Foundations Orders</w:t>
            </w:r>
          </w:p>
        </w:tc>
        <w:tc>
          <w:tcPr>
            <w:tcW w:type="dxa" w:w="5112"/>
            <w:tcMar>
              <w:top w:w="90" w:type="dxa"/>
              <w:start w:w="120" w:type="dxa"/>
              <w:bottom w:w="90" w:type="dxa"/>
              <w:end w:w="120" w:type="dxa"/>
            </w:tcMar>
            <w:vAlign w:val="center"/>
          </w:tcPr>
          <w:p>
            <w:pPr>
              <w:spacing w:after="0" w:line="252" w:lineRule="auto"/>
            </w:pPr>
            <w:r>
              <w:rPr>
                <w:rFonts w:ascii="Aptos" w:hAnsi="Aptos"/>
                <w:b w:val="0"/>
                <w:i w:val="0"/>
                <w:color w:val="222222"/>
                <w:sz w:val="17"/>
              </w:rPr>
              <w:t>Name notebooks by purpose, not by date alone.</w:t>
            </w:r>
          </w:p>
        </w:tc>
      </w:tr>
      <w:tr>
        <w:trPr>
          <w:cantSplit/>
        </w:trPr>
        <w:tc>
          <w:tcPr>
            <w:tcW w:type="dxa" w:w="11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5–10</w:t>
            </w:r>
          </w:p>
        </w:tc>
        <w:tc>
          <w:tcPr>
            <w:tcW w:type="dxa" w:w="331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Run spark.range(5)</w:t>
            </w:r>
          </w:p>
        </w:tc>
        <w:tc>
          <w:tcPr>
            <w:tcW w:type="dxa" w:w="511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The notebook sends a command to connected compute.</w:t>
            </w:r>
          </w:p>
        </w:tc>
      </w:tr>
      <w:tr>
        <w:trPr>
          <w:cantSplit/>
        </w:trPr>
        <w:tc>
          <w:tcPr>
            <w:tcW w:type="dxa" w:w="1152"/>
            <w:tcMar>
              <w:top w:w="90" w:type="dxa"/>
              <w:start w:w="120" w:type="dxa"/>
              <w:bottom w:w="90" w:type="dxa"/>
              <w:end w:w="120" w:type="dxa"/>
            </w:tcMar>
            <w:vAlign w:val="center"/>
          </w:tcPr>
          <w:p>
            <w:pPr>
              <w:spacing w:after="0" w:line="252" w:lineRule="auto"/>
            </w:pPr>
            <w:r>
              <w:rPr>
                <w:rFonts w:ascii="Aptos" w:hAnsi="Aptos"/>
                <w:b w:val="0"/>
                <w:i w:val="0"/>
                <w:color w:val="222222"/>
                <w:sz w:val="17"/>
              </w:rPr>
              <w:t>10–20</w:t>
            </w:r>
          </w:p>
        </w:tc>
        <w:tc>
          <w:tcPr>
            <w:tcW w:type="dxa" w:w="3312"/>
            <w:tcMar>
              <w:top w:w="90" w:type="dxa"/>
              <w:start w:w="120" w:type="dxa"/>
              <w:bottom w:w="90" w:type="dxa"/>
              <w:end w:w="120" w:type="dxa"/>
            </w:tcMar>
            <w:vAlign w:val="center"/>
          </w:tcPr>
          <w:p>
            <w:pPr>
              <w:spacing w:after="0" w:line="252" w:lineRule="auto"/>
            </w:pPr>
            <w:r>
              <w:rPr>
                <w:rFonts w:ascii="Aptos" w:hAnsi="Aptos"/>
                <w:b w:val="0"/>
                <w:i w:val="0"/>
                <w:color w:val="222222"/>
                <w:sz w:val="17"/>
              </w:rPr>
              <w:t>Create orders_df and printSchema</w:t>
            </w:r>
          </w:p>
        </w:tc>
        <w:tc>
          <w:tcPr>
            <w:tcW w:type="dxa" w:w="5112"/>
            <w:tcMar>
              <w:top w:w="90" w:type="dxa"/>
              <w:start w:w="120" w:type="dxa"/>
              <w:bottom w:w="90" w:type="dxa"/>
              <w:end w:w="120" w:type="dxa"/>
            </w:tcMar>
            <w:vAlign w:val="center"/>
          </w:tcPr>
          <w:p>
            <w:pPr>
              <w:spacing w:after="0" w:line="252" w:lineRule="auto"/>
            </w:pPr>
            <w:r>
              <w:rPr>
                <w:rFonts w:ascii="Aptos" w:hAnsi="Aptos"/>
                <w:b w:val="0"/>
                <w:i w:val="0"/>
                <w:color w:val="222222"/>
                <w:sz w:val="17"/>
              </w:rPr>
              <w:t>The schema gives Spark information for planning.</w:t>
            </w:r>
          </w:p>
        </w:tc>
      </w:tr>
      <w:tr>
        <w:trPr>
          <w:cantSplit/>
        </w:trPr>
        <w:tc>
          <w:tcPr>
            <w:tcW w:type="dxa" w:w="11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20–30</w:t>
            </w:r>
          </w:p>
        </w:tc>
        <w:tc>
          <w:tcPr>
            <w:tcW w:type="dxa" w:w="331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Add order_total and filter</w:t>
            </w:r>
          </w:p>
        </w:tc>
        <w:tc>
          <w:tcPr>
            <w:tcW w:type="dxa" w:w="511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These transformations describe a new DataFrame.</w:t>
            </w:r>
          </w:p>
        </w:tc>
      </w:tr>
      <w:tr>
        <w:trPr>
          <w:cantSplit/>
        </w:trPr>
        <w:tc>
          <w:tcPr>
            <w:tcW w:type="dxa" w:w="1152"/>
            <w:tcMar>
              <w:top w:w="90" w:type="dxa"/>
              <w:start w:w="120" w:type="dxa"/>
              <w:bottom w:w="90" w:type="dxa"/>
              <w:end w:w="120" w:type="dxa"/>
            </w:tcMar>
            <w:vAlign w:val="center"/>
          </w:tcPr>
          <w:p>
            <w:pPr>
              <w:spacing w:after="0" w:line="252" w:lineRule="auto"/>
            </w:pPr>
            <w:r>
              <w:rPr>
                <w:rFonts w:ascii="Aptos" w:hAnsi="Aptos"/>
                <w:b w:val="0"/>
                <w:i w:val="0"/>
                <w:color w:val="222222"/>
                <w:sz w:val="17"/>
              </w:rPr>
              <w:t>30–38</w:t>
            </w:r>
          </w:p>
        </w:tc>
        <w:tc>
          <w:tcPr>
            <w:tcW w:type="dxa" w:w="3312"/>
            <w:tcMar>
              <w:top w:w="90" w:type="dxa"/>
              <w:start w:w="120" w:type="dxa"/>
              <w:bottom w:w="90" w:type="dxa"/>
              <w:end w:w="120" w:type="dxa"/>
            </w:tcMar>
            <w:vAlign w:val="center"/>
          </w:tcPr>
          <w:p>
            <w:pPr>
              <w:spacing w:after="0" w:line="252" w:lineRule="auto"/>
            </w:pPr>
            <w:r>
              <w:rPr>
                <w:rFonts w:ascii="Aptos" w:hAnsi="Aptos"/>
                <w:b w:val="0"/>
                <w:i w:val="0"/>
                <w:color w:val="222222"/>
                <w:sz w:val="17"/>
              </w:rPr>
              <w:t>Call display</w:t>
            </w:r>
          </w:p>
        </w:tc>
        <w:tc>
          <w:tcPr>
            <w:tcW w:type="dxa" w:w="5112"/>
            <w:tcMar>
              <w:top w:w="90" w:type="dxa"/>
              <w:start w:w="120" w:type="dxa"/>
              <w:bottom w:w="90" w:type="dxa"/>
              <w:end w:w="120" w:type="dxa"/>
            </w:tcMar>
            <w:vAlign w:val="center"/>
          </w:tcPr>
          <w:p>
            <w:pPr>
              <w:spacing w:after="0" w:line="252" w:lineRule="auto"/>
            </w:pPr>
            <w:r>
              <w:rPr>
                <w:rFonts w:ascii="Aptos" w:hAnsi="Aptos"/>
                <w:b w:val="0"/>
                <w:i w:val="0"/>
                <w:color w:val="222222"/>
                <w:sz w:val="17"/>
              </w:rPr>
              <w:t>This action triggers execution and returns a small result.</w:t>
            </w:r>
          </w:p>
        </w:tc>
      </w:tr>
      <w:tr>
        <w:trPr>
          <w:cantSplit/>
        </w:trPr>
        <w:tc>
          <w:tcPr>
            <w:tcW w:type="dxa" w:w="11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38–48</w:t>
            </w:r>
          </w:p>
        </w:tc>
        <w:tc>
          <w:tcPr>
            <w:tcW w:type="dxa" w:w="331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Create temp view and query with SQL</w:t>
            </w:r>
          </w:p>
        </w:tc>
        <w:tc>
          <w:tcPr>
            <w:tcW w:type="dxa" w:w="511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Python and SQL use the same Spark engine.</w:t>
            </w:r>
          </w:p>
        </w:tc>
      </w:tr>
      <w:tr>
        <w:trPr>
          <w:cantSplit/>
        </w:trPr>
        <w:tc>
          <w:tcPr>
            <w:tcW w:type="dxa" w:w="1152"/>
            <w:tcMar>
              <w:top w:w="90" w:type="dxa"/>
              <w:start w:w="120" w:type="dxa"/>
              <w:bottom w:w="90" w:type="dxa"/>
              <w:end w:w="120" w:type="dxa"/>
            </w:tcMar>
            <w:vAlign w:val="center"/>
          </w:tcPr>
          <w:p>
            <w:pPr>
              <w:spacing w:after="0" w:line="252" w:lineRule="auto"/>
            </w:pPr>
            <w:r>
              <w:rPr>
                <w:rFonts w:ascii="Aptos" w:hAnsi="Aptos"/>
                <w:b w:val="0"/>
                <w:i w:val="0"/>
                <w:color w:val="222222"/>
                <w:sz w:val="17"/>
              </w:rPr>
              <w:t>48–55</w:t>
            </w:r>
          </w:p>
        </w:tc>
        <w:tc>
          <w:tcPr>
            <w:tcW w:type="dxa" w:w="3312"/>
            <w:tcMar>
              <w:top w:w="90" w:type="dxa"/>
              <w:start w:w="120" w:type="dxa"/>
              <w:bottom w:w="90" w:type="dxa"/>
              <w:end w:w="120" w:type="dxa"/>
            </w:tcMar>
            <w:vAlign w:val="center"/>
          </w:tcPr>
          <w:p>
            <w:pPr>
              <w:spacing w:after="0" w:line="252" w:lineRule="auto"/>
            </w:pPr>
            <w:r>
              <w:rPr>
                <w:rFonts w:ascii="Aptos" w:hAnsi="Aptos"/>
                <w:b w:val="0"/>
                <w:i w:val="0"/>
                <w:color w:val="222222"/>
                <w:sz w:val="17"/>
              </w:rPr>
              <w:t>Show execution or query details</w:t>
            </w:r>
          </w:p>
        </w:tc>
        <w:tc>
          <w:tcPr>
            <w:tcW w:type="dxa" w:w="5112"/>
            <w:tcMar>
              <w:top w:w="90" w:type="dxa"/>
              <w:start w:w="120" w:type="dxa"/>
              <w:bottom w:w="90" w:type="dxa"/>
              <w:end w:w="120" w:type="dxa"/>
            </w:tcMar>
            <w:vAlign w:val="center"/>
          </w:tcPr>
          <w:p>
            <w:pPr>
              <w:spacing w:after="0" w:line="252" w:lineRule="auto"/>
            </w:pPr>
            <w:r>
              <w:rPr>
                <w:rFonts w:ascii="Aptos" w:hAnsi="Aptos"/>
                <w:b w:val="0"/>
                <w:i w:val="0"/>
                <w:color w:val="222222"/>
                <w:sz w:val="17"/>
              </w:rPr>
              <w:t>Point out stages only at a high level.</w:t>
            </w:r>
          </w:p>
        </w:tc>
      </w:tr>
    </w:tbl>
    <w:p>
      <w:pPr>
        <w:spacing w:after="20"/>
      </w:pPr>
    </w:p>
    <w:p>
      <w:pPr>
        <w:pStyle w:val="Heading2"/>
      </w:pPr>
      <w:r>
        <w:t>Code narration</w:t>
      </w:r>
    </w:p>
    <w:p>
      <w:r>
        <w:rPr>
          <w:rFonts w:ascii="Aptos" w:hAnsi="Aptos"/>
          <w:b w:val="0"/>
          <w:i w:val="0"/>
          <w:color w:val="222222"/>
          <w:sz w:val="21"/>
        </w:rPr>
        <w:t>When creating the DataFrame, say: “The sample fits in memory, but Spark still gives us the same DataFrame API used for larger distributed sources.” When adding order_total, say: “withColumn returns a new DataFrame; it does not mutate the original in the way a setter changes a Java object.”</w:t>
      </w:r>
    </w:p>
    <w:p>
      <w:pPr>
        <w:pStyle w:val="Heading2"/>
      </w:pPr>
      <w:r>
        <w:t>Pause points</w:t>
      </w:r>
    </w:p>
    <w:p>
      <w:pPr>
        <w:pStyle w:val="ListBullet"/>
      </w:pPr>
      <w:r>
        <w:rPr>
          <w:rFonts w:ascii="Aptos" w:hAnsi="Aptos"/>
          <w:b w:val="0"/>
          <w:i w:val="0"/>
          <w:color w:val="222222"/>
          <w:sz w:val="21"/>
        </w:rPr>
        <w:t>Before display: ask learners to predict the highest order_total.</w:t>
      </w:r>
    </w:p>
    <w:p>
      <w:pPr>
        <w:pStyle w:val="ListBullet"/>
      </w:pPr>
      <w:r>
        <w:rPr>
          <w:rFonts w:ascii="Aptos" w:hAnsi="Aptos"/>
          <w:b w:val="0"/>
          <w:i w:val="0"/>
          <w:color w:val="222222"/>
          <w:sz w:val="21"/>
        </w:rPr>
        <w:t>Before SQL: ask whether the temp view is permanent.</w:t>
      </w:r>
    </w:p>
    <w:p>
      <w:pPr>
        <w:pStyle w:val="ListBullet"/>
      </w:pPr>
      <w:r>
        <w:rPr>
          <w:rFonts w:ascii="Aptos" w:hAnsi="Aptos"/>
          <w:b w:val="0"/>
          <w:i w:val="0"/>
          <w:color w:val="222222"/>
          <w:sz w:val="21"/>
        </w:rPr>
        <w:t>After the query: ask which operation would cause a shuffle and why groupBy needs records with the same key together.</w:t>
      </w:r>
    </w:p>
    <w:p>
      <w:r>
        <w:br w:type="page"/>
      </w:r>
    </w:p>
    <w:p>
      <w:pPr>
        <w:pStyle w:val="Heading1"/>
      </w:pPr>
      <w:r>
        <w:t>Coach the Lesson 1 lab</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304"/>
            <w:shd w:fill="0B2545"/>
            <w:tcMar>
              <w:top w:w="90" w:type="dxa"/>
              <w:start w:w="120" w:type="dxa"/>
              <w:bottom w:w="90" w:type="dxa"/>
              <w:end w:w="120" w:type="dxa"/>
            </w:tcMar>
            <w:vAlign w:val="center"/>
          </w:tcPr>
          <w:p>
            <w:pPr>
              <w:spacing w:after="0"/>
            </w:pPr>
            <w:r>
              <w:rPr>
                <w:rFonts w:ascii="Aptos" w:hAnsi="Aptos"/>
                <w:b/>
                <w:i w:val="0"/>
                <w:color w:val="FFFFFF"/>
                <w:sz w:val="17"/>
              </w:rPr>
              <w:t>Observed issue</w:t>
            </w:r>
          </w:p>
        </w:tc>
        <w:tc>
          <w:tcPr>
            <w:tcW w:type="dxa" w:w="4320"/>
            <w:shd w:fill="0B2545"/>
            <w:tcMar>
              <w:top w:w="90" w:type="dxa"/>
              <w:start w:w="120" w:type="dxa"/>
              <w:bottom w:w="90" w:type="dxa"/>
              <w:end w:w="120" w:type="dxa"/>
            </w:tcMar>
            <w:vAlign w:val="center"/>
          </w:tcPr>
          <w:p>
            <w:pPr>
              <w:spacing w:after="0"/>
            </w:pPr>
            <w:r>
              <w:rPr>
                <w:rFonts w:ascii="Aptos" w:hAnsi="Aptos"/>
                <w:b/>
                <w:i w:val="0"/>
                <w:color w:val="FFFFFF"/>
                <w:sz w:val="17"/>
              </w:rPr>
              <w:t>Prompt instead of giving answer</w:t>
            </w:r>
          </w:p>
        </w:tc>
        <w:tc>
          <w:tcPr>
            <w:tcW w:type="dxa" w:w="2952"/>
            <w:shd w:fill="0B2545"/>
            <w:tcMar>
              <w:top w:w="90" w:type="dxa"/>
              <w:start w:w="120" w:type="dxa"/>
              <w:bottom w:w="90" w:type="dxa"/>
              <w:end w:w="120" w:type="dxa"/>
            </w:tcMar>
            <w:vAlign w:val="center"/>
          </w:tcPr>
          <w:p>
            <w:pPr>
              <w:spacing w:after="0"/>
            </w:pPr>
            <w:r>
              <w:rPr>
                <w:rFonts w:ascii="Aptos" w:hAnsi="Aptos"/>
                <w:b/>
                <w:i w:val="0"/>
                <w:color w:val="FFFFFF"/>
                <w:sz w:val="17"/>
              </w:rPr>
              <w:t>Resolution</w:t>
            </w:r>
          </w:p>
        </w:tc>
      </w:tr>
      <w:tr>
        <w:trPr>
          <w:cantSplit/>
        </w:trPr>
        <w:tc>
          <w:tcPr>
            <w:tcW w:type="dxa" w:w="2304"/>
            <w:tcMar>
              <w:top w:w="90" w:type="dxa"/>
              <w:start w:w="120" w:type="dxa"/>
              <w:bottom w:w="90" w:type="dxa"/>
              <w:end w:w="120" w:type="dxa"/>
            </w:tcMar>
            <w:vAlign w:val="center"/>
          </w:tcPr>
          <w:p>
            <w:pPr>
              <w:spacing w:after="0" w:line="252" w:lineRule="auto"/>
            </w:pPr>
            <w:r>
              <w:rPr>
                <w:rFonts w:ascii="Aptos" w:hAnsi="Aptos"/>
                <w:b w:val="0"/>
                <w:i w:val="0"/>
                <w:color w:val="222222"/>
                <w:sz w:val="17"/>
              </w:rPr>
              <w:t>NameError for F</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7"/>
              </w:rPr>
              <w:t>“Where was functions imported?”</w:t>
            </w:r>
          </w:p>
        </w:tc>
        <w:tc>
          <w:tcPr>
            <w:tcW w:type="dxa" w:w="2952"/>
            <w:tcMar>
              <w:top w:w="90" w:type="dxa"/>
              <w:start w:w="120" w:type="dxa"/>
              <w:bottom w:w="90" w:type="dxa"/>
              <w:end w:w="120" w:type="dxa"/>
            </w:tcMar>
            <w:vAlign w:val="center"/>
          </w:tcPr>
          <w:p>
            <w:pPr>
              <w:spacing w:after="0" w:line="252" w:lineRule="auto"/>
            </w:pPr>
            <w:r>
              <w:rPr>
                <w:rFonts w:ascii="Aptos" w:hAnsi="Aptos"/>
                <w:b w:val="0"/>
                <w:i w:val="0"/>
                <w:color w:val="222222"/>
                <w:sz w:val="17"/>
              </w:rPr>
              <w:t>Run the import cell or execute notebook from top.</w:t>
            </w:r>
          </w:p>
        </w:tc>
      </w:tr>
      <w:tr>
        <w:trPr>
          <w:cantSplit/>
        </w:trPr>
        <w:tc>
          <w:tcPr>
            <w:tcW w:type="dxa" w:w="23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Wrong total</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“What are the two input columns and their types?”</w:t>
            </w:r>
          </w:p>
        </w:tc>
        <w:tc>
          <w:tcPr>
            <w:tcW w:type="dxa" w:w="29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Inspect schema; multiply quantity by unit_price.</w:t>
            </w:r>
          </w:p>
        </w:tc>
      </w:tr>
      <w:tr>
        <w:trPr>
          <w:cantSplit/>
        </w:trPr>
        <w:tc>
          <w:tcPr>
            <w:tcW w:type="dxa" w:w="2304"/>
            <w:tcMar>
              <w:top w:w="90" w:type="dxa"/>
              <w:start w:w="120" w:type="dxa"/>
              <w:bottom w:w="90" w:type="dxa"/>
              <w:end w:w="120" w:type="dxa"/>
            </w:tcMar>
            <w:vAlign w:val="center"/>
          </w:tcPr>
          <w:p>
            <w:pPr>
              <w:spacing w:after="0" w:line="252" w:lineRule="auto"/>
            </w:pPr>
            <w:r>
              <w:rPr>
                <w:rFonts w:ascii="Aptos" w:hAnsi="Aptos"/>
                <w:b w:val="0"/>
                <w:i w:val="0"/>
                <w:color w:val="222222"/>
                <w:sz w:val="17"/>
              </w:rPr>
              <w:t>SQL cannot find view</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7"/>
              </w:rPr>
              <w:t>“Was createOrReplaceTempView run in this session?”</w:t>
            </w:r>
          </w:p>
        </w:tc>
        <w:tc>
          <w:tcPr>
            <w:tcW w:type="dxa" w:w="2952"/>
            <w:tcMar>
              <w:top w:w="90" w:type="dxa"/>
              <w:start w:w="120" w:type="dxa"/>
              <w:bottom w:w="90" w:type="dxa"/>
              <w:end w:w="120" w:type="dxa"/>
            </w:tcMar>
            <w:vAlign w:val="center"/>
          </w:tcPr>
          <w:p>
            <w:pPr>
              <w:spacing w:after="0" w:line="252" w:lineRule="auto"/>
            </w:pPr>
            <w:r>
              <w:rPr>
                <w:rFonts w:ascii="Aptos" w:hAnsi="Aptos"/>
                <w:b w:val="0"/>
                <w:i w:val="0"/>
                <w:color w:val="222222"/>
                <w:sz w:val="17"/>
              </w:rPr>
              <w:t>Run the Python cell on the same compute session.</w:t>
            </w:r>
          </w:p>
        </w:tc>
      </w:tr>
      <w:tr>
        <w:trPr>
          <w:cantSplit/>
        </w:trPr>
        <w:tc>
          <w:tcPr>
            <w:tcW w:type="dxa" w:w="23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Long startup</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“What state does the compute selector show?”</w:t>
            </w:r>
          </w:p>
        </w:tc>
        <w:tc>
          <w:tcPr>
            <w:tcW w:type="dxa" w:w="29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Wait, select permitted compute, or use fallback.</w:t>
            </w:r>
          </w:p>
        </w:tc>
      </w:tr>
      <w:tr>
        <w:trPr>
          <w:cantSplit/>
        </w:trPr>
        <w:tc>
          <w:tcPr>
            <w:tcW w:type="dxa" w:w="2304"/>
            <w:tcMar>
              <w:top w:w="90" w:type="dxa"/>
              <w:start w:w="120" w:type="dxa"/>
              <w:bottom w:w="90" w:type="dxa"/>
              <w:end w:w="120" w:type="dxa"/>
            </w:tcMar>
            <w:vAlign w:val="center"/>
          </w:tcPr>
          <w:p>
            <w:pPr>
              <w:spacing w:after="0" w:line="252" w:lineRule="auto"/>
            </w:pPr>
            <w:r>
              <w:rPr>
                <w:rFonts w:ascii="Aptos" w:hAnsi="Aptos"/>
                <w:b w:val="0"/>
                <w:i w:val="0"/>
                <w:color w:val="222222"/>
                <w:sz w:val="17"/>
              </w:rPr>
              <w:t>Learner uses collect</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7"/>
              </w:rPr>
              <w:t>“Where will the rows be stored after collect?”</w:t>
            </w:r>
          </w:p>
        </w:tc>
        <w:tc>
          <w:tcPr>
            <w:tcW w:type="dxa" w:w="2952"/>
            <w:tcMar>
              <w:top w:w="90" w:type="dxa"/>
              <w:start w:w="120" w:type="dxa"/>
              <w:bottom w:w="90" w:type="dxa"/>
              <w:end w:w="120" w:type="dxa"/>
            </w:tcMar>
            <w:vAlign w:val="center"/>
          </w:tcPr>
          <w:p>
            <w:pPr>
              <w:spacing w:after="0" w:line="252" w:lineRule="auto"/>
            </w:pPr>
            <w:r>
              <w:rPr>
                <w:rFonts w:ascii="Aptos" w:hAnsi="Aptos"/>
                <w:b w:val="0"/>
                <w:i w:val="0"/>
                <w:color w:val="222222"/>
                <w:sz w:val="17"/>
              </w:rPr>
              <w:t>Use display, show, limit or aggregation instead.</w:t>
            </w:r>
          </w:p>
        </w:tc>
      </w:tr>
    </w:tbl>
    <w:p>
      <w:pPr>
        <w:spacing w:after="20"/>
      </w:pPr>
    </w:p>
    <w:p>
      <w:pPr>
        <w:pStyle w:val="Heading2"/>
      </w:pPr>
      <w:r>
        <w:t>Lesson 1 debrief</w:t>
      </w:r>
    </w:p>
    <w:p>
      <w:r>
        <w:rPr>
          <w:rFonts w:ascii="Aptos" w:hAnsi="Aptos"/>
          <w:b w:val="0"/>
          <w:i w:val="0"/>
          <w:color w:val="222222"/>
          <w:sz w:val="21"/>
        </w:rPr>
        <w:t>Ask each table group to state one transformation and one action from the lab. Then ask a learner to explain why Parquet is usually better than CSV for analytics. Close with: “We can compute a result. Lesson 2 makes that result a governed, reliable table.”</w:t>
      </w:r>
    </w:p>
    <w:p>
      <w:r>
        <w:br w:type="page"/>
      </w:r>
    </w:p>
    <w:p>
      <w:pPr>
        <w:pStyle w:val="Heading1"/>
      </w:pPr>
      <w:r>
        <w:t>Lesson 2 opening</w:t>
      </w:r>
    </w:p>
    <w:p>
      <w:pPr>
        <w:pStyle w:val="Heading2"/>
      </w:pPr>
      <w:r>
        <w:t>Opening words</w:t>
      </w:r>
    </w:p>
    <w:p>
      <w:r>
        <w:rPr>
          <w:rFonts w:ascii="Aptos" w:hAnsi="Aptos"/>
          <w:b w:val="0"/>
          <w:i w:val="0"/>
          <w:color w:val="222222"/>
          <w:sz w:val="21"/>
        </w:rPr>
        <w:t>“A useful DataFrame is still temporary. Now we will publish it as a named table that another authorized user or job can find, query and audit. Governance is not an extra screen; it is part of how we name and protect the table.”</w:t>
      </w:r>
    </w:p>
    <w:p>
      <w:pPr>
        <w:pStyle w:val="Heading2"/>
      </w:pPr>
      <w:r>
        <w:t>Teach the three-level name</w:t>
      </w:r>
    </w:p>
    <w:p>
      <w:pPr>
        <w:spacing w:after="40"/>
      </w:pPr>
      <w:r>
        <w:rPr>
          <w:rFonts w:ascii="Aptos" w:hAnsi="Aptos"/>
          <w:b/>
          <w:i w:val="0"/>
          <w:color w:val="2E74B5"/>
          <w:sz w:val="16"/>
        </w:rPr>
        <w:t>CATALOG.SCHEMA.TABLE</w:t>
      </w:r>
    </w:p>
    <w:p>
      <w:pPr>
        <w:spacing w:after="140" w:line="240" w:lineRule="auto"/>
        <w:ind w:left="115" w:right="115"/>
        <w:shd w:fill="F2F4F7"/>
      </w:pPr>
      <w:r>
        <w:rPr>
          <w:rFonts w:ascii="Consolas" w:hAnsi="Consolas"/>
          <w:b w:val="0"/>
          <w:i w:val="0"/>
          <w:color w:val="222222"/>
          <w:sz w:val="17"/>
        </w:rPr>
        <w:t>training_lab.student_01.orders</w:t>
      </w:r>
    </w:p>
    <w:p>
      <w:r>
        <w:rPr>
          <w:rFonts w:ascii="Aptos" w:hAnsi="Aptos"/>
          <w:b w:val="0"/>
          <w:i w:val="0"/>
          <w:color w:val="222222"/>
          <w:sz w:val="21"/>
        </w:rPr>
        <w:t>Point to each segment. training_lab is the class domain. student_01 is the learner boundary. orders is the object. Have the class say the three levels aloud once, then ask three individual learners to translate different names.</w:t>
      </w:r>
    </w:p>
    <w:p>
      <w:pPr>
        <w:pStyle w:val="Heading2"/>
      </w:pPr>
      <w:r>
        <w:t>Explain the one-workspace design</w:t>
      </w:r>
    </w:p>
    <w:p>
      <w:r>
        <w:rPr>
          <w:rFonts w:ascii="Aptos" w:hAnsi="Aptos"/>
          <w:b w:val="0"/>
          <w:i w:val="0"/>
          <w:color w:val="222222"/>
          <w:sz w:val="21"/>
        </w:rPr>
        <w:t>The class shares one Premium workspace and one learner group. Separate schemas provide a predictable exercise boundary. This is easier to administer than 14 workspaces, while Unity Catalog privileges control which governed locations each learner can use. Be clear that a schema is not the same as a security boundary for every possible workspace action; workspace and compute entitlements still matter.</w:t>
      </w:r>
    </w:p>
    <w:p>
      <w:r>
        <w:br w:type="page"/>
      </w:r>
    </w:p>
    <w:p>
      <w:pPr>
        <w:pStyle w:val="Heading1"/>
      </w:pPr>
      <w:r>
        <w:t>Explain Delta Lake</w:t>
      </w:r>
    </w:p>
    <w:p>
      <w:pPr>
        <w:pStyle w:val="Heading2"/>
      </w:pPr>
      <w:r>
        <w:t>What to say</w:t>
      </w:r>
    </w:p>
    <w:p>
      <w:r>
        <w:rPr>
          <w:rFonts w:ascii="Aptos" w:hAnsi="Aptos"/>
          <w:b w:val="0"/>
          <w:i w:val="0"/>
          <w:color w:val="222222"/>
          <w:sz w:val="21"/>
        </w:rPr>
        <w:t>“Delta keeps table data in Parquet and adds a transaction log. The log records committed table changes. That is how readers can see consistent versions and how we can inspect history. Delta is not merely a filename extension.”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16"/>
            <w:shd w:fill="0B2545"/>
            <w:tcMar>
              <w:top w:w="90" w:type="dxa"/>
              <w:start w:w="120" w:type="dxa"/>
              <w:bottom w:w="90" w:type="dxa"/>
              <w:end w:w="120" w:type="dxa"/>
            </w:tcMar>
            <w:vAlign w:val="center"/>
          </w:tcPr>
          <w:p>
            <w:pPr>
              <w:spacing w:after="0"/>
            </w:pPr>
            <w:r>
              <w:rPr>
                <w:rFonts w:ascii="Aptos" w:hAnsi="Aptos"/>
                <w:b/>
                <w:i w:val="0"/>
                <w:color w:val="FFFFFF"/>
                <w:sz w:val="18"/>
              </w:rPr>
              <w:t>Feature</w:t>
            </w:r>
          </w:p>
        </w:tc>
        <w:tc>
          <w:tcPr>
            <w:tcW w:type="dxa" w:w="3456"/>
            <w:shd w:fill="0B2545"/>
            <w:tcMar>
              <w:top w:w="90" w:type="dxa"/>
              <w:start w:w="120" w:type="dxa"/>
              <w:bottom w:w="90" w:type="dxa"/>
              <w:end w:w="120" w:type="dxa"/>
            </w:tcMar>
            <w:vAlign w:val="center"/>
          </w:tcPr>
          <w:p>
            <w:pPr>
              <w:spacing w:after="0"/>
            </w:pPr>
            <w:r>
              <w:rPr>
                <w:rFonts w:ascii="Aptos" w:hAnsi="Aptos"/>
                <w:b/>
                <w:i w:val="0"/>
                <w:color w:val="FFFFFF"/>
                <w:sz w:val="18"/>
              </w:rPr>
              <w:t>Simple demonstration</w:t>
            </w:r>
          </w:p>
        </w:tc>
        <w:tc>
          <w:tcPr>
            <w:tcW w:type="dxa" w:w="4104"/>
            <w:shd w:fill="0B2545"/>
            <w:tcMar>
              <w:top w:w="90" w:type="dxa"/>
              <w:start w:w="120" w:type="dxa"/>
              <w:bottom w:w="90" w:type="dxa"/>
              <w:end w:w="120" w:type="dxa"/>
            </w:tcMar>
            <w:vAlign w:val="center"/>
          </w:tcPr>
          <w:p>
            <w:pPr>
              <w:spacing w:after="0"/>
            </w:pPr>
            <w:r>
              <w:rPr>
                <w:rFonts w:ascii="Aptos" w:hAnsi="Aptos"/>
                <w:b/>
                <w:i w:val="0"/>
                <w:color w:val="FFFFFF"/>
                <w:sz w:val="18"/>
              </w:rPr>
              <w:t>Business meaning</w:t>
            </w:r>
          </w:p>
        </w:tc>
      </w:tr>
      <w:tr>
        <w:trPr>
          <w:cantSplit/>
        </w:trPr>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8"/>
              </w:rPr>
              <w:t>Transaction</w:t>
            </w:r>
          </w:p>
        </w:tc>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8"/>
              </w:rPr>
              <w:t>Write table, then query it</w:t>
            </w:r>
          </w:p>
        </w:tc>
        <w:tc>
          <w:tcPr>
            <w:tcW w:type="dxa" w:w="4104"/>
            <w:tcMar>
              <w:top w:w="90" w:type="dxa"/>
              <w:start w:w="120" w:type="dxa"/>
              <w:bottom w:w="90" w:type="dxa"/>
              <w:end w:w="120" w:type="dxa"/>
            </w:tcMar>
            <w:vAlign w:val="center"/>
          </w:tcPr>
          <w:p>
            <w:pPr>
              <w:spacing w:after="0" w:line="252" w:lineRule="auto"/>
            </w:pPr>
            <w:r>
              <w:rPr>
                <w:rFonts w:ascii="Aptos" w:hAnsi="Aptos"/>
                <w:b w:val="0"/>
                <w:i w:val="0"/>
                <w:color w:val="222222"/>
                <w:sz w:val="18"/>
              </w:rPr>
              <w:t>Readers see a committed state</w:t>
            </w:r>
          </w:p>
        </w:tc>
      </w:tr>
      <w:tr>
        <w:trPr>
          <w:cantSplit/>
        </w:trPr>
        <w:tc>
          <w:tcPr>
            <w:tcW w:type="dxa" w:w="20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Schema enforcement</w:t>
            </w:r>
          </w:p>
        </w:tc>
        <w:tc>
          <w:tcPr>
            <w:tcW w:type="dxa" w:w="34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Attempt a mismatched append in a safe demo</w:t>
            </w:r>
          </w:p>
        </w:tc>
        <w:tc>
          <w:tcPr>
            <w:tcW w:type="dxa" w:w="41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Bad structure is not silently accepted</w:t>
            </w:r>
          </w:p>
        </w:tc>
      </w:tr>
      <w:tr>
        <w:trPr>
          <w:cantSplit/>
        </w:trPr>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8"/>
              </w:rPr>
              <w:t>History</w:t>
            </w:r>
          </w:p>
        </w:tc>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8"/>
              </w:rPr>
              <w:t>Run DESCRIBE HISTORY</w:t>
            </w:r>
          </w:p>
        </w:tc>
        <w:tc>
          <w:tcPr>
            <w:tcW w:type="dxa" w:w="4104"/>
            <w:tcMar>
              <w:top w:w="90" w:type="dxa"/>
              <w:start w:w="120" w:type="dxa"/>
              <w:bottom w:w="90" w:type="dxa"/>
              <w:end w:w="120" w:type="dxa"/>
            </w:tcMar>
            <w:vAlign w:val="center"/>
          </w:tcPr>
          <w:p>
            <w:pPr>
              <w:spacing w:after="0" w:line="252" w:lineRule="auto"/>
            </w:pPr>
            <w:r>
              <w:rPr>
                <w:rFonts w:ascii="Aptos" w:hAnsi="Aptos"/>
                <w:b w:val="0"/>
                <w:i w:val="0"/>
                <w:color w:val="222222"/>
                <w:sz w:val="18"/>
              </w:rPr>
              <w:t>Operations are auditable</w:t>
            </w:r>
          </w:p>
        </w:tc>
      </w:tr>
      <w:tr>
        <w:trPr>
          <w:cantSplit/>
        </w:trPr>
        <w:tc>
          <w:tcPr>
            <w:tcW w:type="dxa" w:w="20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Time travel</w:t>
            </w:r>
          </w:p>
        </w:tc>
        <w:tc>
          <w:tcPr>
            <w:tcW w:type="dxa" w:w="34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Query VERSION AS OF 0</w:t>
            </w:r>
          </w:p>
        </w:tc>
        <w:tc>
          <w:tcPr>
            <w:tcW w:type="dxa" w:w="41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Earlier state can be inspected</w:t>
            </w:r>
          </w:p>
        </w:tc>
      </w:tr>
      <w:tr>
        <w:trPr>
          <w:cantSplit/>
        </w:trPr>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8"/>
              </w:rPr>
              <w:t>MERGE</w:t>
            </w:r>
          </w:p>
        </w:tc>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8"/>
              </w:rPr>
              <w:t>Explain key-based matched rules</w:t>
            </w:r>
          </w:p>
        </w:tc>
        <w:tc>
          <w:tcPr>
            <w:tcW w:type="dxa" w:w="4104"/>
            <w:tcMar>
              <w:top w:w="90" w:type="dxa"/>
              <w:start w:w="120" w:type="dxa"/>
              <w:bottom w:w="90" w:type="dxa"/>
              <w:end w:w="120" w:type="dxa"/>
            </w:tcMar>
            <w:vAlign w:val="center"/>
          </w:tcPr>
          <w:p>
            <w:pPr>
              <w:spacing w:after="0" w:line="252" w:lineRule="auto"/>
            </w:pPr>
            <w:r>
              <w:rPr>
                <w:rFonts w:ascii="Aptos" w:hAnsi="Aptos"/>
                <w:b w:val="0"/>
                <w:i w:val="0"/>
                <w:color w:val="222222"/>
                <w:sz w:val="18"/>
              </w:rPr>
              <w:t>Updates and inserts become one controlled operation</w:t>
            </w:r>
          </w:p>
        </w:tc>
      </w:tr>
    </w:tbl>
    <w:p>
      <w:pPr>
        <w:spacing w:after="20"/>
      </w:pPr>
    </w:p>
    <w:p>
      <w:pPr>
        <w:pStyle w:val="Heading2"/>
      </w:pPr>
      <w:r>
        <w:t>Overwrite warning</w:t>
      </w:r>
    </w:p>
    <w:p>
      <w:r>
        <w:rPr>
          <w:rFonts w:ascii="Aptos" w:hAnsi="Aptos"/>
          <w:b w:val="0"/>
          <w:i w:val="0"/>
          <w:color w:val="222222"/>
          <w:sz w:val="21"/>
        </w:rPr>
        <w:t>Before running overwrite, ask: “What exactly will be replaced?” Require the answer to include the full three-level name. Explain that overwrite is acceptable for this isolated rerunnable lab, but production pipelines need explicit ownership, validation and recovery rules.</w:t>
      </w:r>
    </w:p>
    <w:p>
      <w:r>
        <w:br w:type="page"/>
      </w:r>
    </w:p>
    <w:p>
      <w:pPr>
        <w:pStyle w:val="Heading1"/>
      </w:pPr>
      <w:r>
        <w:t>Lesson 2 live demonstration script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152"/>
            <w:shd w:fill="0B2545"/>
            <w:tcMar>
              <w:top w:w="90" w:type="dxa"/>
              <w:start w:w="120" w:type="dxa"/>
              <w:bottom w:w="90" w:type="dxa"/>
              <w:end w:w="120" w:type="dxa"/>
            </w:tcMar>
            <w:vAlign w:val="center"/>
          </w:tcPr>
          <w:p>
            <w:pPr>
              <w:spacing w:after="0"/>
            </w:pPr>
            <w:r>
              <w:rPr>
                <w:rFonts w:ascii="Aptos" w:hAnsi="Aptos"/>
                <w:b/>
                <w:i w:val="0"/>
                <w:color w:val="FFFFFF"/>
                <w:sz w:val="17"/>
              </w:rPr>
              <w:t>Minute</w:t>
            </w:r>
          </w:p>
        </w:tc>
        <w:tc>
          <w:tcPr>
            <w:tcW w:type="dxa" w:w="3456"/>
            <w:shd w:fill="0B2545"/>
            <w:tcMar>
              <w:top w:w="90" w:type="dxa"/>
              <w:start w:w="120" w:type="dxa"/>
              <w:bottom w:w="90" w:type="dxa"/>
              <w:end w:w="120" w:type="dxa"/>
            </w:tcMar>
            <w:vAlign w:val="center"/>
          </w:tcPr>
          <w:p>
            <w:pPr>
              <w:spacing w:after="0"/>
            </w:pPr>
            <w:r>
              <w:rPr>
                <w:rFonts w:ascii="Aptos" w:hAnsi="Aptos"/>
                <w:b/>
                <w:i w:val="0"/>
                <w:color w:val="FFFFFF"/>
                <w:sz w:val="17"/>
              </w:rPr>
              <w:t>Action</w:t>
            </w:r>
          </w:p>
        </w:tc>
        <w:tc>
          <w:tcPr>
            <w:tcW w:type="dxa" w:w="4968"/>
            <w:shd w:fill="0B2545"/>
            <w:tcMar>
              <w:top w:w="90" w:type="dxa"/>
              <w:start w:w="120" w:type="dxa"/>
              <w:bottom w:w="90" w:type="dxa"/>
              <w:end w:w="120" w:type="dxa"/>
            </w:tcMar>
            <w:vAlign w:val="center"/>
          </w:tcPr>
          <w:p>
            <w:pPr>
              <w:spacing w:after="0"/>
            </w:pPr>
            <w:r>
              <w:rPr>
                <w:rFonts w:ascii="Aptos" w:hAnsi="Aptos"/>
                <w:b/>
                <w:i w:val="0"/>
                <w:color w:val="FFFFFF"/>
                <w:sz w:val="17"/>
              </w:rPr>
              <w:t>Narration</w:t>
            </w:r>
          </w:p>
        </w:tc>
      </w:tr>
      <w:tr>
        <w:trPr>
          <w:cantSplit/>
        </w:trPr>
        <w:tc>
          <w:tcPr>
            <w:tcW w:type="dxa" w:w="1152"/>
            <w:tcMar>
              <w:top w:w="90" w:type="dxa"/>
              <w:start w:w="120" w:type="dxa"/>
              <w:bottom w:w="90" w:type="dxa"/>
              <w:end w:w="120" w:type="dxa"/>
            </w:tcMar>
            <w:vAlign w:val="center"/>
          </w:tcPr>
          <w:p>
            <w:pPr>
              <w:spacing w:after="0" w:line="252" w:lineRule="auto"/>
            </w:pPr>
            <w:r>
              <w:rPr>
                <w:rFonts w:ascii="Aptos" w:hAnsi="Aptos"/>
                <w:b w:val="0"/>
                <w:i w:val="0"/>
                <w:color w:val="222222"/>
                <w:sz w:val="17"/>
              </w:rPr>
              <w:t>0–8</w:t>
            </w:r>
          </w:p>
        </w:tc>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7"/>
              </w:rPr>
              <w:t>Show Catalog Explorer and learner schema</w:t>
            </w:r>
          </w:p>
        </w:tc>
        <w:tc>
          <w:tcPr>
            <w:tcW w:type="dxa" w:w="4968"/>
            <w:tcMar>
              <w:top w:w="90" w:type="dxa"/>
              <w:start w:w="120" w:type="dxa"/>
              <w:bottom w:w="90" w:type="dxa"/>
              <w:end w:w="120" w:type="dxa"/>
            </w:tcMar>
            <w:vAlign w:val="center"/>
          </w:tcPr>
          <w:p>
            <w:pPr>
              <w:spacing w:after="0" w:line="252" w:lineRule="auto"/>
            </w:pPr>
            <w:r>
              <w:rPr>
                <w:rFonts w:ascii="Aptos" w:hAnsi="Aptos"/>
                <w:b w:val="0"/>
                <w:i w:val="0"/>
                <w:color w:val="222222"/>
                <w:sz w:val="17"/>
              </w:rPr>
              <w:t>The namespace is governed and discoverable.</w:t>
            </w:r>
          </w:p>
        </w:tc>
      </w:tr>
      <w:tr>
        <w:trPr>
          <w:cantSplit/>
        </w:trPr>
        <w:tc>
          <w:tcPr>
            <w:tcW w:type="dxa" w:w="11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8–15</w:t>
            </w:r>
          </w:p>
        </w:tc>
        <w:tc>
          <w:tcPr>
            <w:tcW w:type="dxa" w:w="34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Run current user and grants checks</w:t>
            </w:r>
          </w:p>
        </w:tc>
        <w:tc>
          <w:tcPr>
            <w:tcW w:type="dxa" w:w="49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Permission failures are evidence, not a reason to grant admin.</w:t>
            </w:r>
          </w:p>
        </w:tc>
      </w:tr>
      <w:tr>
        <w:trPr>
          <w:cantSplit/>
        </w:trPr>
        <w:tc>
          <w:tcPr>
            <w:tcW w:type="dxa" w:w="1152"/>
            <w:tcMar>
              <w:top w:w="90" w:type="dxa"/>
              <w:start w:w="120" w:type="dxa"/>
              <w:bottom w:w="90" w:type="dxa"/>
              <w:end w:w="120" w:type="dxa"/>
            </w:tcMar>
            <w:vAlign w:val="center"/>
          </w:tcPr>
          <w:p>
            <w:pPr>
              <w:spacing w:after="0" w:line="252" w:lineRule="auto"/>
            </w:pPr>
            <w:r>
              <w:rPr>
                <w:rFonts w:ascii="Aptos" w:hAnsi="Aptos"/>
                <w:b w:val="0"/>
                <w:i w:val="0"/>
                <w:color w:val="222222"/>
                <w:sz w:val="17"/>
              </w:rPr>
              <w:t>15–25</w:t>
            </w:r>
          </w:p>
        </w:tc>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7"/>
              </w:rPr>
              <w:t>Write result_df with saveAsTable</w:t>
            </w:r>
          </w:p>
        </w:tc>
        <w:tc>
          <w:tcPr>
            <w:tcW w:type="dxa" w:w="4968"/>
            <w:tcMar>
              <w:top w:w="90" w:type="dxa"/>
              <w:start w:w="120" w:type="dxa"/>
              <w:bottom w:w="90" w:type="dxa"/>
              <w:end w:w="120" w:type="dxa"/>
            </w:tcMar>
            <w:vAlign w:val="center"/>
          </w:tcPr>
          <w:p>
            <w:pPr>
              <w:spacing w:after="0" w:line="252" w:lineRule="auto"/>
            </w:pPr>
            <w:r>
              <w:rPr>
                <w:rFonts w:ascii="Aptos" w:hAnsi="Aptos"/>
                <w:b w:val="0"/>
                <w:i w:val="0"/>
                <w:color w:val="222222"/>
                <w:sz w:val="17"/>
              </w:rPr>
              <w:t>The DataFrame is persisted and registered.</w:t>
            </w:r>
          </w:p>
        </w:tc>
      </w:tr>
      <w:tr>
        <w:trPr>
          <w:cantSplit/>
        </w:trPr>
        <w:tc>
          <w:tcPr>
            <w:tcW w:type="dxa" w:w="11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25–35</w:t>
            </w:r>
          </w:p>
        </w:tc>
        <w:tc>
          <w:tcPr>
            <w:tcW w:type="dxa" w:w="34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Query the table</w:t>
            </w:r>
          </w:p>
        </w:tc>
        <w:tc>
          <w:tcPr>
            <w:tcW w:type="dxa" w:w="49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Use the exact three-level name.</w:t>
            </w:r>
          </w:p>
        </w:tc>
      </w:tr>
      <w:tr>
        <w:trPr>
          <w:cantSplit/>
        </w:trPr>
        <w:tc>
          <w:tcPr>
            <w:tcW w:type="dxa" w:w="1152"/>
            <w:tcMar>
              <w:top w:w="90" w:type="dxa"/>
              <w:start w:w="120" w:type="dxa"/>
              <w:bottom w:w="90" w:type="dxa"/>
              <w:end w:w="120" w:type="dxa"/>
            </w:tcMar>
            <w:vAlign w:val="center"/>
          </w:tcPr>
          <w:p>
            <w:pPr>
              <w:spacing w:after="0" w:line="252" w:lineRule="auto"/>
            </w:pPr>
            <w:r>
              <w:rPr>
                <w:rFonts w:ascii="Aptos" w:hAnsi="Aptos"/>
                <w:b w:val="0"/>
                <w:i w:val="0"/>
                <w:color w:val="222222"/>
                <w:sz w:val="17"/>
              </w:rPr>
              <w:t>35–45</w:t>
            </w:r>
          </w:p>
        </w:tc>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7"/>
              </w:rPr>
              <w:t>Run DESCRIBE DETAIL and HISTORY</w:t>
            </w:r>
          </w:p>
        </w:tc>
        <w:tc>
          <w:tcPr>
            <w:tcW w:type="dxa" w:w="4968"/>
            <w:tcMar>
              <w:top w:w="90" w:type="dxa"/>
              <w:start w:w="120" w:type="dxa"/>
              <w:bottom w:w="90" w:type="dxa"/>
              <w:end w:w="120" w:type="dxa"/>
            </w:tcMar>
            <w:vAlign w:val="center"/>
          </w:tcPr>
          <w:p>
            <w:pPr>
              <w:spacing w:after="0" w:line="252" w:lineRule="auto"/>
            </w:pPr>
            <w:r>
              <w:rPr>
                <w:rFonts w:ascii="Aptos" w:hAnsi="Aptos"/>
                <w:b w:val="0"/>
                <w:i w:val="0"/>
                <w:color w:val="222222"/>
                <w:sz w:val="17"/>
              </w:rPr>
              <w:t>Separate current metadata from operation history.</w:t>
            </w:r>
          </w:p>
        </w:tc>
      </w:tr>
      <w:tr>
        <w:trPr>
          <w:cantSplit/>
        </w:trPr>
        <w:tc>
          <w:tcPr>
            <w:tcW w:type="dxa" w:w="11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45–55</w:t>
            </w:r>
          </w:p>
        </w:tc>
        <w:tc>
          <w:tcPr>
            <w:tcW w:type="dxa" w:w="34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Append one row and inspect history</w:t>
            </w:r>
          </w:p>
        </w:tc>
        <w:tc>
          <w:tcPr>
            <w:tcW w:type="dxa" w:w="49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A new commit creates a new version.</w:t>
            </w:r>
          </w:p>
        </w:tc>
      </w:tr>
      <w:tr>
        <w:trPr>
          <w:cantSplit/>
        </w:trPr>
        <w:tc>
          <w:tcPr>
            <w:tcW w:type="dxa" w:w="1152"/>
            <w:tcMar>
              <w:top w:w="90" w:type="dxa"/>
              <w:start w:w="120" w:type="dxa"/>
              <w:bottom w:w="90" w:type="dxa"/>
              <w:end w:w="120" w:type="dxa"/>
            </w:tcMar>
            <w:vAlign w:val="center"/>
          </w:tcPr>
          <w:p>
            <w:pPr>
              <w:spacing w:after="0" w:line="252" w:lineRule="auto"/>
            </w:pPr>
            <w:r>
              <w:rPr>
                <w:rFonts w:ascii="Aptos" w:hAnsi="Aptos"/>
                <w:b w:val="0"/>
                <w:i w:val="0"/>
                <w:color w:val="222222"/>
                <w:sz w:val="17"/>
              </w:rPr>
              <w:t>55–65</w:t>
            </w:r>
          </w:p>
        </w:tc>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7"/>
              </w:rPr>
              <w:t>Show time travel and challenge</w:t>
            </w:r>
          </w:p>
        </w:tc>
        <w:tc>
          <w:tcPr>
            <w:tcW w:type="dxa" w:w="4968"/>
            <w:tcMar>
              <w:top w:w="90" w:type="dxa"/>
              <w:start w:w="120" w:type="dxa"/>
              <w:bottom w:w="90" w:type="dxa"/>
              <w:end w:w="120" w:type="dxa"/>
            </w:tcMar>
            <w:vAlign w:val="center"/>
          </w:tcPr>
          <w:p>
            <w:pPr>
              <w:spacing w:after="0" w:line="252" w:lineRule="auto"/>
            </w:pPr>
            <w:r>
              <w:rPr>
                <w:rFonts w:ascii="Aptos" w:hAnsi="Aptos"/>
                <w:b w:val="0"/>
                <w:i w:val="0"/>
                <w:color w:val="222222"/>
                <w:sz w:val="17"/>
              </w:rPr>
              <w:t>Read history before selecting a version.</w:t>
            </w:r>
          </w:p>
        </w:tc>
      </w:tr>
    </w:tbl>
    <w:p>
      <w:pPr>
        <w:spacing w:after="20"/>
      </w:pPr>
    </w:p>
    <w:p>
      <w:pPr>
        <w:pStyle w:val="Heading2"/>
      </w:pPr>
      <w:r>
        <w:t>Narrate saveAsTable line by line</w:t>
      </w:r>
    </w:p>
    <w:p>
      <w:pPr>
        <w:pStyle w:val="ListBullet"/>
      </w:pPr>
      <w:r>
        <w:rPr>
          <w:rFonts w:ascii="Aptos" w:hAnsi="Aptos"/>
          <w:b w:val="0"/>
          <w:i w:val="0"/>
          <w:color w:val="222222"/>
          <w:sz w:val="21"/>
        </w:rPr>
        <w:t>result_df.write: begin a DataFrame write.</w:t>
      </w:r>
    </w:p>
    <w:p>
      <w:pPr>
        <w:pStyle w:val="ListBullet"/>
      </w:pPr>
      <w:r>
        <w:rPr>
          <w:rFonts w:ascii="Aptos" w:hAnsi="Aptos"/>
          <w:b w:val="0"/>
          <w:i w:val="0"/>
          <w:color w:val="222222"/>
          <w:sz w:val="21"/>
        </w:rPr>
        <w:t>format('delta'): use the Delta table provider.</w:t>
      </w:r>
    </w:p>
    <w:p>
      <w:pPr>
        <w:pStyle w:val="ListBullet"/>
      </w:pPr>
      <w:r>
        <w:rPr>
          <w:rFonts w:ascii="Aptos" w:hAnsi="Aptos"/>
          <w:b w:val="0"/>
          <w:i w:val="0"/>
          <w:color w:val="222222"/>
          <w:sz w:val="21"/>
        </w:rPr>
        <w:t>mode('overwrite'): replace the lab table contents if it exists.</w:t>
      </w:r>
    </w:p>
    <w:p>
      <w:pPr>
        <w:pStyle w:val="ListBullet"/>
      </w:pPr>
      <w:r>
        <w:rPr>
          <w:rFonts w:ascii="Aptos" w:hAnsi="Aptos"/>
          <w:b w:val="0"/>
          <w:i w:val="0"/>
          <w:color w:val="222222"/>
          <w:sz w:val="21"/>
        </w:rPr>
        <w:t>saveAsTable(...): persist data and register the governed table name.</w:t>
      </w:r>
    </w:p>
    <w:p>
      <w:pPr>
        <w:spacing w:before="80" w:after="140"/>
      </w:pPr>
      <w:r>
        <w:rPr>
          <w:rFonts w:ascii="Aptos" w:hAnsi="Aptos"/>
          <w:b/>
          <w:i w:val="0"/>
          <w:color w:val="0B2545"/>
          <w:sz w:val="20"/>
        </w:rPr>
        <w:t xml:space="preserve">DEMO HYGIENE: </w:t>
      </w:r>
      <w:r>
        <w:rPr>
          <w:rFonts w:ascii="Aptos" w:hAnsi="Aptos"/>
          <w:b w:val="0"/>
          <w:i w:val="0"/>
          <w:color w:val="222222"/>
          <w:sz w:val="20"/>
        </w:rPr>
        <w:t>Use a trainer_demo schema for the instructor demonstration. Do not demonstrate in student_01 if a learner may already be using it.</w:t>
      </w:r>
    </w:p>
    <w:p>
      <w:r>
        <w:br w:type="page"/>
      </w:r>
    </w:p>
    <w:p>
      <w:pPr>
        <w:pStyle w:val="Heading1"/>
      </w:pPr>
      <w:r>
        <w:t>Coach the Lesson 2 lab</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592"/>
            <w:shd w:fill="0B2545"/>
            <w:tcMar>
              <w:top w:w="90" w:type="dxa"/>
              <w:start w:w="120" w:type="dxa"/>
              <w:bottom w:w="90" w:type="dxa"/>
              <w:end w:w="120" w:type="dxa"/>
            </w:tcMar>
            <w:vAlign w:val="center"/>
          </w:tcPr>
          <w:p>
            <w:pPr>
              <w:spacing w:after="0"/>
            </w:pPr>
            <w:r>
              <w:rPr>
                <w:rFonts w:ascii="Aptos" w:hAnsi="Aptos"/>
                <w:b/>
                <w:i w:val="0"/>
                <w:color w:val="FFFFFF"/>
                <w:sz w:val="17"/>
              </w:rPr>
              <w:t>Error or behavior</w:t>
            </w:r>
          </w:p>
        </w:tc>
        <w:tc>
          <w:tcPr>
            <w:tcW w:type="dxa" w:w="3672"/>
            <w:shd w:fill="0B2545"/>
            <w:tcMar>
              <w:top w:w="90" w:type="dxa"/>
              <w:start w:w="120" w:type="dxa"/>
              <w:bottom w:w="90" w:type="dxa"/>
              <w:end w:w="120" w:type="dxa"/>
            </w:tcMar>
            <w:vAlign w:val="center"/>
          </w:tcPr>
          <w:p>
            <w:pPr>
              <w:spacing w:after="0"/>
            </w:pPr>
            <w:r>
              <w:rPr>
                <w:rFonts w:ascii="Aptos" w:hAnsi="Aptos"/>
                <w:b/>
                <w:i w:val="0"/>
                <w:color w:val="FFFFFF"/>
                <w:sz w:val="17"/>
              </w:rPr>
              <w:t>Likely cause</w:t>
            </w:r>
          </w:p>
        </w:tc>
        <w:tc>
          <w:tcPr>
            <w:tcW w:type="dxa" w:w="3672"/>
            <w:shd w:fill="0B2545"/>
            <w:tcMar>
              <w:top w:w="90" w:type="dxa"/>
              <w:start w:w="120" w:type="dxa"/>
              <w:bottom w:w="90" w:type="dxa"/>
              <w:end w:w="120" w:type="dxa"/>
            </w:tcMar>
            <w:vAlign w:val="center"/>
          </w:tcPr>
          <w:p>
            <w:pPr>
              <w:spacing w:after="0"/>
            </w:pPr>
            <w:r>
              <w:rPr>
                <w:rFonts w:ascii="Aptos" w:hAnsi="Aptos"/>
                <w:b/>
                <w:i w:val="0"/>
                <w:color w:val="FFFFFF"/>
                <w:sz w:val="17"/>
              </w:rPr>
              <w:t>Trainer response</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7"/>
              </w:rPr>
              <w:t>PERMISSION_DENIED</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7"/>
              </w:rPr>
              <w:t>Missing USE or CREATE privilege, or wrong schema</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7"/>
              </w:rPr>
              <w:t>Check identity, full object and SHOW GRANTS; fix the narrow grant.</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TABLE_OR_VIEW_NOT_FOUND</w:t>
            </w:r>
          </w:p>
        </w:tc>
        <w:tc>
          <w:tcPr>
            <w:tcW w:type="dxa" w:w="36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Misspelled or wrong catalog/schema</w:t>
            </w:r>
          </w:p>
        </w:tc>
        <w:tc>
          <w:tcPr>
            <w:tcW w:type="dxa" w:w="36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Have learner copy the name from Catalog Explorer.</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7"/>
              </w:rPr>
              <w:t>Table has more than five rows before append</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7"/>
              </w:rPr>
              <w:t>Previous run or append already occurred</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7"/>
              </w:rPr>
              <w:t>Inspect history; overwrite only the assigned lab table if rerun is intended.</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Time travel version fails</w:t>
            </w:r>
          </w:p>
        </w:tc>
        <w:tc>
          <w:tcPr>
            <w:tcW w:type="dxa" w:w="36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Version does not exist or was vacuumed</w:t>
            </w:r>
          </w:p>
        </w:tc>
        <w:tc>
          <w:tcPr>
            <w:tcW w:type="dxa" w:w="36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Read history and choose an available version.</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7"/>
              </w:rPr>
              <w:t>Schema mismatch on append</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7"/>
              </w:rPr>
              <w:t>Input type or column differs</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7"/>
              </w:rPr>
              <w:t>printSchema on both source and target; align explicitly.</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History differs from handout</w:t>
            </w:r>
          </w:p>
        </w:tc>
        <w:tc>
          <w:tcPr>
            <w:tcW w:type="dxa" w:w="36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Prior reruns created more versions</w:t>
            </w:r>
          </w:p>
        </w:tc>
        <w:tc>
          <w:tcPr>
            <w:tcW w:type="dxa" w:w="36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Assess by operation sequence, not a fixed version count.</w:t>
            </w:r>
          </w:p>
        </w:tc>
      </w:tr>
    </w:tbl>
    <w:p>
      <w:pPr>
        <w:spacing w:after="20"/>
      </w:pPr>
    </w:p>
    <w:p>
      <w:pPr>
        <w:pStyle w:val="Heading2"/>
      </w:pPr>
      <w:r>
        <w:t>Questions that build judgment</w:t>
      </w:r>
    </w:p>
    <w:p>
      <w:pPr>
        <w:pStyle w:val="ListBullet"/>
      </w:pPr>
      <w:r>
        <w:rPr>
          <w:rFonts w:ascii="Aptos" w:hAnsi="Aptos"/>
          <w:b w:val="0"/>
          <w:i w:val="0"/>
          <w:color w:val="222222"/>
          <w:sz w:val="21"/>
        </w:rPr>
        <w:t>When is append correct, and when would it duplicate business events?</w:t>
      </w:r>
    </w:p>
    <w:p>
      <w:pPr>
        <w:pStyle w:val="ListBullet"/>
      </w:pPr>
      <w:r>
        <w:rPr>
          <w:rFonts w:ascii="Aptos" w:hAnsi="Aptos"/>
          <w:b w:val="0"/>
          <w:i w:val="0"/>
          <w:color w:val="222222"/>
          <w:sz w:val="21"/>
        </w:rPr>
        <w:t>What business key would you use for orders?</w:t>
      </w:r>
    </w:p>
    <w:p>
      <w:pPr>
        <w:pStyle w:val="ListBullet"/>
      </w:pPr>
      <w:r>
        <w:rPr>
          <w:rFonts w:ascii="Aptos" w:hAnsi="Aptos"/>
          <w:b w:val="0"/>
          <w:i w:val="0"/>
          <w:color w:val="222222"/>
          <w:sz w:val="21"/>
        </w:rPr>
        <w:t>What would you validate before overwrite in production?</w:t>
      </w:r>
    </w:p>
    <w:p>
      <w:pPr>
        <w:pStyle w:val="ListBullet"/>
      </w:pPr>
      <w:r>
        <w:rPr>
          <w:rFonts w:ascii="Aptos" w:hAnsi="Aptos"/>
          <w:b w:val="0"/>
          <w:i w:val="0"/>
          <w:color w:val="222222"/>
          <w:sz w:val="21"/>
        </w:rPr>
        <w:t>Why does a three-level name improve troubleshooting?</w:t>
      </w:r>
    </w:p>
    <w:p>
      <w:pPr>
        <w:pStyle w:val="ListBullet"/>
      </w:pPr>
      <w:r>
        <w:rPr>
          <w:rFonts w:ascii="Aptos" w:hAnsi="Aptos"/>
          <w:b w:val="0"/>
          <w:i w:val="0"/>
          <w:color w:val="222222"/>
          <w:sz w:val="21"/>
        </w:rPr>
        <w:t>Which evidence proves that the table is Delta?</w:t>
      </w:r>
    </w:p>
    <w:p>
      <w:r>
        <w:br w:type="page"/>
      </w:r>
    </w:p>
    <w:p>
      <w:pPr>
        <w:pStyle w:val="Heading1"/>
      </w:pPr>
      <w:r>
        <w:t>Assessment rubric</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72"/>
            <w:shd w:fill="0B2545"/>
            <w:tcMar>
              <w:top w:w="90" w:type="dxa"/>
              <w:start w:w="120" w:type="dxa"/>
              <w:bottom w:w="90" w:type="dxa"/>
              <w:end w:w="120" w:type="dxa"/>
            </w:tcMar>
            <w:vAlign w:val="center"/>
          </w:tcPr>
          <w:p>
            <w:pPr>
              <w:spacing w:after="0"/>
            </w:pPr>
            <w:r>
              <w:rPr>
                <w:rFonts w:ascii="Aptos" w:hAnsi="Aptos"/>
                <w:b/>
                <w:i w:val="0"/>
                <w:color w:val="FFFFFF"/>
                <w:sz w:val="17"/>
              </w:rPr>
              <w:t>Dimension</w:t>
            </w:r>
          </w:p>
        </w:tc>
        <w:tc>
          <w:tcPr>
            <w:tcW w:type="dxa" w:w="4320"/>
            <w:shd w:fill="0B2545"/>
            <w:tcMar>
              <w:top w:w="90" w:type="dxa"/>
              <w:start w:w="120" w:type="dxa"/>
              <w:bottom w:w="90" w:type="dxa"/>
              <w:end w:w="120" w:type="dxa"/>
            </w:tcMar>
            <w:vAlign w:val="center"/>
          </w:tcPr>
          <w:p>
            <w:pPr>
              <w:spacing w:after="0"/>
            </w:pPr>
            <w:r>
              <w:rPr>
                <w:rFonts w:ascii="Aptos" w:hAnsi="Aptos"/>
                <w:b/>
                <w:i w:val="0"/>
                <w:color w:val="FFFFFF"/>
                <w:sz w:val="17"/>
              </w:rPr>
              <w:t>Meets expectation</w:t>
            </w:r>
          </w:p>
        </w:tc>
        <w:tc>
          <w:tcPr>
            <w:tcW w:type="dxa" w:w="3672"/>
            <w:shd w:fill="0B2545"/>
            <w:tcMar>
              <w:top w:w="90" w:type="dxa"/>
              <w:start w:w="120" w:type="dxa"/>
              <w:bottom w:w="90" w:type="dxa"/>
              <w:end w:w="120" w:type="dxa"/>
            </w:tcMar>
            <w:vAlign w:val="center"/>
          </w:tcPr>
          <w:p>
            <w:pPr>
              <w:spacing w:after="0"/>
            </w:pPr>
            <w:r>
              <w:rPr>
                <w:rFonts w:ascii="Aptos" w:hAnsi="Aptos"/>
                <w:b/>
                <w:i w:val="0"/>
                <w:color w:val="FFFFFF"/>
                <w:sz w:val="17"/>
              </w:rPr>
              <w:t>Needs coaching</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7"/>
              </w:rPr>
              <w:t>Concepts</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7"/>
              </w:rPr>
              <w:t>Correctly explains workspace, compute, DataFrame, action and Delta</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7"/>
              </w:rPr>
              <w:t>Confuses notebook with compute or files with governed tables</w:t>
            </w:r>
          </w:p>
        </w:tc>
      </w:tr>
      <w:tr>
        <w:trPr>
          <w:cantSplit/>
        </w:trPr>
        <w:tc>
          <w:tcPr>
            <w:tcW w:type="dxa" w:w="18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Execution</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Notebook runs in order and produces expected totals</w:t>
            </w:r>
          </w:p>
        </w:tc>
        <w:tc>
          <w:tcPr>
            <w:tcW w:type="dxa" w:w="36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Depends on hidden state or cannot identify failed cell</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7"/>
              </w:rPr>
              <w:t>Governance</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7"/>
              </w:rPr>
              <w:t>Uses assigned schema and three-level names</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7"/>
              </w:rPr>
              <w:t>Writes to default or another learner schema</w:t>
            </w:r>
          </w:p>
        </w:tc>
      </w:tr>
      <w:tr>
        <w:trPr>
          <w:cantSplit/>
        </w:trPr>
        <w:tc>
          <w:tcPr>
            <w:tcW w:type="dxa" w:w="18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Validation</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Checks row count, schema, detail and history</w:t>
            </w:r>
          </w:p>
        </w:tc>
        <w:tc>
          <w:tcPr>
            <w:tcW w:type="dxa" w:w="36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Assumes a successful cell means correct data</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7"/>
              </w:rPr>
              <w:t>Judgment</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7"/>
              </w:rPr>
              <w:t>Explains overwrite risk and append/MERGE choice</w:t>
            </w:r>
          </w:p>
        </w:tc>
        <w:tc>
          <w:tcPr>
            <w:tcW w:type="dxa" w:w="3672"/>
            <w:tcMar>
              <w:top w:w="90" w:type="dxa"/>
              <w:start w:w="120" w:type="dxa"/>
              <w:bottom w:w="90" w:type="dxa"/>
              <w:end w:w="120" w:type="dxa"/>
            </w:tcMar>
            <w:vAlign w:val="center"/>
          </w:tcPr>
          <w:p>
            <w:pPr>
              <w:spacing w:after="0" w:line="252" w:lineRule="auto"/>
            </w:pPr>
            <w:r>
              <w:rPr>
                <w:rFonts w:ascii="Aptos" w:hAnsi="Aptos"/>
                <w:b w:val="0"/>
                <w:i w:val="0"/>
                <w:color w:val="222222"/>
                <w:sz w:val="17"/>
              </w:rPr>
              <w:t>Chooses modes without considering keys or reruns</w:t>
            </w:r>
          </w:p>
        </w:tc>
      </w:tr>
    </w:tbl>
    <w:p>
      <w:pPr>
        <w:spacing w:after="20"/>
      </w:pPr>
    </w:p>
    <w:p>
      <w:pPr>
        <w:pStyle w:val="Heading2"/>
      </w:pPr>
      <w:r>
        <w:t>Oral check</w:t>
      </w:r>
    </w:p>
    <w:p>
      <w:pPr>
        <w:pStyle w:val="ListBullet"/>
      </w:pPr>
      <w:r>
        <w:rPr>
          <w:rFonts w:ascii="Aptos" w:hAnsi="Aptos"/>
          <w:b w:val="0"/>
          <w:i w:val="0"/>
          <w:color w:val="222222"/>
          <w:sz w:val="21"/>
        </w:rPr>
        <w:t>Ask the learner to explain catalog.schema.table using their own table.</w:t>
      </w:r>
    </w:p>
    <w:p>
      <w:pPr>
        <w:pStyle w:val="ListBullet"/>
      </w:pPr>
      <w:r>
        <w:rPr>
          <w:rFonts w:ascii="Aptos" w:hAnsi="Aptos"/>
          <w:b w:val="0"/>
          <w:i w:val="0"/>
          <w:color w:val="222222"/>
          <w:sz w:val="21"/>
        </w:rPr>
        <w:t>Ask which line triggers execution and why.</w:t>
      </w:r>
    </w:p>
    <w:p>
      <w:pPr>
        <w:pStyle w:val="ListBullet"/>
      </w:pPr>
      <w:r>
        <w:rPr>
          <w:rFonts w:ascii="Aptos" w:hAnsi="Aptos"/>
          <w:b w:val="0"/>
          <w:i w:val="0"/>
          <w:color w:val="222222"/>
          <w:sz w:val="21"/>
        </w:rPr>
        <w:t>Ask how they would investigate an unexpected row count.</w:t>
      </w:r>
    </w:p>
    <w:p>
      <w:pPr>
        <w:pStyle w:val="ListBullet"/>
      </w:pPr>
      <w:r>
        <w:rPr>
          <w:rFonts w:ascii="Aptos" w:hAnsi="Aptos"/>
          <w:b w:val="0"/>
          <w:i w:val="0"/>
          <w:color w:val="222222"/>
          <w:sz w:val="21"/>
        </w:rPr>
        <w:t>Ask when they would use MERGE instead of append.</w:t>
      </w:r>
    </w:p>
    <w:p>
      <w:pPr>
        <w:pStyle w:val="Heading2"/>
      </w:pPr>
      <w:r>
        <w:t>Pass evidence</w:t>
      </w:r>
    </w:p>
    <w:p>
      <w:r>
        <w:rPr>
          <w:rFonts w:ascii="Aptos" w:hAnsi="Aptos"/>
          <w:b w:val="0"/>
          <w:i w:val="0"/>
          <w:color w:val="222222"/>
          <w:sz w:val="21"/>
        </w:rPr>
        <w:t>A learner passes when the assigned orders table is queryable, history is visible, the product_summary challenge is complete, and the learner can explain the workflow without reading every step.</w:t>
      </w:r>
    </w:p>
    <w:p>
      <w:r>
        <w:br w:type="page"/>
      </w:r>
    </w:p>
    <w:p>
      <w:pPr>
        <w:pStyle w:val="Heading1"/>
      </w:pPr>
      <w:r>
        <w:t>Trainer preflight and fallback plan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shd w:fill="0B2545"/>
            <w:tcMar>
              <w:top w:w="90" w:type="dxa"/>
              <w:start w:w="120" w:type="dxa"/>
              <w:bottom w:w="90" w:type="dxa"/>
              <w:end w:w="120" w:type="dxa"/>
            </w:tcMar>
            <w:vAlign w:val="center"/>
          </w:tcPr>
          <w:p>
            <w:pPr>
              <w:spacing w:after="0"/>
            </w:pPr>
            <w:r>
              <w:rPr>
                <w:rFonts w:ascii="Aptos" w:hAnsi="Aptos"/>
                <w:b/>
                <w:i w:val="0"/>
                <w:color w:val="FFFFFF"/>
                <w:sz w:val="16"/>
              </w:rPr>
              <w:t>Check</w:t>
            </w:r>
          </w:p>
        </w:tc>
        <w:tc>
          <w:tcPr>
            <w:tcW w:type="dxa" w:w="4320"/>
            <w:shd w:fill="0B2545"/>
            <w:tcMar>
              <w:top w:w="90" w:type="dxa"/>
              <w:start w:w="120" w:type="dxa"/>
              <w:bottom w:w="90" w:type="dxa"/>
              <w:end w:w="120" w:type="dxa"/>
            </w:tcMar>
            <w:vAlign w:val="center"/>
          </w:tcPr>
          <w:p>
            <w:pPr>
              <w:spacing w:after="0"/>
            </w:pPr>
            <w:r>
              <w:rPr>
                <w:rFonts w:ascii="Aptos" w:hAnsi="Aptos"/>
                <w:b/>
                <w:i w:val="0"/>
                <w:color w:val="FFFFFF"/>
                <w:sz w:val="16"/>
              </w:rPr>
              <w:t>Pass condition</w:t>
            </w:r>
          </w:p>
        </w:tc>
        <w:tc>
          <w:tcPr>
            <w:tcW w:type="dxa" w:w="3600"/>
            <w:shd w:fill="0B2545"/>
            <w:tcMar>
              <w:top w:w="90" w:type="dxa"/>
              <w:start w:w="120" w:type="dxa"/>
              <w:bottom w:w="90" w:type="dxa"/>
              <w:end w:w="120" w:type="dxa"/>
            </w:tcMar>
            <w:vAlign w:val="center"/>
          </w:tcPr>
          <w:p>
            <w:pPr>
              <w:spacing w:after="0"/>
            </w:pPr>
            <w:r>
              <w:rPr>
                <w:rFonts w:ascii="Aptos" w:hAnsi="Aptos"/>
                <w:b/>
                <w:i w:val="0"/>
                <w:color w:val="FFFFFF"/>
                <w:sz w:val="16"/>
              </w:rPr>
              <w:t>Fallback</w:t>
            </w:r>
          </w:p>
        </w:tc>
      </w:tr>
      <w:tr>
        <w:trPr>
          <w:cantSplit/>
        </w:trPr>
        <w:tc>
          <w:tcPr>
            <w:tcW w:type="dxa" w:w="1944"/>
            <w:tcMar>
              <w:top w:w="90" w:type="dxa"/>
              <w:start w:w="120" w:type="dxa"/>
              <w:bottom w:w="90" w:type="dxa"/>
              <w:end w:w="120" w:type="dxa"/>
            </w:tcMar>
            <w:vAlign w:val="center"/>
          </w:tcPr>
          <w:p>
            <w:pPr>
              <w:spacing w:after="0" w:line="252" w:lineRule="auto"/>
            </w:pPr>
            <w:r>
              <w:rPr>
                <w:rFonts w:ascii="Aptos" w:hAnsi="Aptos"/>
                <w:b w:val="0"/>
                <w:i w:val="0"/>
                <w:color w:val="222222"/>
                <w:sz w:val="16"/>
              </w:rPr>
              <w:t>Workspace</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Launches for trainer and test learner</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Confirm entitlement and tenant account mapping</w:t>
            </w:r>
          </w:p>
        </w:tc>
      </w:tr>
      <w:tr>
        <w:trPr>
          <w:cantSplit/>
        </w:trPr>
        <w:tc>
          <w:tcPr>
            <w:tcW w:type="dxa" w:w="19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Compute</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Starts and runs spark.range(5)</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Use prepared serverless or approved small classic compute</w:t>
            </w:r>
          </w:p>
        </w:tc>
      </w:tr>
      <w:tr>
        <w:trPr>
          <w:cantSplit/>
        </w:trPr>
        <w:tc>
          <w:tcPr>
            <w:tcW w:type="dxa" w:w="1944"/>
            <w:tcMar>
              <w:top w:w="90" w:type="dxa"/>
              <w:start w:w="120" w:type="dxa"/>
              <w:bottom w:w="90" w:type="dxa"/>
              <w:end w:w="120" w:type="dxa"/>
            </w:tcMar>
            <w:vAlign w:val="center"/>
          </w:tcPr>
          <w:p>
            <w:pPr>
              <w:spacing w:after="0" w:line="252" w:lineRule="auto"/>
            </w:pPr>
            <w:r>
              <w:rPr>
                <w:rFonts w:ascii="Aptos" w:hAnsi="Aptos"/>
                <w:b w:val="0"/>
                <w:i w:val="0"/>
                <w:color w:val="222222"/>
                <w:sz w:val="16"/>
              </w:rPr>
              <w:t>Catalog</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training_lab visible</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Verify metastore assignment and USE CATALOG</w:t>
            </w:r>
          </w:p>
        </w:tc>
      </w:tr>
      <w:tr>
        <w:trPr>
          <w:cantSplit/>
        </w:trPr>
        <w:tc>
          <w:tcPr>
            <w:tcW w:type="dxa" w:w="19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Schemas</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student_01 through student_14 exist</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Run reviewed admin setup statements</w:t>
            </w:r>
          </w:p>
        </w:tc>
      </w:tr>
      <w:tr>
        <w:trPr>
          <w:cantSplit/>
        </w:trPr>
        <w:tc>
          <w:tcPr>
            <w:tcW w:type="dxa" w:w="1944"/>
            <w:tcMar>
              <w:top w:w="90" w:type="dxa"/>
              <w:start w:w="120" w:type="dxa"/>
              <w:bottom w:w="90" w:type="dxa"/>
              <w:end w:w="120" w:type="dxa"/>
            </w:tcMar>
            <w:vAlign w:val="center"/>
          </w:tcPr>
          <w:p>
            <w:pPr>
              <w:spacing w:after="0" w:line="252" w:lineRule="auto"/>
            </w:pPr>
            <w:r>
              <w:rPr>
                <w:rFonts w:ascii="Aptos" w:hAnsi="Aptos"/>
                <w:b w:val="0"/>
                <w:i w:val="0"/>
                <w:color w:val="222222"/>
                <w:sz w:val="16"/>
              </w:rPr>
              <w:t>Permissions</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Test learner can create only in assigned schema</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Correct narrow schema grants</w:t>
            </w:r>
          </w:p>
        </w:tc>
      </w:tr>
      <w:tr>
        <w:trPr>
          <w:cantSplit/>
        </w:trPr>
        <w:tc>
          <w:tcPr>
            <w:tcW w:type="dxa" w:w="19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UI screenshots</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Match main navigation closely enough</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Explain renamed labels; use search and official docs</w:t>
            </w:r>
          </w:p>
        </w:tc>
      </w:tr>
      <w:tr>
        <w:trPr>
          <w:cantSplit/>
        </w:trPr>
        <w:tc>
          <w:tcPr>
            <w:tcW w:type="dxa" w:w="1944"/>
            <w:tcMar>
              <w:top w:w="90" w:type="dxa"/>
              <w:start w:w="120" w:type="dxa"/>
              <w:bottom w:w="90" w:type="dxa"/>
              <w:end w:w="120" w:type="dxa"/>
            </w:tcMar>
            <w:vAlign w:val="center"/>
          </w:tcPr>
          <w:p>
            <w:pPr>
              <w:spacing w:after="0" w:line="252" w:lineRule="auto"/>
            </w:pPr>
            <w:r>
              <w:rPr>
                <w:rFonts w:ascii="Aptos" w:hAnsi="Aptos"/>
                <w:b w:val="0"/>
                <w:i w:val="0"/>
                <w:color w:val="222222"/>
                <w:sz w:val="16"/>
              </w:rPr>
              <w:t>Cost control</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Auto termination or serverless policy confirmed</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Assign a trainer to monitor compute</w:t>
            </w:r>
          </w:p>
        </w:tc>
      </w:tr>
    </w:tbl>
    <w:p>
      <w:pPr>
        <w:spacing w:after="20"/>
      </w:pPr>
    </w:p>
    <w:p>
      <w:pPr>
        <w:pStyle w:val="Heading2"/>
      </w:pPr>
      <w:r>
        <w:t>If the live environment fails</w:t>
      </w:r>
    </w:p>
    <w:p>
      <w:pPr>
        <w:pStyle w:val="ListBullet"/>
      </w:pPr>
      <w:r>
        <w:rPr>
          <w:rFonts w:ascii="Aptos" w:hAnsi="Aptos"/>
          <w:b w:val="0"/>
          <w:i w:val="0"/>
          <w:color w:val="222222"/>
          <w:sz w:val="21"/>
        </w:rPr>
        <w:t>Keep teaching the architecture and code using the screenshots and expected-output tables.</w:t>
      </w:r>
    </w:p>
    <w:p>
      <w:pPr>
        <w:pStyle w:val="ListBullet"/>
      </w:pPr>
      <w:r>
        <w:rPr>
          <w:rFonts w:ascii="Aptos" w:hAnsi="Aptos"/>
          <w:b w:val="0"/>
          <w:i w:val="0"/>
          <w:color w:val="222222"/>
          <w:sz w:val="21"/>
        </w:rPr>
        <w:t>Pair learners around a working identity only if policy allows and individual assessment can still be completed later.</w:t>
      </w:r>
    </w:p>
    <w:p>
      <w:pPr>
        <w:pStyle w:val="ListBullet"/>
      </w:pPr>
      <w:r>
        <w:rPr>
          <w:rFonts w:ascii="Aptos" w:hAnsi="Aptos"/>
          <w:b w:val="0"/>
          <w:i w:val="0"/>
          <w:color w:val="222222"/>
          <w:sz w:val="21"/>
        </w:rPr>
        <w:t>Do not bypass identity controls or distribute admin credentials.</w:t>
      </w:r>
    </w:p>
    <w:p>
      <w:pPr>
        <w:pStyle w:val="ListBullet"/>
      </w:pPr>
      <w:r>
        <w:rPr>
          <w:rFonts w:ascii="Aptos" w:hAnsi="Aptos"/>
          <w:b w:val="0"/>
          <w:i w:val="0"/>
          <w:color w:val="222222"/>
          <w:sz w:val="21"/>
        </w:rPr>
        <w:t>Record the exact failure, affected identities and time; schedule a rerun of the practical evidence.</w:t>
      </w:r>
    </w:p>
    <w:p>
      <w:pPr>
        <w:spacing w:before="80" w:after="140"/>
      </w:pPr>
      <w:r>
        <w:rPr>
          <w:rFonts w:ascii="Aptos" w:hAnsi="Aptos"/>
          <w:b/>
          <w:i w:val="0"/>
          <w:color w:val="0B2545"/>
          <w:sz w:val="20"/>
        </w:rPr>
        <w:t xml:space="preserve">DELIVERY PRINCIPLE: </w:t>
      </w:r>
      <w:r>
        <w:rPr>
          <w:rFonts w:ascii="Aptos" w:hAnsi="Aptos"/>
          <w:b w:val="0"/>
          <w:i w:val="0"/>
          <w:color w:val="222222"/>
          <w:sz w:val="20"/>
        </w:rPr>
        <w:t>Never let a platform delay turn into unstructured waiting. Move to prediction, code reading, error diagnosis or the knowledge check while the admin investigates.</w:t>
      </w:r>
    </w:p>
    <w:p>
      <w:r>
        <w:br w:type="page"/>
      </w:r>
    </w:p>
    <w:p>
      <w:pPr>
        <w:pStyle w:val="Heading1"/>
      </w:pPr>
      <w:r>
        <w:t>Slide by slide speaking guide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1728"/>
            <w:shd w:fill="0B2545"/>
            <w:tcMar>
              <w:top w:w="90" w:type="dxa"/>
              <w:start w:w="120" w:type="dxa"/>
              <w:bottom w:w="90" w:type="dxa"/>
              <w:end w:w="120" w:type="dxa"/>
            </w:tcMar>
            <w:vAlign w:val="center"/>
          </w:tcPr>
          <w:p>
            <w:pPr>
              <w:spacing w:after="0"/>
            </w:pPr>
            <w:r>
              <w:rPr>
                <w:rFonts w:ascii="Aptos" w:hAnsi="Aptos"/>
                <w:b/>
                <w:i w:val="0"/>
                <w:color w:val="FFFFFF"/>
                <w:sz w:val="18"/>
              </w:rPr>
              <w:t>Slides</w:t>
            </w:r>
          </w:p>
        </w:tc>
        <w:tc>
          <w:tcPr>
            <w:tcW w:type="dxa" w:w="8064"/>
            <w:shd w:fill="0B2545"/>
            <w:tcMar>
              <w:top w:w="90" w:type="dxa"/>
              <w:start w:w="120" w:type="dxa"/>
              <w:bottom w:w="90" w:type="dxa"/>
              <w:end w:w="120" w:type="dxa"/>
            </w:tcMar>
            <w:vAlign w:val="center"/>
          </w:tcPr>
          <w:p>
            <w:pPr>
              <w:spacing w:after="0"/>
            </w:pPr>
            <w:r>
              <w:rPr>
                <w:rFonts w:ascii="Aptos" w:hAnsi="Aptos"/>
                <w:b/>
                <w:i w:val="0"/>
                <w:color w:val="FFFFFF"/>
                <w:sz w:val="18"/>
              </w:rPr>
              <w:t>Trainer purpose</w:t>
            </w:r>
          </w:p>
        </w:tc>
      </w:tr>
      <w:tr>
        <w:trPr>
          <w:cantSplit/>
        </w:trPr>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8"/>
              </w:rPr>
              <w:t>1–3</w:t>
            </w:r>
          </w:p>
        </w:tc>
        <w:tc>
          <w:tcPr>
            <w:tcW w:type="dxa" w:w="8064"/>
            <w:tcMar>
              <w:top w:w="90" w:type="dxa"/>
              <w:start w:w="120" w:type="dxa"/>
              <w:bottom w:w="90" w:type="dxa"/>
              <w:end w:w="120" w:type="dxa"/>
            </w:tcMar>
            <w:vAlign w:val="center"/>
          </w:tcPr>
          <w:p>
            <w:pPr>
              <w:spacing w:after="0" w:line="252" w:lineRule="auto"/>
            </w:pPr>
            <w:r>
              <w:rPr>
                <w:rFonts w:ascii="Aptos" w:hAnsi="Aptos"/>
                <w:b w:val="0"/>
                <w:i w:val="0"/>
                <w:color w:val="222222"/>
                <w:sz w:val="18"/>
              </w:rPr>
              <w:t>Set outcomes and the retail orders story. Promise one governed table by the end.</w:t>
            </w:r>
          </w:p>
        </w:tc>
      </w:tr>
      <w:tr>
        <w:trPr>
          <w:cantSplit/>
        </w:trPr>
        <w:tc>
          <w:tcPr>
            <w:tcW w:type="dxa" w:w="17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4–6</w:t>
            </w:r>
          </w:p>
        </w:tc>
        <w:tc>
          <w:tcPr>
            <w:tcW w:type="dxa" w:w="80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Define Databricks and lakehouse; name the five platform objects.</w:t>
            </w:r>
          </w:p>
        </w:tc>
      </w:tr>
      <w:tr>
        <w:trPr>
          <w:cantSplit/>
        </w:trPr>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8"/>
              </w:rPr>
              <w:t>7–9</w:t>
            </w:r>
          </w:p>
        </w:tc>
        <w:tc>
          <w:tcPr>
            <w:tcW w:type="dxa" w:w="8064"/>
            <w:tcMar>
              <w:top w:w="90" w:type="dxa"/>
              <w:start w:w="120" w:type="dxa"/>
              <w:bottom w:w="90" w:type="dxa"/>
              <w:end w:w="120" w:type="dxa"/>
            </w:tcMar>
            <w:vAlign w:val="center"/>
          </w:tcPr>
          <w:p>
            <w:pPr>
              <w:spacing w:after="0" w:line="252" w:lineRule="auto"/>
            </w:pPr>
            <w:r>
              <w:rPr>
                <w:rFonts w:ascii="Aptos" w:hAnsi="Aptos"/>
                <w:b w:val="0"/>
                <w:i w:val="0"/>
                <w:color w:val="222222"/>
                <w:sz w:val="18"/>
              </w:rPr>
              <w:t>Explain workspace types and the control, compute and storage layers.</w:t>
            </w:r>
          </w:p>
        </w:tc>
      </w:tr>
      <w:tr>
        <w:trPr>
          <w:cantSplit/>
        </w:trPr>
        <w:tc>
          <w:tcPr>
            <w:tcW w:type="dxa" w:w="17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10–12</w:t>
            </w:r>
          </w:p>
        </w:tc>
        <w:tc>
          <w:tcPr>
            <w:tcW w:type="dxa" w:w="80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Teach driver, executors, partitions, transformations, actions and lazy evaluation.</w:t>
            </w:r>
          </w:p>
        </w:tc>
      </w:tr>
      <w:tr>
        <w:trPr>
          <w:cantSplit/>
        </w:trPr>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8"/>
              </w:rPr>
              <w:t>13–16</w:t>
            </w:r>
          </w:p>
        </w:tc>
        <w:tc>
          <w:tcPr>
            <w:tcW w:type="dxa" w:w="8064"/>
            <w:tcMar>
              <w:top w:w="90" w:type="dxa"/>
              <w:start w:w="120" w:type="dxa"/>
              <w:bottom w:w="90" w:type="dxa"/>
              <w:end w:w="120" w:type="dxa"/>
            </w:tcMar>
            <w:vAlign w:val="center"/>
          </w:tcPr>
          <w:p>
            <w:pPr>
              <w:spacing w:after="0" w:line="252" w:lineRule="auto"/>
            </w:pPr>
            <w:r>
              <w:rPr>
                <w:rFonts w:ascii="Aptos" w:hAnsi="Aptos"/>
                <w:b w:val="0"/>
                <w:i w:val="0"/>
                <w:color w:val="222222"/>
                <w:sz w:val="18"/>
              </w:rPr>
              <w:t>Navigate notebooks and compute. Point out current UI variations.</w:t>
            </w:r>
          </w:p>
        </w:tc>
      </w:tr>
      <w:tr>
        <w:trPr>
          <w:cantSplit/>
        </w:trPr>
        <w:tc>
          <w:tcPr>
            <w:tcW w:type="dxa" w:w="17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17–21</w:t>
            </w:r>
          </w:p>
        </w:tc>
        <w:tc>
          <w:tcPr>
            <w:tcW w:type="dxa" w:w="80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Build the DataFrame, compare formats and query a temporary view.</w:t>
            </w:r>
          </w:p>
        </w:tc>
      </w:tr>
      <w:tr>
        <w:trPr>
          <w:cantSplit/>
        </w:trPr>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8"/>
              </w:rPr>
              <w:t>22–24</w:t>
            </w:r>
          </w:p>
        </w:tc>
        <w:tc>
          <w:tcPr>
            <w:tcW w:type="dxa" w:w="8064"/>
            <w:tcMar>
              <w:top w:w="90" w:type="dxa"/>
              <w:start w:w="120" w:type="dxa"/>
              <w:bottom w:w="90" w:type="dxa"/>
              <w:end w:w="120" w:type="dxa"/>
            </w:tcMar>
            <w:vAlign w:val="center"/>
          </w:tcPr>
          <w:p>
            <w:pPr>
              <w:spacing w:after="0" w:line="252" w:lineRule="auto"/>
            </w:pPr>
            <w:r>
              <w:rPr>
                <w:rFonts w:ascii="Aptos" w:hAnsi="Aptos"/>
                <w:b w:val="0"/>
                <w:i w:val="0"/>
                <w:color w:val="222222"/>
                <w:sz w:val="18"/>
              </w:rPr>
              <w:t>Introduce Unity Catalog, learner isolation and Delta.</w:t>
            </w:r>
          </w:p>
        </w:tc>
      </w:tr>
      <w:tr>
        <w:trPr>
          <w:cantSplit/>
        </w:trPr>
        <w:tc>
          <w:tcPr>
            <w:tcW w:type="dxa" w:w="17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25–27</w:t>
            </w:r>
          </w:p>
        </w:tc>
        <w:tc>
          <w:tcPr>
            <w:tcW w:type="dxa" w:w="80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Explain saveAsTable, write modes, history and time travel.</w:t>
            </w:r>
          </w:p>
        </w:tc>
      </w:tr>
      <w:tr>
        <w:trPr>
          <w:cantSplit/>
        </w:trPr>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8"/>
              </w:rPr>
              <w:t>28–30</w:t>
            </w:r>
          </w:p>
        </w:tc>
        <w:tc>
          <w:tcPr>
            <w:tcW w:type="dxa" w:w="8064"/>
            <w:tcMar>
              <w:top w:w="90" w:type="dxa"/>
              <w:start w:w="120" w:type="dxa"/>
              <w:bottom w:w="90" w:type="dxa"/>
              <w:end w:w="120" w:type="dxa"/>
            </w:tcMar>
            <w:vAlign w:val="center"/>
          </w:tcPr>
          <w:p>
            <w:pPr>
              <w:spacing w:after="0" w:line="252" w:lineRule="auto"/>
            </w:pPr>
            <w:r>
              <w:rPr>
                <w:rFonts w:ascii="Aptos" w:hAnsi="Aptos"/>
                <w:b w:val="0"/>
                <w:i w:val="0"/>
                <w:color w:val="222222"/>
                <w:sz w:val="18"/>
              </w:rPr>
              <w:t>Run the lab flow, troubleshoot, assess and close.</w:t>
            </w:r>
          </w:p>
        </w:tc>
      </w:tr>
    </w:tbl>
    <w:p>
      <w:pPr>
        <w:spacing w:after="20"/>
      </w:pPr>
    </w:p>
    <w:p>
      <w:pPr>
        <w:pStyle w:val="Heading2"/>
      </w:pPr>
      <w:r>
        <w:t>Close the session</w:t>
      </w:r>
    </w:p>
    <w:p>
      <w:r>
        <w:rPr>
          <w:rFonts w:ascii="Aptos" w:hAnsi="Aptos"/>
          <w:b w:val="0"/>
          <w:i w:val="0"/>
          <w:color w:val="222222"/>
          <w:sz w:val="21"/>
        </w:rPr>
        <w:t>“You now have one complete path: create or enter the workspace, connect a notebook to compute, transform data with Spark, publish into Unity Catalog, and verify a Delta table with history. The next step in a production course is to automate that path with jobs and reliable ingestion patterns.”</w:t>
      </w:r>
    </w:p>
    <w:p>
      <w:pPr>
        <w:pStyle w:val="Heading1"/>
      </w:pPr>
      <w:r>
        <w:t>Official references</w:t>
      </w:r>
    </w:p>
    <w:p>
      <w:r>
        <w:rPr>
          <w:rFonts w:ascii="Aptos" w:hAnsi="Aptos"/>
          <w:b w:val="0"/>
          <w:i w:val="0"/>
          <w:color w:val="222222"/>
          <w:sz w:val="21"/>
        </w:rPr>
        <w:t>Azure Databricks interfaces change frequently. The steps and screenshots in this package align with the current Microsoft Learn guidance available in September 2026. If a label moves, use the equivalent navigation item in your tenant.</w:t>
      </w:r>
    </w:p>
    <w:p>
      <w:pPr>
        <w:pStyle w:val="ListBullet"/>
      </w:pPr>
      <w:r>
        <w:rPr>
          <w:rFonts w:ascii="Aptos" w:hAnsi="Aptos"/>
          <w:b w:val="0"/>
          <w:i w:val="0"/>
          <w:color w:val="222222"/>
          <w:sz w:val="21"/>
        </w:rPr>
        <w:t>Create an Azure Databricks workspace — https://learn.microsoft.com/azure/databricks/admin/workspace/create-workspace</w:t>
      </w:r>
    </w:p>
    <w:p>
      <w:pPr>
        <w:pStyle w:val="ListBullet"/>
      </w:pPr>
      <w:r>
        <w:rPr>
          <w:rFonts w:ascii="Aptos" w:hAnsi="Aptos"/>
          <w:b w:val="0"/>
          <w:i w:val="0"/>
          <w:color w:val="222222"/>
          <w:sz w:val="21"/>
        </w:rPr>
        <w:t>Create and manage notebooks — https://learn.microsoft.com/azure/databricks/notebooks/notebooks-manage</w:t>
      </w:r>
    </w:p>
    <w:p>
      <w:pPr>
        <w:pStyle w:val="ListBullet"/>
      </w:pPr>
      <w:r>
        <w:rPr>
          <w:rFonts w:ascii="Aptos" w:hAnsi="Aptos"/>
          <w:b w:val="0"/>
          <w:i w:val="0"/>
          <w:color w:val="222222"/>
          <w:sz w:val="21"/>
        </w:rPr>
        <w:t>Configure classic compute — https://learn.microsoft.com/azure/databricks/compute/configure</w:t>
      </w:r>
    </w:p>
    <w:p>
      <w:pPr>
        <w:pStyle w:val="ListBullet"/>
      </w:pPr>
      <w:r>
        <w:rPr>
          <w:rFonts w:ascii="Aptos" w:hAnsi="Aptos"/>
          <w:b w:val="0"/>
          <w:i w:val="0"/>
          <w:color w:val="222222"/>
          <w:sz w:val="21"/>
        </w:rPr>
        <w:t>Delta Lake tutorial — https://learn.microsoft.com/azure/databricks/delta/tutorial</w:t>
      </w:r>
    </w:p>
    <w:p>
      <w:pPr>
        <w:pStyle w:val="ListBullet"/>
      </w:pPr>
      <w:r>
        <w:rPr>
          <w:rFonts w:ascii="Aptos" w:hAnsi="Aptos"/>
          <w:b w:val="0"/>
          <w:i w:val="0"/>
          <w:color w:val="222222"/>
          <w:sz w:val="21"/>
        </w:rPr>
        <w:t>Apache Spark documentation — https://spark.apache.org/docs/latest/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6"/>
      </w:rPr>
      <w:t xml:space="preserve">Lessons 1 and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B6573"/>
        <w:sz w:val="17"/>
      </w:rPr>
      <w:t>AZURE DATABRICKS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