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17 Databricks Detailed Lab Guide</w:t>
      </w:r>
    </w:p>
    <w:p>
      <w:pPr>
        <w:pStyle w:val="Subtitle"/>
      </w:pPr>
      <w:r>
        <w:t>Retail ELT pipeline with validation jobs charts and dashboards</w:t>
      </w:r>
    </w:p>
    <w:p>
      <w:r>
        <w:t>Complete this lab to produce governed Bronze, Silver and Gold Delta tables, a three-task job, notebook charts and an interactive dashboard. The Power BI and Tableau exercises connect the same reporting data to external tools.</w:t>
      </w:r>
    </w:p>
    <w:p>
      <w:r>
        <w:t>The exercises use a complete fixed training snapshot. They overwrite only specifically named day17 tables and files in your assigned schema. Never run them against production data. Use student_01 only if that is your assigned schema.</w:t>
      </w:r>
    </w:p>
    <w:p>
      <w:pPr>
        <w:pStyle w:val="Heading2"/>
      </w:pPr>
      <w:r>
        <w:t>Lab materials</w:t>
      </w:r>
    </w:p>
    <w:p>
      <w:r>
        <w:t>The accompanying code pack contains ready-to-import notebooks and the CSV and JSON inputs. Extract the ZIP on your computer, import the notebooks into your Day17 workspace folder, then run setup, ingest, clean and publish in that order. The standalone SQL examples are for separate SQL cells or the SQL editor.</w:t>
      </w:r>
    </w:p>
    <w:p>
      <w:pPr>
        <w:pStyle w:val="Heading2"/>
      </w:pPr>
      <w:r>
        <w:t>Expected clean order values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296"/>
        <w:gridCol w:w="1872"/>
        <w:gridCol w:w="720"/>
        <w:gridCol w:w="1656"/>
        <w:gridCol w:w="1872"/>
      </w:tblGrid>
      <w:tr>
        <w:trPr>
          <w:cantSplit/>
          <w:tblHeader/>
        </w:trPr>
        <w:tc>
          <w:tcPr>
            <w:tcW w:type="dxa" w:w="1152"/>
            <w:vAlign w:val="center"/>
            <w:shd w:fill="173E50"/>
            <w:tcMar>
              <w:top w:w="95" w:type="dxa"/>
              <w:bottom w:w="95" w:type="dxa"/>
              <w:start w:w="95" w:type="dxa"/>
              <w:end w:w="95" w:type="dxa"/>
            </w:tcMar>
          </w:tcPr>
          <w:p>
            <w:pPr>
              <w:spacing w:after="40"/>
            </w:pPr>
            <w:r>
              <w:rPr>
                <w:b/>
                <w:color w:val="FFFFFF"/>
                <w:sz w:val="18"/>
              </w:rPr>
              <w:t>Order</w:t>
            </w:r>
          </w:p>
        </w:tc>
        <w:tc>
          <w:tcPr>
            <w:tcW w:type="dxa" w:w="1296"/>
            <w:vAlign w:val="center"/>
            <w:shd w:fill="173E50"/>
            <w:tcMar>
              <w:top w:w="95" w:type="dxa"/>
              <w:bottom w:w="95" w:type="dxa"/>
              <w:start w:w="95" w:type="dxa"/>
              <w:end w:w="95" w:type="dxa"/>
            </w:tcMar>
          </w:tcPr>
          <w:p>
            <w:pPr>
              <w:spacing w:after="40"/>
            </w:pPr>
            <w:r>
              <w:rPr>
                <w:b/>
                <w:color w:val="FFFFFF"/>
                <w:sz w:val="18"/>
              </w:rPr>
              <w:t>Customer</w:t>
            </w:r>
          </w:p>
        </w:tc>
        <w:tc>
          <w:tcPr>
            <w:tcW w:type="dxa" w:w="1872"/>
            <w:vAlign w:val="center"/>
            <w:shd w:fill="173E50"/>
            <w:tcMar>
              <w:top w:w="95" w:type="dxa"/>
              <w:bottom w:w="95" w:type="dxa"/>
              <w:start w:w="95" w:type="dxa"/>
              <w:end w:w="95" w:type="dxa"/>
            </w:tcMar>
          </w:tcPr>
          <w:p>
            <w:pPr>
              <w:spacing w:after="40"/>
            </w:pPr>
            <w:r>
              <w:rPr>
                <w:b/>
                <w:color w:val="FFFFFF"/>
                <w:sz w:val="18"/>
              </w:rPr>
              <w:t>Product</w:t>
            </w:r>
          </w:p>
        </w:tc>
        <w:tc>
          <w:tcPr>
            <w:tcW w:type="dxa" w:w="720"/>
            <w:vAlign w:val="center"/>
            <w:shd w:fill="173E50"/>
            <w:tcMar>
              <w:top w:w="95" w:type="dxa"/>
              <w:bottom w:w="95" w:type="dxa"/>
              <w:start w:w="95" w:type="dxa"/>
              <w:end w:w="95" w:type="dxa"/>
            </w:tcMar>
          </w:tcPr>
          <w:p>
            <w:pPr>
              <w:spacing w:after="40"/>
            </w:pPr>
            <w:r>
              <w:rPr>
                <w:b/>
                <w:color w:val="FFFFFF"/>
                <w:sz w:val="18"/>
              </w:rPr>
              <w:t>Qty</w:t>
            </w:r>
          </w:p>
        </w:tc>
        <w:tc>
          <w:tcPr>
            <w:tcW w:type="dxa" w:w="1656"/>
            <w:vAlign w:val="center"/>
            <w:shd w:fill="173E50"/>
            <w:tcMar>
              <w:top w:w="95" w:type="dxa"/>
              <w:bottom w:w="95" w:type="dxa"/>
              <w:start w:w="95" w:type="dxa"/>
              <w:end w:w="95" w:type="dxa"/>
            </w:tcMar>
          </w:tcPr>
          <w:p>
            <w:pPr>
              <w:spacing w:after="40"/>
            </w:pPr>
            <w:r>
              <w:rPr>
                <w:b/>
                <w:color w:val="FFFFFF"/>
                <w:sz w:val="18"/>
              </w:rPr>
              <w:t>Unit INR</w:t>
            </w:r>
          </w:p>
        </w:tc>
        <w:tc>
          <w:tcPr>
            <w:tcW w:type="dxa" w:w="1872"/>
            <w:vAlign w:val="center"/>
            <w:shd w:fill="173E50"/>
            <w:tcMar>
              <w:top w:w="95" w:type="dxa"/>
              <w:bottom w:w="95" w:type="dxa"/>
              <w:start w:w="95" w:type="dxa"/>
              <w:end w:w="95" w:type="dxa"/>
            </w:tcMar>
          </w:tcPr>
          <w:p>
            <w:pPr>
              <w:spacing w:after="40"/>
            </w:pPr>
            <w:r>
              <w:rPr>
                <w:b/>
                <w:color w:val="FFFFFF"/>
                <w:sz w:val="18"/>
              </w:rPr>
              <w:t>Total INR</w:t>
            </w:r>
          </w:p>
        </w:tc>
      </w:tr>
      <w:tr>
        <w:trPr>
          <w:cantSplit/>
        </w:trPr>
        <w:tc>
          <w:tcPr>
            <w:tcW w:type="dxa" w:w="1152"/>
            <w:vAlign w:val="center"/>
            <w:shd w:fill="FFFFFF"/>
            <w:tcMar>
              <w:top w:w="95" w:type="dxa"/>
              <w:bottom w:w="95" w:type="dxa"/>
              <w:start w:w="95" w:type="dxa"/>
              <w:end w:w="95" w:type="dxa"/>
            </w:tcMar>
          </w:tcPr>
          <w:p>
            <w:pPr>
              <w:spacing w:after="40"/>
            </w:pPr>
            <w:r>
              <w:rPr>
                <w:b w:val="0"/>
                <w:color w:val="000000"/>
                <w:sz w:val="18"/>
              </w:rPr>
              <w:t>O101</w:t>
            </w:r>
          </w:p>
        </w:tc>
        <w:tc>
          <w:tcPr>
            <w:tcW w:type="dxa" w:w="1296"/>
            <w:vAlign w:val="center"/>
            <w:shd w:fill="FFFFFF"/>
            <w:tcMar>
              <w:top w:w="95" w:type="dxa"/>
              <w:bottom w:w="95" w:type="dxa"/>
              <w:start w:w="95" w:type="dxa"/>
              <w:end w:w="95" w:type="dxa"/>
            </w:tcMar>
          </w:tcPr>
          <w:p>
            <w:pPr>
              <w:spacing w:after="40"/>
            </w:pPr>
            <w:r>
              <w:rPr>
                <w:b w:val="0"/>
                <w:color w:val="000000"/>
                <w:sz w:val="18"/>
              </w:rPr>
              <w:t>C01</w:t>
            </w:r>
          </w:p>
        </w:tc>
        <w:tc>
          <w:tcPr>
            <w:tcW w:type="dxa" w:w="1872"/>
            <w:vAlign w:val="center"/>
            <w:shd w:fill="FFFFFF"/>
            <w:tcMar>
              <w:top w:w="95" w:type="dxa"/>
              <w:bottom w:w="95" w:type="dxa"/>
              <w:start w:w="95" w:type="dxa"/>
              <w:end w:w="95" w:type="dxa"/>
            </w:tcMar>
          </w:tcPr>
          <w:p>
            <w:pPr>
              <w:spacing w:after="40"/>
            </w:pPr>
            <w:r>
              <w:rPr>
                <w:b w:val="0"/>
                <w:color w:val="000000"/>
                <w:sz w:val="18"/>
              </w:rPr>
              <w:t>Laptop</w:t>
            </w:r>
          </w:p>
        </w:tc>
        <w:tc>
          <w:tcPr>
            <w:tcW w:type="dxa" w:w="720"/>
            <w:vAlign w:val="center"/>
            <w:shd w:fill="FFFFFF"/>
            <w:tcMar>
              <w:top w:w="95" w:type="dxa"/>
              <w:bottom w:w="95" w:type="dxa"/>
              <w:start w:w="95" w:type="dxa"/>
              <w:end w:w="95" w:type="dxa"/>
            </w:tcMar>
          </w:tcPr>
          <w:p>
            <w:pPr>
              <w:spacing w:after="40"/>
            </w:pPr>
            <w:r>
              <w:rPr>
                <w:b w:val="0"/>
                <w:color w:val="000000"/>
                <w:sz w:val="18"/>
              </w:rPr>
              <w:t>1</w:t>
            </w:r>
          </w:p>
        </w:tc>
        <w:tc>
          <w:tcPr>
            <w:tcW w:type="dxa" w:w="1656"/>
            <w:vAlign w:val="center"/>
            <w:shd w:fill="FFFFFF"/>
            <w:tcMar>
              <w:top w:w="95" w:type="dxa"/>
              <w:bottom w:w="95" w:type="dxa"/>
              <w:start w:w="95" w:type="dxa"/>
              <w:end w:w="95" w:type="dxa"/>
            </w:tcMar>
          </w:tcPr>
          <w:p>
            <w:pPr>
              <w:spacing w:after="40"/>
            </w:pPr>
            <w:r>
              <w:rPr>
                <w:b w:val="0"/>
                <w:color w:val="000000"/>
                <w:sz w:val="18"/>
              </w:rPr>
              <w:t>60000</w:t>
            </w:r>
          </w:p>
        </w:tc>
        <w:tc>
          <w:tcPr>
            <w:tcW w:type="dxa" w:w="1872"/>
            <w:vAlign w:val="center"/>
            <w:shd w:fill="FFFFFF"/>
            <w:tcMar>
              <w:top w:w="95" w:type="dxa"/>
              <w:bottom w:w="95" w:type="dxa"/>
              <w:start w:w="95" w:type="dxa"/>
              <w:end w:w="95" w:type="dxa"/>
            </w:tcMar>
          </w:tcPr>
          <w:p>
            <w:pPr>
              <w:spacing w:after="40"/>
            </w:pPr>
            <w:r>
              <w:rPr>
                <w:b w:val="0"/>
                <w:color w:val="000000"/>
                <w:sz w:val="18"/>
              </w:rPr>
              <w:t>60000</w:t>
            </w:r>
          </w:p>
        </w:tc>
      </w:tr>
      <w:tr>
        <w:trPr>
          <w:cantSplit/>
        </w:trPr>
        <w:tc>
          <w:tcPr>
            <w:tcW w:type="dxa" w:w="1152"/>
            <w:vAlign w:val="center"/>
            <w:shd w:fill="F3F6F7"/>
            <w:tcMar>
              <w:top w:w="95" w:type="dxa"/>
              <w:bottom w:w="95" w:type="dxa"/>
              <w:start w:w="95" w:type="dxa"/>
              <w:end w:w="95" w:type="dxa"/>
            </w:tcMar>
          </w:tcPr>
          <w:p>
            <w:pPr>
              <w:spacing w:after="40"/>
            </w:pPr>
            <w:r>
              <w:rPr>
                <w:b w:val="0"/>
                <w:color w:val="000000"/>
                <w:sz w:val="18"/>
              </w:rPr>
              <w:t>O102</w:t>
            </w:r>
          </w:p>
        </w:tc>
        <w:tc>
          <w:tcPr>
            <w:tcW w:type="dxa" w:w="1296"/>
            <w:vAlign w:val="center"/>
            <w:shd w:fill="F3F6F7"/>
            <w:tcMar>
              <w:top w:w="95" w:type="dxa"/>
              <w:bottom w:w="95" w:type="dxa"/>
              <w:start w:w="95" w:type="dxa"/>
              <w:end w:w="95" w:type="dxa"/>
            </w:tcMar>
          </w:tcPr>
          <w:p>
            <w:pPr>
              <w:spacing w:after="40"/>
            </w:pPr>
            <w:r>
              <w:rPr>
                <w:b w:val="0"/>
                <w:color w:val="000000"/>
                <w:sz w:val="18"/>
              </w:rPr>
              <w:t>C02</w:t>
            </w:r>
          </w:p>
        </w:tc>
        <w:tc>
          <w:tcPr>
            <w:tcW w:type="dxa" w:w="1872"/>
            <w:vAlign w:val="center"/>
            <w:shd w:fill="F3F6F7"/>
            <w:tcMar>
              <w:top w:w="95" w:type="dxa"/>
              <w:bottom w:w="95" w:type="dxa"/>
              <w:start w:w="95" w:type="dxa"/>
              <w:end w:w="95" w:type="dxa"/>
            </w:tcMar>
          </w:tcPr>
          <w:p>
            <w:pPr>
              <w:spacing w:after="40"/>
            </w:pPr>
            <w:r>
              <w:rPr>
                <w:b w:val="0"/>
                <w:color w:val="000000"/>
                <w:sz w:val="18"/>
              </w:rPr>
              <w:t>Mouse</w:t>
            </w:r>
          </w:p>
        </w:tc>
        <w:tc>
          <w:tcPr>
            <w:tcW w:type="dxa" w:w="720"/>
            <w:vAlign w:val="center"/>
            <w:shd w:fill="F3F6F7"/>
            <w:tcMar>
              <w:top w:w="95" w:type="dxa"/>
              <w:bottom w:w="95" w:type="dxa"/>
              <w:start w:w="95" w:type="dxa"/>
              <w:end w:w="95" w:type="dxa"/>
            </w:tcMar>
          </w:tcPr>
          <w:p>
            <w:pPr>
              <w:spacing w:after="40"/>
            </w:pPr>
            <w:r>
              <w:rPr>
                <w:b w:val="0"/>
                <w:color w:val="000000"/>
                <w:sz w:val="18"/>
              </w:rPr>
              <w:t>2</w:t>
            </w:r>
          </w:p>
        </w:tc>
        <w:tc>
          <w:tcPr>
            <w:tcW w:type="dxa" w:w="1656"/>
            <w:vAlign w:val="center"/>
            <w:shd w:fill="F3F6F7"/>
            <w:tcMar>
              <w:top w:w="95" w:type="dxa"/>
              <w:bottom w:w="95" w:type="dxa"/>
              <w:start w:w="95" w:type="dxa"/>
              <w:end w:w="95" w:type="dxa"/>
            </w:tcMar>
          </w:tcPr>
          <w:p>
            <w:pPr>
              <w:spacing w:after="40"/>
            </w:pPr>
            <w:r>
              <w:rPr>
                <w:b w:val="0"/>
                <w:color w:val="000000"/>
                <w:sz w:val="18"/>
              </w:rPr>
              <w:t>800</w:t>
            </w:r>
          </w:p>
        </w:tc>
        <w:tc>
          <w:tcPr>
            <w:tcW w:type="dxa" w:w="1872"/>
            <w:vAlign w:val="center"/>
            <w:shd w:fill="F3F6F7"/>
            <w:tcMar>
              <w:top w:w="95" w:type="dxa"/>
              <w:bottom w:w="95" w:type="dxa"/>
              <w:start w:w="95" w:type="dxa"/>
              <w:end w:w="95" w:type="dxa"/>
            </w:tcMar>
          </w:tcPr>
          <w:p>
            <w:pPr>
              <w:spacing w:after="40"/>
            </w:pPr>
            <w:r>
              <w:rPr>
                <w:b w:val="0"/>
                <w:color w:val="000000"/>
                <w:sz w:val="18"/>
              </w:rPr>
              <w:t>1600</w:t>
            </w:r>
          </w:p>
        </w:tc>
      </w:tr>
      <w:tr>
        <w:trPr>
          <w:cantSplit/>
        </w:trPr>
        <w:tc>
          <w:tcPr>
            <w:tcW w:type="dxa" w:w="1152"/>
            <w:vAlign w:val="center"/>
            <w:shd w:fill="FFFFFF"/>
            <w:tcMar>
              <w:top w:w="95" w:type="dxa"/>
              <w:bottom w:w="95" w:type="dxa"/>
              <w:start w:w="95" w:type="dxa"/>
              <w:end w:w="95" w:type="dxa"/>
            </w:tcMar>
          </w:tcPr>
          <w:p>
            <w:pPr>
              <w:spacing w:after="40"/>
            </w:pPr>
            <w:r>
              <w:rPr>
                <w:b w:val="0"/>
                <w:color w:val="000000"/>
                <w:sz w:val="18"/>
              </w:rPr>
              <w:t>O103</w:t>
            </w:r>
          </w:p>
        </w:tc>
        <w:tc>
          <w:tcPr>
            <w:tcW w:type="dxa" w:w="1296"/>
            <w:vAlign w:val="center"/>
            <w:shd w:fill="FFFFFF"/>
            <w:tcMar>
              <w:top w:w="95" w:type="dxa"/>
              <w:bottom w:w="95" w:type="dxa"/>
              <w:start w:w="95" w:type="dxa"/>
              <w:end w:w="95" w:type="dxa"/>
            </w:tcMar>
          </w:tcPr>
          <w:p>
            <w:pPr>
              <w:spacing w:after="40"/>
            </w:pPr>
            <w:r>
              <w:rPr>
                <w:b w:val="0"/>
                <w:color w:val="000000"/>
                <w:sz w:val="18"/>
              </w:rPr>
              <w:t>C01</w:t>
            </w:r>
          </w:p>
        </w:tc>
        <w:tc>
          <w:tcPr>
            <w:tcW w:type="dxa" w:w="1872"/>
            <w:vAlign w:val="center"/>
            <w:shd w:fill="FFFFFF"/>
            <w:tcMar>
              <w:top w:w="95" w:type="dxa"/>
              <w:bottom w:w="95" w:type="dxa"/>
              <w:start w:w="95" w:type="dxa"/>
              <w:end w:w="95" w:type="dxa"/>
            </w:tcMar>
          </w:tcPr>
          <w:p>
            <w:pPr>
              <w:spacing w:after="40"/>
            </w:pPr>
            <w:r>
              <w:rPr>
                <w:b w:val="0"/>
                <w:color w:val="000000"/>
                <w:sz w:val="18"/>
              </w:rPr>
              <w:t>Keyboard</w:t>
            </w:r>
          </w:p>
        </w:tc>
        <w:tc>
          <w:tcPr>
            <w:tcW w:type="dxa" w:w="720"/>
            <w:vAlign w:val="center"/>
            <w:shd w:fill="FFFFFF"/>
            <w:tcMar>
              <w:top w:w="95" w:type="dxa"/>
              <w:bottom w:w="95" w:type="dxa"/>
              <w:start w:w="95" w:type="dxa"/>
              <w:end w:w="95" w:type="dxa"/>
            </w:tcMar>
          </w:tcPr>
          <w:p>
            <w:pPr>
              <w:spacing w:after="40"/>
            </w:pPr>
            <w:r>
              <w:rPr>
                <w:b w:val="0"/>
                <w:color w:val="000000"/>
                <w:sz w:val="18"/>
              </w:rPr>
              <w:t>3</w:t>
            </w:r>
          </w:p>
        </w:tc>
        <w:tc>
          <w:tcPr>
            <w:tcW w:type="dxa" w:w="1656"/>
            <w:vAlign w:val="center"/>
            <w:shd w:fill="FFFFFF"/>
            <w:tcMar>
              <w:top w:w="95" w:type="dxa"/>
              <w:bottom w:w="95" w:type="dxa"/>
              <w:start w:w="95" w:type="dxa"/>
              <w:end w:w="95" w:type="dxa"/>
            </w:tcMar>
          </w:tcPr>
          <w:p>
            <w:pPr>
              <w:spacing w:after="40"/>
            </w:pPr>
            <w:r>
              <w:rPr>
                <w:b w:val="0"/>
                <w:color w:val="000000"/>
                <w:sz w:val="18"/>
              </w:rPr>
              <w:t>1500</w:t>
            </w:r>
          </w:p>
        </w:tc>
        <w:tc>
          <w:tcPr>
            <w:tcW w:type="dxa" w:w="1872"/>
            <w:vAlign w:val="center"/>
            <w:shd w:fill="FFFFFF"/>
            <w:tcMar>
              <w:top w:w="95" w:type="dxa"/>
              <w:bottom w:w="95" w:type="dxa"/>
              <w:start w:w="95" w:type="dxa"/>
              <w:end w:w="95" w:type="dxa"/>
            </w:tcMar>
          </w:tcPr>
          <w:p>
            <w:pPr>
              <w:spacing w:after="40"/>
            </w:pPr>
            <w:r>
              <w:rPr>
                <w:b w:val="0"/>
                <w:color w:val="000000"/>
                <w:sz w:val="18"/>
              </w:rPr>
              <w:t>4500</w:t>
            </w:r>
          </w:p>
        </w:tc>
      </w:tr>
      <w:tr>
        <w:trPr>
          <w:cantSplit/>
        </w:trPr>
        <w:tc>
          <w:tcPr>
            <w:tcW w:type="dxa" w:w="1152"/>
            <w:vAlign w:val="center"/>
            <w:shd w:fill="F3F6F7"/>
            <w:tcMar>
              <w:top w:w="95" w:type="dxa"/>
              <w:bottom w:w="95" w:type="dxa"/>
              <w:start w:w="95" w:type="dxa"/>
              <w:end w:w="95" w:type="dxa"/>
            </w:tcMar>
          </w:tcPr>
          <w:p>
            <w:pPr>
              <w:spacing w:after="40"/>
            </w:pPr>
            <w:r>
              <w:rPr>
                <w:b w:val="0"/>
                <w:color w:val="000000"/>
                <w:sz w:val="18"/>
              </w:rPr>
              <w:t>O104</w:t>
            </w:r>
          </w:p>
        </w:tc>
        <w:tc>
          <w:tcPr>
            <w:tcW w:type="dxa" w:w="1296"/>
            <w:vAlign w:val="center"/>
            <w:shd w:fill="F3F6F7"/>
            <w:tcMar>
              <w:top w:w="95" w:type="dxa"/>
              <w:bottom w:w="95" w:type="dxa"/>
              <w:start w:w="95" w:type="dxa"/>
              <w:end w:w="95" w:type="dxa"/>
            </w:tcMar>
          </w:tcPr>
          <w:p>
            <w:pPr>
              <w:spacing w:after="40"/>
            </w:pPr>
            <w:r>
              <w:rPr>
                <w:b w:val="0"/>
                <w:color w:val="000000"/>
                <w:sz w:val="18"/>
              </w:rPr>
              <w:t>C03</w:t>
            </w:r>
          </w:p>
        </w:tc>
        <w:tc>
          <w:tcPr>
            <w:tcW w:type="dxa" w:w="1872"/>
            <w:vAlign w:val="center"/>
            <w:shd w:fill="F3F6F7"/>
            <w:tcMar>
              <w:top w:w="95" w:type="dxa"/>
              <w:bottom w:w="95" w:type="dxa"/>
              <w:start w:w="95" w:type="dxa"/>
              <w:end w:w="95" w:type="dxa"/>
            </w:tcMar>
          </w:tcPr>
          <w:p>
            <w:pPr>
              <w:spacing w:after="40"/>
            </w:pPr>
            <w:r>
              <w:rPr>
                <w:b w:val="0"/>
                <w:color w:val="000000"/>
                <w:sz w:val="18"/>
              </w:rPr>
              <w:t>Monitor</w:t>
            </w:r>
          </w:p>
        </w:tc>
        <w:tc>
          <w:tcPr>
            <w:tcW w:type="dxa" w:w="720"/>
            <w:vAlign w:val="center"/>
            <w:shd w:fill="F3F6F7"/>
            <w:tcMar>
              <w:top w:w="95" w:type="dxa"/>
              <w:bottom w:w="95" w:type="dxa"/>
              <w:start w:w="95" w:type="dxa"/>
              <w:end w:w="95" w:type="dxa"/>
            </w:tcMar>
          </w:tcPr>
          <w:p>
            <w:pPr>
              <w:spacing w:after="40"/>
            </w:pPr>
            <w:r>
              <w:rPr>
                <w:b w:val="0"/>
                <w:color w:val="000000"/>
                <w:sz w:val="18"/>
              </w:rPr>
              <w:t>2</w:t>
            </w:r>
          </w:p>
        </w:tc>
        <w:tc>
          <w:tcPr>
            <w:tcW w:type="dxa" w:w="1656"/>
            <w:vAlign w:val="center"/>
            <w:shd w:fill="F3F6F7"/>
            <w:tcMar>
              <w:top w:w="95" w:type="dxa"/>
              <w:bottom w:w="95" w:type="dxa"/>
              <w:start w:w="95" w:type="dxa"/>
              <w:end w:w="95" w:type="dxa"/>
            </w:tcMar>
          </w:tcPr>
          <w:p>
            <w:pPr>
              <w:spacing w:after="40"/>
            </w:pPr>
            <w:r>
              <w:rPr>
                <w:b w:val="0"/>
                <w:color w:val="000000"/>
                <w:sz w:val="18"/>
              </w:rPr>
              <w:t>18000</w:t>
            </w:r>
          </w:p>
        </w:tc>
        <w:tc>
          <w:tcPr>
            <w:tcW w:type="dxa" w:w="1872"/>
            <w:vAlign w:val="center"/>
            <w:shd w:fill="F3F6F7"/>
            <w:tcMar>
              <w:top w:w="95" w:type="dxa"/>
              <w:bottom w:w="95" w:type="dxa"/>
              <w:start w:w="95" w:type="dxa"/>
              <w:end w:w="95" w:type="dxa"/>
            </w:tcMar>
          </w:tcPr>
          <w:p>
            <w:pPr>
              <w:spacing w:after="40"/>
            </w:pPr>
            <w:r>
              <w:rPr>
                <w:b w:val="0"/>
                <w:color w:val="000000"/>
                <w:sz w:val="18"/>
              </w:rPr>
              <w:t>36000</w:t>
            </w:r>
          </w:p>
        </w:tc>
      </w:tr>
      <w:tr>
        <w:trPr>
          <w:cantSplit/>
        </w:trPr>
        <w:tc>
          <w:tcPr>
            <w:tcW w:type="dxa" w:w="1152"/>
            <w:vAlign w:val="center"/>
            <w:shd w:fill="FFFFFF"/>
            <w:tcMar>
              <w:top w:w="95" w:type="dxa"/>
              <w:bottom w:w="95" w:type="dxa"/>
              <w:start w:w="95" w:type="dxa"/>
              <w:end w:w="95" w:type="dxa"/>
            </w:tcMar>
          </w:tcPr>
          <w:p>
            <w:pPr>
              <w:spacing w:after="40"/>
            </w:pPr>
            <w:r>
              <w:rPr>
                <w:b w:val="0"/>
                <w:color w:val="000000"/>
                <w:sz w:val="18"/>
              </w:rPr>
              <w:t>O105</w:t>
            </w:r>
          </w:p>
        </w:tc>
        <w:tc>
          <w:tcPr>
            <w:tcW w:type="dxa" w:w="1296"/>
            <w:vAlign w:val="center"/>
            <w:shd w:fill="FFFFFF"/>
            <w:tcMar>
              <w:top w:w="95" w:type="dxa"/>
              <w:bottom w:w="95" w:type="dxa"/>
              <w:start w:w="95" w:type="dxa"/>
              <w:end w:w="95" w:type="dxa"/>
            </w:tcMar>
          </w:tcPr>
          <w:p>
            <w:pPr>
              <w:spacing w:after="40"/>
            </w:pPr>
            <w:r>
              <w:rPr>
                <w:b w:val="0"/>
                <w:color w:val="000000"/>
                <w:sz w:val="18"/>
              </w:rPr>
              <w:t>C02</w:t>
            </w:r>
          </w:p>
        </w:tc>
        <w:tc>
          <w:tcPr>
            <w:tcW w:type="dxa" w:w="1872"/>
            <w:vAlign w:val="center"/>
            <w:shd w:fill="FFFFFF"/>
            <w:tcMar>
              <w:top w:w="95" w:type="dxa"/>
              <w:bottom w:w="95" w:type="dxa"/>
              <w:start w:w="95" w:type="dxa"/>
              <w:end w:w="95" w:type="dxa"/>
            </w:tcMar>
          </w:tcPr>
          <w:p>
            <w:pPr>
              <w:spacing w:after="40"/>
            </w:pPr>
            <w:r>
              <w:rPr>
                <w:b w:val="0"/>
                <w:color w:val="000000"/>
                <w:sz w:val="18"/>
              </w:rPr>
              <w:t>Mouse</w:t>
            </w:r>
          </w:p>
        </w:tc>
        <w:tc>
          <w:tcPr>
            <w:tcW w:type="dxa" w:w="720"/>
            <w:vAlign w:val="center"/>
            <w:shd w:fill="FFFFFF"/>
            <w:tcMar>
              <w:top w:w="95" w:type="dxa"/>
              <w:bottom w:w="95" w:type="dxa"/>
              <w:start w:w="95" w:type="dxa"/>
              <w:end w:w="95" w:type="dxa"/>
            </w:tcMar>
          </w:tcPr>
          <w:p>
            <w:pPr>
              <w:spacing w:after="40"/>
            </w:pPr>
            <w:r>
              <w:rPr>
                <w:b w:val="0"/>
                <w:color w:val="000000"/>
                <w:sz w:val="18"/>
              </w:rPr>
              <w:t>1</w:t>
            </w:r>
          </w:p>
        </w:tc>
        <w:tc>
          <w:tcPr>
            <w:tcW w:type="dxa" w:w="1656"/>
            <w:vAlign w:val="center"/>
            <w:shd w:fill="FFFFFF"/>
            <w:tcMar>
              <w:top w:w="95" w:type="dxa"/>
              <w:bottom w:w="95" w:type="dxa"/>
              <w:start w:w="95" w:type="dxa"/>
              <w:end w:w="95" w:type="dxa"/>
            </w:tcMar>
          </w:tcPr>
          <w:p>
            <w:pPr>
              <w:spacing w:after="40"/>
            </w:pPr>
            <w:r>
              <w:rPr>
                <w:b w:val="0"/>
                <w:color w:val="000000"/>
                <w:sz w:val="18"/>
              </w:rPr>
              <w:t>800</w:t>
            </w:r>
          </w:p>
        </w:tc>
        <w:tc>
          <w:tcPr>
            <w:tcW w:type="dxa" w:w="1872"/>
            <w:vAlign w:val="center"/>
            <w:shd w:fill="FFFFFF"/>
            <w:tcMar>
              <w:top w:w="95" w:type="dxa"/>
              <w:bottom w:w="95" w:type="dxa"/>
              <w:start w:w="95" w:type="dxa"/>
              <w:end w:w="95" w:type="dxa"/>
            </w:tcMar>
          </w:tcPr>
          <w:p>
            <w:pPr>
              <w:spacing w:after="40"/>
            </w:pPr>
            <w:r>
              <w:rPr>
                <w:b w:val="0"/>
                <w:color w:val="000000"/>
                <w:sz w:val="18"/>
              </w:rPr>
              <w:t>800</w:t>
            </w:r>
          </w:p>
        </w:tc>
      </w:tr>
    </w:tbl>
    <w:p/>
    <w:p>
      <w:r>
        <w:t>The source adds one exact O102 duplicate, a negative quantity, an invalid price and a missing order ID. Customers are C01 Asha Bengaluru, C02 Ravi Hyderabad, C03 Meena Chennai and C04 Imran Pune. One order contains one product in this simplified model.</w:t>
      </w:r>
    </w:p>
    <w:p>
      <w:pPr>
        <w:pStyle w:val="Heading2"/>
      </w:pPr>
      <w:r>
        <w:t>Acceptance values</w:t>
      </w:r>
    </w:p>
    <w:p>
      <w:r>
        <w:t>Raw 9 rows. Exact distinct 8. Accepted 5. Quarantine 3. Customers 4. Gold categories 2. Gold dates 3. Main revenue INR 102900. Correction demo only INR 103700.</w:t>
      </w:r>
    </w:p>
    <w:p>
      <w:r>
        <w:br w:type="page"/>
      </w:r>
    </w:p>
    <w:p>
      <w:pPr>
        <w:pStyle w:val="Heading1"/>
      </w:pPr>
      <w:r>
        <w:t>Lab 1 Workspace and trainer preparation</w:t>
      </w:r>
    </w:p>
    <w:p>
      <w:r>
        <w:t>Provide a safe Azure Databricks environment before learners start.</w:t>
      </w:r>
    </w:p>
    <w:p>
      <w:r>
        <w:t>1. Reuse the approved training workspace if it already exists. For a new workspace, an authorized Azure administrator opens Azure portal, searches Azure Databricks, selects Create, and chooses the training subscription, resource group, workspace name, approved region and Premium tier. Review networking with the administrator before deployment.</w:t>
      </w:r>
    </w:p>
    <w:p>
      <w:r>
        <w:t>2. After deployment, open the resource and Launch Workspace. Confirm that Unity Catalog is enabled and managed storage is configured for the training catalog. Azure resource creation alone does not establish every data permission.</w:t>
      </w:r>
    </w:p>
    <w:p>
      <w:r>
        <w:t>3. Provision each learner identity and assign student_01 through student_14 if using a 14-person class. Keep notebooks in each learner’s workspace folder. Use one learner-specific principal per schema, not a single group with write access to every schema.</w:t>
      </w:r>
    </w:p>
    <w:p>
      <w:r>
        <w:t>4. Provide approved notebook compute compatible with Unity Catalog volumes and a SQL warehouse. For classic compute, use an approved current LTS runtime and policy. Use serverless only where the workspace supports the required workload. Give learners the applicable attach or use permission. Configure auto termination and warehouse auto stop.</w:t>
      </w:r>
    </w:p>
    <w:p>
      <w:r>
        <w:t>5. Have Power BI Desktop on Windows and Tableau Desktop with a valid license or trial available for BI exercises. If unavailable, deliver those sections as trainer demonstrations and complete the connector design exercise.</w:t>
      </w:r>
    </w:p>
    <w:p>
      <w:pPr>
        <w:pStyle w:val="Heading2"/>
      </w:pPr>
      <w:r>
        <w:t>Expected result</w:t>
      </w:r>
    </w:p>
    <w:p>
      <w:r>
        <w:t>Learner can open the workspace, use approved compute, and identify the assigned catalog and schema.</w:t>
      </w:r>
    </w:p>
    <w:p>
      <w:pPr>
        <w:pStyle w:val="Heading2"/>
      </w:pPr>
      <w:r>
        <w:t>What to explain</w:t>
      </w:r>
    </w:p>
    <w:p>
      <w:r>
        <w:t>Azure may charge for resources. Do not ask every learner to create a separate paid workspace if one governed class workspace already exists.</w:t>
      </w:r>
    </w:p>
    <w:p>
      <w:r>
        <w:t>Reference: https://learn.microsoft.com/en-us/azure/databricks/admin/workspace/create-workspace</w:t>
      </w:r>
    </w:p>
    <w:p>
      <w:r>
        <w:br w:type="page"/>
      </w:r>
    </w:p>
    <w:p>
      <w:pPr>
        <w:pStyle w:val="Heading1"/>
      </w:pPr>
      <w:r>
        <w:t>Lab 2 Catalog schema volume and access</w:t>
      </w:r>
    </w:p>
    <w:p>
      <w:r>
        <w:t>Create an isolated place for each learner’s files and tables.</w:t>
      </w:r>
    </w:p>
    <w:p>
      <w:r>
        <w:t>1. Administrator runs the SQL below in the approved training environment. Create training_lab only if it does not exist and managed storage is available. Replace the example principal with the real learner identity. Repeat schema-specific statements for each learner.</w:t>
      </w:r>
    </w:p>
    <w:p>
      <w:r>
        <w:t>2. If training_lab already exists, inspect its purpose before reusing it. Do not grant privileges on another team’s catalog. The learner does not need to be a workspace administrator.</w:t>
      </w:r>
    </w:p>
    <w:p>
      <w:r>
        <w:t>3. Learner opens Catalog, finds training_lab and the assigned schema, then verifies day17_files under Volumes. The volume holds input files. Tables appear separately under Tables.</w:t>
      </w:r>
    </w:p>
    <w:p>
      <w:pPr>
        <w:pStyle w:val="Heading2"/>
      </w:pPr>
      <w:r>
        <w:t>Code</w:t>
      </w:r>
    </w:p>
    <w:p>
      <w:r>
        <w:t>ADMIN SQL</w:t>
      </w:r>
    </w:p>
    <w:p>
      <w:pPr>
        <w:spacing w:before="80" w:after="160" w:line="240" w:lineRule="auto"/>
      </w:pPr>
      <w:r>
        <w:rPr>
          <w:rFonts w:ascii="DejaVu Sans Mono" w:hAnsi="DejaVu Sans Mono"/>
          <w:sz w:val="16"/>
        </w:rPr>
        <w:t>CREATE CATALOG IF NOT EXISTS training_lab;</w:t>
        <w:br/>
        <w:t>CREATE SCHEMA IF NOT EXISTS training_lab.student_01;</w:t>
        <w:br/>
        <w:t>CREATE VOLUME IF NOT EXISTS training_lab.student_01.day17_files;</w:t>
        <w:br/>
        <w:t>GRANT USE CATALOG ON CATALOG training_lab</w:t>
        <w:br/>
        <w:t xml:space="preserve">  TO `learner@example.com`;</w:t>
        <w:br/>
        <w:t>GRANT USE SCHEMA, CREATE TABLE ON SCHEMA training_lab.student_01</w:t>
        <w:br/>
        <w:t xml:space="preserve">  TO `learner@example.com`;</w:t>
        <w:br/>
        <w:t>GRANT READ VOLUME, WRITE VOLUME</w:t>
        <w:br/>
        <w:t xml:space="preserve">  ON VOLUME training_lab.student_01.day17_files</w:t>
        <w:br/>
        <w:t xml:space="preserve">  TO `learner@example.com`;</w:t>
      </w:r>
    </w:p>
    <w:p>
      <w:pPr>
        <w:pStyle w:val="Heading2"/>
      </w:pPr>
      <w:r>
        <w:t>Expected result</w:t>
      </w:r>
    </w:p>
    <w:p>
      <w:r>
        <w:t>The volume path is /Volumes/training_lab/student_01/day17_files. The learner can create tables in their own schema.</w:t>
      </w:r>
    </w:p>
    <w:p>
      <w:pPr>
        <w:pStyle w:val="Heading2"/>
      </w:pPr>
      <w:r>
        <w:t>What to explain</w:t>
      </w:r>
    </w:p>
    <w:p>
      <w:r>
        <w:t>The learner owns tables they create. If a separate run-as service principal runs the job, grant it the necessary SELECT and MODIFY on existing targets and CREATE TABLE on this schema, plus the volume and compute permissions. Do not broaden grants just to bypass an error.</w:t>
      </w:r>
    </w:p>
    <w:p>
      <w:r>
        <w:t>Reference: https://learn.microsoft.com/en-us/azure/databricks/data-governance/unity-catalog/access-control/privileges-reference</w:t>
      </w:r>
    </w:p>
    <w:p>
      <w:r>
        <w:br w:type="page"/>
      </w:r>
    </w:p>
    <w:p>
      <w:pPr>
        <w:pStyle w:val="Heading1"/>
      </w:pPr>
      <w:r>
        <w:t>Lab 3 Notebook configuration and sample files</w:t>
      </w:r>
    </w:p>
    <w:p>
      <w:r>
        <w:t>Create the working notebook and its input files.</w:t>
      </w:r>
    </w:p>
    <w:p>
      <w:r>
        <w:t>1. In Workspace, create a Day17 folder under your user folder. Import 00_setup.ipynb from the code pack, or create a Python notebook and paste the configuration below into the first cell.</w:t>
      </w:r>
    </w:p>
    <w:p>
      <w:r>
        <w:t>2. Select approved compute. Replace the schema widget value with your assigned student_XX before running. Run the configuration and read the printed write destination. Never use a classmate’s schema.</w:t>
      </w:r>
    </w:p>
    <w:p>
      <w:r>
        <w:t>3. Run the next code-pack setup cell to write orders.csv and customers.json inside your volume. Alternatively, open the volume in Catalog, choose Upload to this volume, create or choose input, and upload the two files from the pack. Do not do both methods unless deliberately replacing those same sample files.</w:t>
      </w:r>
    </w:p>
    <w:p>
      <w:pPr>
        <w:pStyle w:val="Heading2"/>
      </w:pPr>
      <w:r>
        <w:t>Code</w:t>
      </w:r>
    </w:p>
    <w:p>
      <w:r>
        <w:t>PYTHON</w:t>
      </w:r>
    </w:p>
    <w:p>
      <w:pPr>
        <w:spacing w:before="80" w:after="160" w:line="240" w:lineRule="auto"/>
      </w:pPr>
      <w:r>
        <w:rPr>
          <w:rFonts w:ascii="DejaVu Sans Mono" w:hAnsi="DejaVu Sans Mono"/>
          <w:sz w:val="16"/>
        </w:rPr>
        <w:t>from pyspark.sql import functions as F</w:t>
        <w:br/>
        <w:t>from pyspark.sql.window import Window</w:t>
        <w:br/>
        <w:t>from decimal import Decimal</w:t>
        <w:br/>
        <w:t>import re</w:t>
        <w:br/>
        <w:br/>
        <w:t>dbutils.widgets.text("catalog", "training_lab")</w:t>
        <w:br/>
        <w:t>dbutils.widgets.text("schema", "student_01")</w:t>
        <w:br/>
        <w:t>catalog = dbutils.widgets.get("catalog")</w:t>
        <w:br/>
        <w:t>schema = dbutils.widgets.get("schema")</w:t>
        <w:br/>
        <w:t>assert re.fullmatch(r"[A-Za-z_][A-Za-z0-9_]*", catalog)</w:t>
        <w:br/>
        <w:t>assert re.fullmatch(r"student_[0-9]{2}", schema)</w:t>
        <w:br/>
        <w:t>ns = f"{catalog}.{schema}"</w:t>
        <w:br/>
        <w:t>base = f"/Volumes/{catalog}/{schema}/day17_files"</w:t>
        <w:br/>
        <w:t>print("Writing only to:", ns, base)</w:t>
        <w:br/>
        <w:t>spark.sql(f"USE CATALOG {catalog}")</w:t>
        <w:br/>
        <w:t>spark.sql(f"USE SCHEMA {schema}")</w:t>
      </w:r>
    </w:p>
    <w:p>
      <w:pPr>
        <w:pStyle w:val="Heading2"/>
      </w:pPr>
      <w:r>
        <w:t>Expected result</w:t>
      </w:r>
    </w:p>
    <w:p>
      <w:r>
        <w:t>Configuration prints your own namespace and volume path. Setup creates two input files.</w:t>
      </w:r>
    </w:p>
    <w:p>
      <w:pPr>
        <w:pStyle w:val="Heading2"/>
      </w:pPr>
      <w:r>
        <w:t>What to explain</w:t>
      </w:r>
    </w:p>
    <w:p>
      <w:r>
        <w:t>The input has 9 order rows plus a header and 4 newline-delimited customer records. The setup notebook contains the full data-generation cell, so no outside dataset download is required. Re-running setup replaces only those two lab input files.</w:t>
      </w:r>
    </w:p>
    <w:p>
      <w:r>
        <w:t>Reference: https://learn.microsoft.com/en-us/azure/databricks/volumes/</w:t>
      </w:r>
    </w:p>
    <w:p>
      <w:r>
        <w:br w:type="page"/>
      </w:r>
    </w:p>
    <w:p>
      <w:pPr>
        <w:pStyle w:val="Heading1"/>
      </w:pPr>
      <w:r>
        <w:t>Lab 4 Extract files and load Bronze</w:t>
      </w:r>
    </w:p>
    <w:p>
      <w:r>
        <w:t>Read CSV and JSON with explicit schemas and persist the raw order values.</w:t>
      </w:r>
    </w:p>
    <w:p>
      <w:r>
        <w:t>1. Open 01_ingest.ipynb. Run its configuration cell with the same schema as setup.</w:t>
      </w:r>
    </w:p>
    <w:p>
      <w:r>
        <w:t>2. Run the cell below. Look at the printed schema and count before the write. Keep quantity and price as strings in Bronze so malformed values remain visible.</w:t>
      </w:r>
    </w:p>
    <w:p>
      <w:r>
        <w:t>3. Open Catalog and refresh the schema. Open day17_bronze_orders and day17_customers and inspect the sample data.</w:t>
      </w:r>
    </w:p>
    <w:p>
      <w:pPr>
        <w:pStyle w:val="Heading2"/>
      </w:pPr>
      <w:r>
        <w:t>Code</w:t>
      </w:r>
    </w:p>
    <w:p>
      <w:r>
        <w:t>PYTHON</w:t>
      </w:r>
    </w:p>
    <w:p>
      <w:pPr>
        <w:spacing w:before="80" w:after="160" w:line="240" w:lineRule="auto"/>
      </w:pPr>
      <w:r>
        <w:rPr>
          <w:rFonts w:ascii="DejaVu Sans Mono" w:hAnsi="DejaVu Sans Mono"/>
          <w:sz w:val="16"/>
        </w:rPr>
        <w:t>raw_schema = """order_id STRING, customer_id STRING,</w:t>
        <w:br/>
        <w:t>product STRING, category STRING, quantity STRING,</w:t>
        <w:br/>
        <w:t>unit_price STRING, order_date STRING"""</w:t>
        <w:br/>
        <w:t>raw = (spark.read.schema(raw_schema).option("header", True)</w:t>
        <w:br/>
        <w:t xml:space="preserve">       .csv(base + "/input/orders.csv"))</w:t>
        <w:br/>
        <w:t>customers = (spark.read.schema("customer_id STRING, "</w:t>
        <w:br/>
        <w:t xml:space="preserve">    "customer_name STRING, city STRING")</w:t>
        <w:br/>
        <w:t xml:space="preserve">    .json(base + "/input/customers.json"))</w:t>
        <w:br/>
        <w:t>assert raw.count() == 9</w:t>
        <w:br/>
        <w:t>assert customers.count() == 4</w:t>
        <w:br/>
        <w:t>raw.write.format("delta").mode("overwrite").saveAsTable(</w:t>
        <w:br/>
        <w:t xml:space="preserve">    ns + ".day17_bronze_orders")</w:t>
        <w:br/>
        <w:t>customers.write.format("delta").mode("overwrite").saveAsTable(</w:t>
        <w:br/>
        <w:t xml:space="preserve">    ns + ".day17_customers")</w:t>
        <w:br/>
        <w:t>display(raw)</w:t>
        <w:br/>
        <w:t>raw.printSchema()</w:t>
      </w:r>
    </w:p>
    <w:p>
      <w:pPr>
        <w:pStyle w:val="Heading2"/>
      </w:pPr>
      <w:r>
        <w:t>Expected result</w:t>
      </w:r>
    </w:p>
    <w:p>
      <w:r>
        <w:t>9 Bronze rows and 4 customers. Quantity, unit_price and order_date are strings in Bronze.</w:t>
      </w:r>
    </w:p>
    <w:p>
      <w:pPr>
        <w:pStyle w:val="Heading2"/>
      </w:pPr>
      <w:r>
        <w:t>What to explain</w:t>
      </w:r>
    </w:p>
    <w:p>
      <w:r>
        <w:t>spark.read builds a DataFrame from source files. A schema names the columns and types. header=True skips the CSV header as data. saveAsTable writes a durable governed Delta table. overwrite is permitted here only for your isolated day17 training tables.</w:t>
      </w:r>
    </w:p>
    <w:p>
      <w:r>
        <w:t>Reference: https://learn.microsoft.com/en-us/azure/databricks/delta/tutorial</w:t>
      </w:r>
    </w:p>
    <w:p>
      <w:r>
        <w:br w:type="page"/>
      </w:r>
    </w:p>
    <w:p>
      <w:pPr>
        <w:pStyle w:val="Heading1"/>
      </w:pPr>
      <w:r>
        <w:t>Lab 5 Parquet round trip</w:t>
      </w:r>
    </w:p>
    <w:p>
      <w:r>
        <w:t>See how a typed columnar file differs from a CSV and a Delta table.</w:t>
      </w:r>
    </w:p>
    <w:p>
      <w:r>
        <w:t>1. In the exploration notebook, run configuration, then run this cell after ingestion has created customers.</w:t>
      </w:r>
    </w:p>
    <w:p>
      <w:r>
        <w:t>2. Inspect the volume directory customers_parquet. Spark writes a directory containing part files, not necessarily one single file.</w:t>
      </w:r>
    </w:p>
    <w:p>
      <w:r>
        <w:t>3. Compare the read schema with the customer table schema. Explain that this standalone Parquet directory does not include the Delta transaction log.</w:t>
      </w:r>
    </w:p>
    <w:p>
      <w:pPr>
        <w:pStyle w:val="Heading2"/>
      </w:pPr>
      <w:r>
        <w:t>Code</w:t>
      </w:r>
    </w:p>
    <w:p>
      <w:r>
        <w:t>PYTHON</w:t>
      </w:r>
    </w:p>
    <w:p>
      <w:pPr>
        <w:spacing w:before="80" w:after="160" w:line="240" w:lineRule="auto"/>
      </w:pPr>
      <w:r>
        <w:rPr>
          <w:rFonts w:ascii="DejaVu Sans Mono" w:hAnsi="DejaVu Sans Mono"/>
          <w:sz w:val="16"/>
        </w:rPr>
        <w:t>customers = spark.table(ns + ".day17_customers")</w:t>
        <w:br/>
        <w:t>customers.write.mode("overwrite").parquet(base + "/customers_parquet")</w:t>
        <w:br/>
        <w:t>parquet_df = spark.read.parquet(base + "/customers_parquet")</w:t>
        <w:br/>
        <w:t>assert parquet_df.count() == 4</w:t>
        <w:br/>
        <w:t>display(parquet_df)</w:t>
        <w:br/>
        <w:t>parquet_df.printSchema()</w:t>
      </w:r>
    </w:p>
    <w:p>
      <w:pPr>
        <w:pStyle w:val="Heading2"/>
      </w:pPr>
      <w:r>
        <w:t>Expected result</w:t>
      </w:r>
    </w:p>
    <w:p>
      <w:r>
        <w:t>4 customer records return with the same field names and string types.</w:t>
      </w:r>
    </w:p>
    <w:p>
      <w:pPr>
        <w:pStyle w:val="Heading2"/>
      </w:pPr>
      <w:r>
        <w:t>What to explain</w:t>
      </w:r>
    </w:p>
    <w:p>
      <w:r>
        <w:t>Parquet records field types and organizes data by columns. A query selecting city may avoid reading unrelated columns. Compression and speed depend on data and query patterns; Parquet is not always smaller or faster for every tiny example.</w:t>
      </w:r>
    </w:p>
    <w:p>
      <w:r>
        <w:t>Reference: https://learn.microsoft.com/en-us/azure/databricks/volumes/</w:t>
      </w:r>
    </w:p>
    <w:p>
      <w:r>
        <w:br w:type="page"/>
      </w:r>
    </w:p>
    <w:p>
      <w:pPr>
        <w:pStyle w:val="Heading1"/>
      </w:pPr>
      <w:r>
        <w:t>Lab 6 Remove exact duplicates and parse values</w:t>
      </w:r>
    </w:p>
    <w:p>
      <w:r>
        <w:t>Convert source strings to types and assign a rejection reason.</w:t>
      </w:r>
    </w:p>
    <w:p>
      <w:r>
        <w:t>1. Open 02_clean.ipynb and run its configuration cell. Run this parsing cell before the publishing cell on the next page.</w:t>
      </w:r>
    </w:p>
    <w:p>
      <w:r>
        <w:t>2. Explain every try_cast. Display checked if you want to see why bad price becomes null.</w:t>
      </w:r>
    </w:p>
    <w:p>
      <w:r>
        <w:t>3. For this fixed sample, dropDuplicates() removes an exact repeated row. Do not replace it with key-only deduplication and assume that means newest.</w:t>
      </w:r>
    </w:p>
    <w:p>
      <w:pPr>
        <w:pStyle w:val="Heading2"/>
      </w:pPr>
      <w:r>
        <w:t>Code</w:t>
      </w:r>
    </w:p>
    <w:p>
      <w:r>
        <w:t>PYTHON</w:t>
      </w:r>
    </w:p>
    <w:p>
      <w:pPr>
        <w:spacing w:before="80" w:after="160" w:line="240" w:lineRule="auto"/>
      </w:pPr>
      <w:r>
        <w:rPr>
          <w:rFonts w:ascii="DejaVu Sans Mono" w:hAnsi="DejaVu Sans Mono"/>
          <w:sz w:val="16"/>
        </w:rPr>
        <w:t>raw = spark.table(ns + ".day17_bronze_orders")</w:t>
        <w:br/>
        <w:t>dedup = raw.dropDuplicates()  # exact duplicate rows only</w:t>
        <w:br/>
        <w:t>typed = dedup.select(</w:t>
        <w:br/>
        <w:t xml:space="preserve">    F.trim("order_id").alias("order_id"),</w:t>
        <w:br/>
        <w:t xml:space="preserve">    F.trim("customer_id").alias("customer_id"),</w:t>
        <w:br/>
        <w:t xml:space="preserve">    F.trim("product").alias("product"),</w:t>
        <w:br/>
        <w:t xml:space="preserve">    F.trim("category").alias("category"),</w:t>
        <w:br/>
        <w:t xml:space="preserve">    F.expr("try_cast(quantity AS INT)").alias("quantity"),</w:t>
        <w:br/>
        <w:t xml:space="preserve">    F.expr("try_cast(unit_price AS DECIMAL(12,2))")</w:t>
        <w:br/>
        <w:t xml:space="preserve">        .alias("unit_price"),</w:t>
        <w:br/>
        <w:t xml:space="preserve">    F.expr("try_cast(order_date AS DATE)").alias("order_date")</w:t>
        <w:br/>
        <w:t>)</w:t>
        <w:br/>
        <w:t>checked = typed.withColumn("reject_reason",</w:t>
        <w:br/>
        <w:t xml:space="preserve">    F.when(F.col("order_id").isNull() |</w:t>
        <w:br/>
        <w:t xml:space="preserve">           (F.col("order_id") == ""), "missing order_id")</w:t>
        <w:br/>
        <w:t xml:space="preserve">     .when(F.col("quantity").isNull() |</w:t>
        <w:br/>
        <w:t xml:space="preserve">           (F.col("quantity") &lt;= 0), "invalid quantity")</w:t>
        <w:br/>
        <w:t xml:space="preserve">     .when(F.col("unit_price").isNull() |</w:t>
        <w:br/>
        <w:t xml:space="preserve">           (F.col("unit_price") &lt; 0), "invalid price")</w:t>
        <w:br/>
        <w:t xml:space="preserve">     .when(F.col("order_date").isNull(), "invalid date")</w:t>
        <w:br/>
        <w:t xml:space="preserve">     .when(F.col("customer_id").isNull() |</w:t>
        <w:br/>
        <w:t xml:space="preserve">           (F.col("customer_id") == ""), "missing customer_id")</w:t>
        <w:br/>
        <w:t xml:space="preserve">     .when(F.col("product").isNull() |</w:t>
        <w:br/>
        <w:t xml:space="preserve">           (F.col("product") == ""), "missing product")</w:t>
        <w:br/>
        <w:t xml:space="preserve">     .when(F.col("category").isNull() |</w:t>
        <w:br/>
        <w:t xml:space="preserve">           (F.col("category") == ""), "missing category"))</w:t>
      </w:r>
    </w:p>
    <w:p>
      <w:pPr>
        <w:pStyle w:val="Heading2"/>
      </w:pPr>
      <w:r>
        <w:t>Expected result</w:t>
      </w:r>
    </w:p>
    <w:p>
      <w:r>
        <w:t>8 distinct source records remain. Three receive a rejection reason in the next step.</w:t>
      </w:r>
    </w:p>
    <w:p>
      <w:pPr>
        <w:pStyle w:val="Heading2"/>
      </w:pPr>
      <w:r>
        <w:t>What to explain</w:t>
      </w:r>
    </w:p>
    <w:p>
      <w:r>
        <w:t>Each when is a business rule. The first matching rule becomes the reason. A production quarantine can preserve all raw columns and all failure reasons; this lab keeps a raw Bronze copy plus one clear reason per rejected row.</w:t>
      </w:r>
    </w:p>
    <w:p>
      <w:r>
        <w:br w:type="page"/>
      </w:r>
    </w:p>
    <w:p>
      <w:pPr>
        <w:pStyle w:val="Heading1"/>
      </w:pPr>
      <w:r>
        <w:t>Lab 7 Quarantine validate and publish Silver</w:t>
      </w:r>
    </w:p>
    <w:p>
      <w:r>
        <w:t>Separate bad records and verify the trusted output before publishing.</w:t>
      </w:r>
    </w:p>
    <w:p>
      <w:r>
        <w:t>1. Run this cell in 02_clean after Lab 6. Read the assertions aloud before running.</w:t>
      </w:r>
    </w:p>
    <w:p>
      <w:r>
        <w:t>2. Inspect the quarantine table. Discuss why the bad price was not replaced with zero.</w:t>
      </w:r>
    </w:p>
    <w:p>
      <w:r>
        <w:t>3. Confirm total_amount is DECIMAL(18,2). Browse day17_silver_orders and day17_quarantine in Catalog.</w:t>
      </w:r>
    </w:p>
    <w:p>
      <w:pPr>
        <w:pStyle w:val="Heading2"/>
      </w:pPr>
      <w:r>
        <w:t>Code</w:t>
      </w:r>
    </w:p>
    <w:p>
      <w:r>
        <w:t>PYTHON</w:t>
      </w:r>
    </w:p>
    <w:p>
      <w:pPr>
        <w:spacing w:before="80" w:after="160" w:line="240" w:lineRule="auto"/>
      </w:pPr>
      <w:r>
        <w:rPr>
          <w:rFonts w:ascii="DejaVu Sans Mono" w:hAnsi="DejaVu Sans Mono"/>
          <w:sz w:val="16"/>
        </w:rPr>
        <w:t>quarantine = checked.filter("reject_reason IS NOT NULL")</w:t>
        <w:br/>
        <w:t>silver = (checked.filter("reject_reason IS NULL")</w:t>
        <w:br/>
        <w:t xml:space="preserve">    .drop("reject_reason")</w:t>
        <w:br/>
        <w:t xml:space="preserve">    .withColumn("total_amount",</w:t>
        <w:br/>
        <w:t xml:space="preserve">        (F.col("quantity") * F.col("unit_price"))</w:t>
        <w:br/>
        <w:t xml:space="preserve">        .cast("decimal(18,2)")))</w:t>
        <w:br/>
        <w:t>assert dedup.count() == 8</w:t>
        <w:br/>
        <w:t>assert silver.count() == 5</w:t>
        <w:br/>
        <w:t>assert quarantine.count() == 3</w:t>
        <w:br/>
        <w:t>assert silver.select("order_id").distinct().count() == 5</w:t>
        <w:br/>
        <w:t>assert silver.agg(F.sum("total_amount")).first()[0] == Decimal("102900")</w:t>
        <w:br/>
        <w:t>silver.write.format("delta").mode("overwrite").saveAsTable(</w:t>
        <w:br/>
        <w:t xml:space="preserve">    ns + ".day17_silver_orders")</w:t>
        <w:br/>
        <w:t>quarantine.write.format("delta").mode("overwrite").saveAsTable(</w:t>
        <w:br/>
        <w:t xml:space="preserve">    ns + ".day17_quarantine")</w:t>
        <w:br/>
        <w:t>display(quarantine.select("order_id", "reject_reason"))</w:t>
        <w:br/>
        <w:t>display(silver.orderBy("order_id"))</w:t>
      </w:r>
    </w:p>
    <w:p>
      <w:pPr>
        <w:pStyle w:val="Heading2"/>
      </w:pPr>
      <w:r>
        <w:t>Expected result</w:t>
      </w:r>
    </w:p>
    <w:p>
      <w:r>
        <w:t>5 Silver orders, 3 rejected records, and INR 102900 revenue. O106 has invalid quantity, O107 invalid price, and the blank ID missing order_id.</w:t>
      </w:r>
    </w:p>
    <w:p>
      <w:pPr>
        <w:pStyle w:val="Heading2"/>
      </w:pPr>
      <w:r>
        <w:t>What to explain</w:t>
      </w:r>
    </w:p>
    <w:p>
      <w:r>
        <w:t>assert stops the notebook when a condition is false. This is a useful training gate. The fixed counts are fixture-specific and must change for real incoming business data. Dedup count 8 equals 5 accepted plus 3 rejected.</w:t>
      </w:r>
    </w:p>
    <w:p>
      <w:r>
        <w:br w:type="page"/>
      </w:r>
    </w:p>
    <w:p>
      <w:pPr>
        <w:pStyle w:val="Heading1"/>
      </w:pPr>
      <w:r>
        <w:t>Lab 8 Aggregations and business measures</w:t>
      </w:r>
    </w:p>
    <w:p>
      <w:r>
        <w:t>Calculate revenue, units and orders without confusing them.</w:t>
      </w:r>
    </w:p>
    <w:p>
      <w:r>
        <w:t>1. Open 04_explore.ipynb, run configuration, then this aggregation cell.</w:t>
      </w:r>
    </w:p>
    <w:p>
      <w:r>
        <w:t>2. Predict the row count and calculate Accessories by hand: 1600 + 4500 + 800.</w:t>
      </w:r>
    </w:p>
    <w:p>
      <w:r>
        <w:t>3. Change the grouping to product as an exercise. Check Mouse revenue equals 2400 and units equals 3.</w:t>
      </w:r>
    </w:p>
    <w:p>
      <w:pPr>
        <w:pStyle w:val="Heading2"/>
      </w:pPr>
      <w:r>
        <w:t>Code</w:t>
      </w:r>
    </w:p>
    <w:p>
      <w:r>
        <w:t>PYTHON</w:t>
      </w:r>
    </w:p>
    <w:p>
      <w:pPr>
        <w:spacing w:before="80" w:after="160" w:line="240" w:lineRule="auto"/>
      </w:pPr>
      <w:r>
        <w:rPr>
          <w:rFonts w:ascii="DejaVu Sans Mono" w:hAnsi="DejaVu Sans Mono"/>
          <w:sz w:val="16"/>
        </w:rPr>
        <w:t>silver = spark.table(ns + ".day17_silver_orders")</w:t>
        <w:br/>
        <w:t>by_category = silver.groupBy("category").agg(</w:t>
        <w:br/>
        <w:t xml:space="preserve">    F.count("*").alias("orders"),</w:t>
        <w:br/>
        <w:t xml:space="preserve">    F.sum("quantity").alias("units"),</w:t>
        <w:br/>
        <w:t xml:space="preserve">    F.sum("total_amount").alias("revenue"),</w:t>
        <w:br/>
        <w:t xml:space="preserve">    F.avg("total_amount").alias("avg_order_value"))</w:t>
        <w:br/>
        <w:t>display(by_category.orderBy("category"))</w:t>
        <w:br/>
        <w:t>display(silver.groupBy("order_date").agg(</w:t>
        <w:br/>
        <w:t xml:space="preserve">    F.sum("total_amount").alias("revenue")).orderBy("order_date"))</w:t>
      </w:r>
    </w:p>
    <w:p>
      <w:pPr>
        <w:pStyle w:val="Heading2"/>
      </w:pPr>
      <w:r>
        <w:t>Expected result</w:t>
      </w:r>
    </w:p>
    <w:p>
      <w:r>
        <w:t>Accessories: orders 3, units 6, revenue 6900, average 2300. Electronics: orders 2, units 3, revenue 96000, average 48000.</w:t>
      </w:r>
    </w:p>
    <w:p>
      <w:pPr>
        <w:pStyle w:val="Heading2"/>
      </w:pPr>
      <w:r>
        <w:t>What to explain</w:t>
      </w:r>
    </w:p>
    <w:p>
      <w:r>
        <w:t>Daily revenue is 61600, 40500 and 800 for September 15, 16 and 17 respectively. An aggregation changes grain: one row now represents a category or a day.</w:t>
      </w:r>
    </w:p>
    <w:p>
      <w:r>
        <w:br w:type="page"/>
      </w:r>
    </w:p>
    <w:p>
      <w:pPr>
        <w:pStyle w:val="Heading1"/>
      </w:pPr>
      <w:r>
        <w:t>Lab 9 Deterministic deduplication extension</w:t>
      </w:r>
    </w:p>
    <w:p>
      <w:r>
        <w:t>Understand how corrected versions differ from exact duplicates.</w:t>
      </w:r>
    </w:p>
    <w:p>
      <w:r>
        <w:t>1. Run the independent small example below in the exploration notebook.</w:t>
      </w:r>
    </w:p>
    <w:p>
      <w:r>
        <w:t>2. Explain partitionBy, descending updated_at and the descending event sequence tie-breaker.</w:t>
      </w:r>
    </w:p>
    <w:p>
      <w:r>
        <w:t>3. Compare this rule with dropDuplicates(["order_id"]). The latter does not define which changed row wins.</w:t>
      </w:r>
    </w:p>
    <w:p>
      <w:pPr>
        <w:pStyle w:val="Heading2"/>
      </w:pPr>
      <w:r>
        <w:t>Code</w:t>
      </w:r>
    </w:p>
    <w:p>
      <w:r>
        <w:t>PYTHON</w:t>
      </w:r>
    </w:p>
    <w:p>
      <w:pPr>
        <w:spacing w:before="80" w:after="160" w:line="240" w:lineRule="auto"/>
      </w:pPr>
      <w:r>
        <w:rPr>
          <w:rFonts w:ascii="DejaVu Sans Mono" w:hAnsi="DejaVu Sans Mono"/>
          <w:sz w:val="16"/>
        </w:rPr>
        <w:t>events = spark.createDataFrame([</w:t>
        <w:br/>
        <w:t xml:space="preserve">  ("O102", 2, "2026-09-17 09:00:00", 1),</w:t>
        <w:br/>
        <w:t xml:space="preserve">  ("O102", 3, "2026-09-17 10:00:00", 2)</w:t>
        <w:br/>
        <w:t>], "order_id STRING, quantity INT, updated_at STRING, event_seq INT")</w:t>
        <w:br/>
        <w:t>events = events.withColumn("updated_at", F.to_timestamp("updated_at"))</w:t>
        <w:br/>
        <w:t>w = Window.partitionBy("order_id").orderBy(</w:t>
        <w:br/>
        <w:t xml:space="preserve">    F.desc("updated_at"), F.desc("event_seq"))</w:t>
        <w:br/>
        <w:t>latest = (events.withColumn("rn", F.row_number().over(w))</w:t>
        <w:br/>
        <w:t xml:space="preserve">    .filter("rn = 1").drop("rn"))</w:t>
        <w:br/>
        <w:t>display(latest)</w:t>
      </w:r>
    </w:p>
    <w:p>
      <w:pPr>
        <w:pStyle w:val="Heading2"/>
      </w:pPr>
      <w:r>
        <w:t>Expected result</w:t>
      </w:r>
    </w:p>
    <w:p>
      <w:r>
        <w:t>One row remains: O102 with quantity 3 and event_seq 2.</w:t>
      </w:r>
    </w:p>
    <w:p>
      <w:pPr>
        <w:pStyle w:val="Heading2"/>
      </w:pPr>
      <w:r>
        <w:t>What to explain</w:t>
      </w:r>
    </w:p>
    <w:p>
      <w:r>
        <w:t>The source must supply a meaningful event order. A random tie-breaker can make output repeatable without making it commercially correct.</w:t>
      </w:r>
    </w:p>
    <w:p>
      <w:r>
        <w:br w:type="page"/>
      </w:r>
    </w:p>
    <w:p>
      <w:pPr>
        <w:pStyle w:val="Heading1"/>
      </w:pPr>
      <w:r>
        <w:t>Lab 10 Customer joins and unmatched records</w:t>
      </w:r>
    </w:p>
    <w:p>
      <w:r>
        <w:t>Enrich orders and find customers with no orders.</w:t>
      </w:r>
    </w:p>
    <w:p>
      <w:r>
        <w:t>1. Run the code as a demonstration in 04_explore or as the join cell in 03_publish.</w:t>
      </w:r>
    </w:p>
    <w:p>
      <w:r>
        <w:t>2. Check customer_id uniqueness before the join and row count afterward.</w:t>
      </w:r>
    </w:p>
    <w:p>
      <w:r>
        <w:t>3. Ask learners to switch left to inner on this exact sample. Both yield 5 because every valid order has a customer. Then inspect the left_anti result.</w:t>
      </w:r>
    </w:p>
    <w:p>
      <w:pPr>
        <w:pStyle w:val="Heading2"/>
      </w:pPr>
      <w:r>
        <w:t>Code</w:t>
      </w:r>
    </w:p>
    <w:p>
      <w:r>
        <w:t>PYTHON</w:t>
      </w:r>
    </w:p>
    <w:p>
      <w:pPr>
        <w:spacing w:before="80" w:after="160" w:line="240" w:lineRule="auto"/>
      </w:pPr>
      <w:r>
        <w:rPr>
          <w:rFonts w:ascii="DejaVu Sans Mono" w:hAnsi="DejaVu Sans Mono"/>
          <w:sz w:val="16"/>
        </w:rPr>
        <w:t>silver = spark.table(ns + ".day17_silver_orders")</w:t>
        <w:br/>
        <w:t>customers = spark.table(ns + ".day17_customers")</w:t>
        <w:br/>
        <w:t>assert customers.count() == customers.select("customer_id").distinct().count()</w:t>
        <w:br/>
        <w:t>enriched = silver.join(customers, "customer_id", "left")</w:t>
        <w:br/>
        <w:t>assert enriched.count() == silver.count()</w:t>
        <w:br/>
        <w:t>assert enriched.filter("customer_name IS NULL").count() == 0</w:t>
        <w:br/>
        <w:t>enriched.write.format("delta").mode("overwrite").saveAsTable(</w:t>
        <w:br/>
        <w:t xml:space="preserve">    ns + ".day17_gold_order_detail")</w:t>
        <w:br/>
        <w:t>display(enriched.select("order_id", "customer_name", "city", "total_amount"))</w:t>
        <w:br/>
        <w:t>no_orders = customers.join(silver.select("customer_id").distinct(),</w:t>
        <w:br/>
        <w:t xml:space="preserve">    "customer_id", "left_anti")</w:t>
        <w:br/>
        <w:t>display(no_orders)</w:t>
      </w:r>
    </w:p>
    <w:p>
      <w:pPr>
        <w:pStyle w:val="Heading2"/>
      </w:pPr>
      <w:r>
        <w:t>Expected result</w:t>
      </w:r>
    </w:p>
    <w:p>
      <w:r>
        <w:t>5 enriched orders. C04 Imran in Pune appears in no_orders.</w:t>
      </w:r>
    </w:p>
    <w:p>
      <w:pPr>
        <w:pStyle w:val="Heading2"/>
      </w:pPr>
      <w:r>
        <w:t>What to explain</w:t>
      </w:r>
    </w:p>
    <w:p>
      <w:r>
        <w:t>A left join preserves every order in this case. It does not preserve customers with no orders because customers is on the right. Use the customer-left anti join to answer that separate question.</w:t>
      </w:r>
    </w:p>
    <w:p>
      <w:r>
        <w:br w:type="page"/>
      </w:r>
    </w:p>
    <w:p>
      <w:pPr>
        <w:pStyle w:val="Heading1"/>
      </w:pPr>
      <w:r>
        <w:t>Lab 11 Ranking running totals and lag</w:t>
      </w:r>
    </w:p>
    <w:p>
      <w:r>
        <w:t>Add analytical calculations while preserving order-level detail.</w:t>
      </w:r>
    </w:p>
    <w:p>
      <w:r>
        <w:t>1. Run the following cell after Silver exists.</w:t>
      </w:r>
    </w:p>
    <w:p>
      <w:r>
        <w:t>2. Compare ranked.count() with silver.count(). Both should be five.</w:t>
      </w:r>
    </w:p>
    <w:p>
      <w:r>
        <w:t>3. Read the running totals in order and inspect the null first lag value per customer.</w:t>
      </w:r>
    </w:p>
    <w:p>
      <w:pPr>
        <w:pStyle w:val="Heading2"/>
      </w:pPr>
      <w:r>
        <w:t>Code</w:t>
      </w:r>
    </w:p>
    <w:p>
      <w:r>
        <w:t>PYTHON</w:t>
      </w:r>
    </w:p>
    <w:p>
      <w:pPr>
        <w:spacing w:before="80" w:after="160" w:line="240" w:lineRule="auto"/>
      </w:pPr>
      <w:r>
        <w:rPr>
          <w:rFonts w:ascii="DejaVu Sans Mono" w:hAnsi="DejaVu Sans Mono"/>
          <w:sz w:val="16"/>
        </w:rPr>
        <w:t>silver = spark.table(ns + ".day17_silver_orders")</w:t>
        <w:br/>
        <w:t>rank_w = Window.partitionBy("category").orderBy(</w:t>
        <w:br/>
        <w:t xml:space="preserve">    F.desc("total_amount"), F.asc("order_id"))</w:t>
        <w:br/>
        <w:t>ranked = silver.withColumn("position", F.row_number().over(rank_w))</w:t>
        <w:br/>
        <w:t>display(ranked.select("category", "order_id", "total_amount", "position")</w:t>
        <w:br/>
        <w:t xml:space="preserve">        .orderBy("category", "position"))</w:t>
        <w:br/>
        <w:t>running_w = (Window.orderBy("order_date", "order_id")</w:t>
        <w:br/>
        <w:t xml:space="preserve">    .rowsBetween(Window.unboundedPreceding, Window.currentRow))</w:t>
        <w:br/>
        <w:t>display(silver.withColumn("running_revenue",</w:t>
        <w:br/>
        <w:t xml:space="preserve">    F.sum("total_amount").over(running_w))</w:t>
        <w:br/>
        <w:t xml:space="preserve">    .select("order_id", "running_revenue").orderBy("order_id"))</w:t>
        <w:br/>
        <w:t>customer_w = Window.partitionBy("customer_id").orderBy("order_date", "order_id")</w:t>
        <w:br/>
        <w:t>display(silver.withColumn("previous_amount",</w:t>
        <w:br/>
        <w:t xml:space="preserve">    F.lag("total_amount").over(customer_w)))</w:t>
      </w:r>
    </w:p>
    <w:p>
      <w:pPr>
        <w:pStyle w:val="Heading2"/>
      </w:pPr>
      <w:r>
        <w:t>Expected result</w:t>
      </w:r>
    </w:p>
    <w:p>
      <w:r>
        <w:t>Category winners are O101 for Electronics and O103 for Accessories. Final running revenue is 102900. O105 previous_amount is 1600.</w:t>
      </w:r>
    </w:p>
    <w:p>
      <w:pPr>
        <w:pStyle w:val="Heading2"/>
      </w:pPr>
      <w:r>
        <w:t>What to explain</w:t>
      </w:r>
    </w:p>
    <w:p>
      <w:r>
        <w:t>A global running window is acceptable for five training rows. For large data, consider business partitions or aggregate daily first. order_date plus order_id gives a stable sequence for this sample.</w:t>
      </w:r>
    </w:p>
    <w:p>
      <w:r>
        <w:br w:type="page"/>
      </w:r>
    </w:p>
    <w:p>
      <w:pPr>
        <w:pStyle w:val="Heading1"/>
      </w:pPr>
      <w:r>
        <w:t>Lab 12 Equivalent Databricks SQL</w:t>
      </w:r>
    </w:p>
    <w:p>
      <w:r>
        <w:t>Repeat parsing, aggregation and ranking in SQL.</w:t>
      </w:r>
    </w:p>
    <w:p>
      <w:r>
        <w:t>1. Create separate SQL cells in the exploration notebook. In a Python notebook put %sql as the first line of each SQL cell. In SQL editor, omit %sql and select the approved SQL warehouse.</w:t>
      </w:r>
    </w:p>
    <w:p>
      <w:r>
        <w:t>2. Replace student_01 in every SQL statement with your assigned schema.</w:t>
      </w:r>
    </w:p>
    <w:p>
      <w:r>
        <w:t>3. Run the aggregation below. The code pack SQL file also contains a complete cleaning query: SELECT DISTINCT removes exact repeats, a typed CTE parses strings, and WHERE keeps valid rows. A CTE is a named intermediate query introduced by WITH. Run that query and verify five rows and total revenue 102900 before comparing both languages.</w:t>
      </w:r>
    </w:p>
    <w:p>
      <w:pPr>
        <w:pStyle w:val="Heading2"/>
      </w:pPr>
      <w:r>
        <w:t>Code</w:t>
      </w:r>
    </w:p>
    <w:p>
      <w:r>
        <w:t>SQL</w:t>
      </w:r>
    </w:p>
    <w:p>
      <w:pPr>
        <w:spacing w:before="80" w:after="160" w:line="240" w:lineRule="auto"/>
      </w:pPr>
      <w:r>
        <w:rPr>
          <w:rFonts w:ascii="DejaVu Sans Mono" w:hAnsi="DejaVu Sans Mono"/>
          <w:sz w:val="16"/>
        </w:rPr>
        <w:t>SELECT category, COUNT(*) AS orders, SUM(quantity) AS units,</w:t>
        <w:br/>
        <w:t xml:space="preserve">       SUM(total_amount) AS revenue</w:t>
        <w:br/>
        <w:t>FROM training_lab.student_01.day17_silver_orders</w:t>
        <w:br/>
        <w:t>GROUP BY category</w:t>
        <w:br/>
        <w:t>ORDER BY category;</w:t>
        <w:br/>
        <w:br/>
        <w:t>SELECT order_id, category, total_amount,</w:t>
        <w:br/>
        <w:t xml:space="preserve">       ROW_NUMBER() OVER (</w:t>
        <w:br/>
        <w:t xml:space="preserve">         PARTITION BY category</w:t>
        <w:br/>
        <w:t xml:space="preserve">         ORDER BY total_amount DESC, order_id</w:t>
        <w:br/>
        <w:t xml:space="preserve">       ) AS position</w:t>
        <w:br/>
        <w:t>FROM training_lab.student_01.day17_silver_orders;</w:t>
      </w:r>
    </w:p>
    <w:p>
      <w:pPr>
        <w:pStyle w:val="Heading2"/>
      </w:pPr>
      <w:r>
        <w:t>Expected result</w:t>
      </w:r>
    </w:p>
    <w:p>
      <w:r>
        <w:t>Category sums match the PySpark output. SQL ranking preserves all five orders.</w:t>
      </w:r>
    </w:p>
    <w:p>
      <w:pPr>
        <w:pStyle w:val="Heading2"/>
      </w:pPr>
      <w:r>
        <w:t>What to explain</w:t>
      </w:r>
    </w:p>
    <w:p>
      <w:r>
        <w:t>SQL and PySpark describe the same relational operations here. A persistent full table name is safer for cross-session use than a temporary view.</w:t>
      </w:r>
    </w:p>
    <w:p>
      <w:r>
        <w:br w:type="page"/>
      </w:r>
    </w:p>
    <w:p>
      <w:pPr>
        <w:pStyle w:val="Heading1"/>
      </w:pPr>
      <w:r>
        <w:t>Lab 13 Publish Gold and verify the contract</w:t>
      </w:r>
    </w:p>
    <w:p>
      <w:r>
        <w:t>Create the summary tables that reports can reuse.</w:t>
      </w:r>
    </w:p>
    <w:p>
      <w:r>
        <w:t>1. Open 03_publish.ipynb. Run configuration, the Lab 10 join cell, then the cell below.</w:t>
      </w:r>
    </w:p>
    <w:p>
      <w:r>
        <w:t>2. Verify Gold detail has five rows before creating summaries.</w:t>
      </w:r>
    </w:p>
    <w:p>
      <w:r>
        <w:t>3. Use Gold detail for filters requiring date or city. Use category summary for the simple external BI demonstration.</w:t>
      </w:r>
    </w:p>
    <w:p>
      <w:pPr>
        <w:pStyle w:val="Heading2"/>
      </w:pPr>
      <w:r>
        <w:t>Code</w:t>
      </w:r>
    </w:p>
    <w:p>
      <w:r>
        <w:t>PYTHON</w:t>
      </w:r>
    </w:p>
    <w:p>
      <w:pPr>
        <w:spacing w:before="80" w:after="160" w:line="240" w:lineRule="auto"/>
      </w:pPr>
      <w:r>
        <w:rPr>
          <w:rFonts w:ascii="DejaVu Sans Mono" w:hAnsi="DejaVu Sans Mono"/>
          <w:sz w:val="16"/>
        </w:rPr>
        <w:t>detail = spark.table(ns + ".day17_gold_order_detail")</w:t>
        <w:br/>
        <w:t>gold = detail.groupBy("category").agg(</w:t>
        <w:br/>
        <w:t xml:space="preserve">    F.count("*").alias("orders"),</w:t>
        <w:br/>
        <w:t xml:space="preserve">    F.sum("quantity").alias("units"),</w:t>
        <w:br/>
        <w:t xml:space="preserve">    F.sum("total_amount").alias("revenue"))</w:t>
        <w:br/>
        <w:t>assert detail.count() == 5</w:t>
        <w:br/>
        <w:t>assert gold.agg(F.sum("revenue")).first()[0] == Decimal("102900")</w:t>
        <w:br/>
        <w:t>gold.write.format("delta").mode("overwrite").saveAsTable(</w:t>
        <w:br/>
        <w:t xml:space="preserve">    ns + ".day17_gold_category")</w:t>
        <w:br/>
        <w:t>daily = detail.groupBy("order_date").agg(</w:t>
        <w:br/>
        <w:t xml:space="preserve">    F.sum("total_amount").alias("revenue"))</w:t>
        <w:br/>
        <w:t>daily.write.format("delta").mode("overwrite").saveAsTable(</w:t>
        <w:br/>
        <w:t xml:space="preserve">    ns + ".day17_gold_daily")</w:t>
        <w:br/>
        <w:t>display(gold.orderBy("category"))</w:t>
      </w:r>
    </w:p>
    <w:p>
      <w:pPr>
        <w:pStyle w:val="Heading2"/>
      </w:pPr>
      <w:r>
        <w:t>Expected result</w:t>
      </w:r>
    </w:p>
    <w:p>
      <w:r>
        <w:t>day17_gold_order_detail has 5 rows, day17_gold_category 2 rows, day17_gold_daily 3 rows. Revenue reconciles to 102900.</w:t>
      </w:r>
    </w:p>
    <w:p>
      <w:pPr>
        <w:pStyle w:val="Heading2"/>
      </w:pPr>
      <w:r>
        <w:t>What to explain</w:t>
      </w:r>
    </w:p>
    <w:p>
      <w:r>
        <w:t>The reporting contract is the agreed columns, types, grain and quality checks. A downstream dashboard should not need to reconstruct every raw-data rule.</w:t>
      </w:r>
    </w:p>
    <w:p>
      <w:r>
        <w:br w:type="page"/>
      </w:r>
    </w:p>
    <w:p>
      <w:pPr>
        <w:pStyle w:val="Heading1"/>
      </w:pPr>
      <w:r>
        <w:t>Lab 14 Prepare a safe Delta correction demo</w:t>
      </w:r>
    </w:p>
    <w:p>
      <w:r>
        <w:t>Create a separate table to demonstrate updates without changing dashboard totals.</w:t>
      </w:r>
    </w:p>
    <w:p>
      <w:r>
        <w:t>1. Open 05_delta_demo.ipynb and run configuration.</w:t>
      </w:r>
    </w:p>
    <w:p>
      <w:r>
        <w:t>2. Run the cell below. Capture the actual current version rather than assuming it is zero.</w:t>
      </w:r>
    </w:p>
    <w:p>
      <w:r>
        <w:t>3. Inspect updates. It has the full Silver schema and exactly one O102 record with quantity 3 and total_amount 2400.</w:t>
      </w:r>
    </w:p>
    <w:p>
      <w:pPr>
        <w:pStyle w:val="Heading2"/>
      </w:pPr>
      <w:r>
        <w:t>Code</w:t>
      </w:r>
    </w:p>
    <w:p>
      <w:r>
        <w:t>PYTHON</w:t>
      </w:r>
    </w:p>
    <w:p>
      <w:pPr>
        <w:spacing w:before="80" w:after="160" w:line="240" w:lineRule="auto"/>
      </w:pPr>
      <w:r>
        <w:rPr>
          <w:rFonts w:ascii="DejaVu Sans Mono" w:hAnsi="DejaVu Sans Mono"/>
          <w:sz w:val="16"/>
        </w:rPr>
        <w:t>silver = spark.table(ns + ".day17_silver_orders")</w:t>
        <w:br/>
        <w:t># Isolated copy leaves the main dashboard result unchanged.</w:t>
        <w:br/>
        <w:t>silver.write.format("delta").mode("overwrite").saveAsTable(</w:t>
        <w:br/>
        <w:t xml:space="preserve">    ns + ".day17_merge_demo")</w:t>
        <w:br/>
        <w:t>before_version = spark.sql(</w:t>
        <w:br/>
        <w:t xml:space="preserve">    f"DESCRIBE HISTORY {ns}.day17_merge_demo").first()["version"]</w:t>
        <w:br/>
        <w:t>updates = (silver.filter("order_id = 'O102'")</w:t>
        <w:br/>
        <w:t xml:space="preserve">    .withColumn("quantity", F.lit(3))</w:t>
        <w:br/>
        <w:t xml:space="preserve">    .withColumn("total_amount",</w:t>
        <w:br/>
        <w:t xml:space="preserve">        (F.col("quantity") * F.col("unit_price"))</w:t>
        <w:br/>
        <w:t xml:space="preserve">        .cast("decimal(18,2)")))</w:t>
        <w:br/>
        <w:t>updates.createOrReplaceTempView("day17_updates")</w:t>
      </w:r>
    </w:p>
    <w:p>
      <w:pPr>
        <w:pStyle w:val="Heading2"/>
      </w:pPr>
      <w:r>
        <w:t>Expected result</w:t>
      </w:r>
    </w:p>
    <w:p>
      <w:r>
        <w:t>day17_merge_demo starts with five rows and 102900 revenue. The correction source contains one row.</w:t>
      </w:r>
    </w:p>
    <w:p>
      <w:pPr>
        <w:pStyle w:val="Heading2"/>
      </w:pPr>
      <w:r>
        <w:t>What to explain</w:t>
      </w:r>
    </w:p>
    <w:p>
      <w:r>
        <w:t>Only this copy changes in the demonstration. Do not point MERGE at the shared training table or another learner’s target.</w:t>
      </w:r>
    </w:p>
    <w:p>
      <w:r>
        <w:t>Reference: https://learn.microsoft.com/en-us/azure/databricks/delta/merge</w:t>
      </w:r>
    </w:p>
    <w:p>
      <w:r>
        <w:br w:type="page"/>
      </w:r>
    </w:p>
    <w:p>
      <w:pPr>
        <w:pStyle w:val="Heading1"/>
      </w:pPr>
      <w:r>
        <w:t>Lab 15 Merge inspect history and read the earlier version</w:t>
      </w:r>
    </w:p>
    <w:p>
      <w:r>
        <w:t>Apply the correction and compare before and after totals.</w:t>
      </w:r>
    </w:p>
    <w:p>
      <w:r>
        <w:t>1. Run this cell immediately after Lab 14 in the same notebook session.</w:t>
      </w:r>
    </w:p>
    <w:p>
      <w:r>
        <w:t>2. Inspect the new MERGE entry in table history.</w:t>
      </w:r>
    </w:p>
    <w:p>
      <w:r>
        <w:t>3. Run only this MERGE cell a second time. Total revenue remains 103700 because quantity is set to three rather than incremented.</w:t>
      </w:r>
    </w:p>
    <w:p>
      <w:pPr>
        <w:pStyle w:val="Heading2"/>
      </w:pPr>
      <w:r>
        <w:t>Code</w:t>
      </w:r>
    </w:p>
    <w:p>
      <w:r>
        <w:t>PYTHON</w:t>
      </w:r>
    </w:p>
    <w:p>
      <w:pPr>
        <w:spacing w:before="80" w:after="160" w:line="240" w:lineRule="auto"/>
      </w:pPr>
      <w:r>
        <w:rPr>
          <w:rFonts w:ascii="DejaVu Sans Mono" w:hAnsi="DejaVu Sans Mono"/>
          <w:sz w:val="16"/>
        </w:rPr>
        <w:t>spark.sql(f"""</w:t>
        <w:br/>
        <w:t>MERGE INTO {ns}.day17_merge_demo AS t</w:t>
        <w:br/>
        <w:t>USING day17_updates AS s ON t.order_id = s.order_id</w:t>
        <w:br/>
        <w:t>WHEN MATCHED THEN UPDATE SET</w:t>
        <w:br/>
        <w:t xml:space="preserve">  t.quantity = s.quantity, t.total_amount = s.total_amount</w:t>
        <w:br/>
        <w:t>WHEN NOT MATCHED THEN INSERT</w:t>
        <w:br/>
        <w:t xml:space="preserve">  (order_id, customer_id, product, category,</w:t>
        <w:br/>
        <w:t xml:space="preserve">   quantity, unit_price, order_date, total_amount)</w:t>
        <w:br/>
        <w:t>VALUES</w:t>
        <w:br/>
        <w:t xml:space="preserve">  (s.order_id, s.customer_id, s.product, s.category,</w:t>
        <w:br/>
        <w:t xml:space="preserve">   s.quantity, s.unit_price, s.order_date, s.total_amount)</w:t>
        <w:br/>
        <w:t>""")</w:t>
        <w:br/>
        <w:t>display(spark.sql(f"DESCRIBE HISTORY {ns}.day17_merge_demo"))</w:t>
        <w:br/>
        <w:t>old = (spark.read.option("versionAsOf", before_version)</w:t>
        <w:br/>
        <w:t xml:space="preserve">       .table(ns + ".day17_merge_demo"))</w:t>
        <w:br/>
        <w:t>new = spark.table(ns + ".day17_merge_demo")</w:t>
        <w:br/>
        <w:t>assert old.agg(F.sum("total_amount")).first()[0] == Decimal("102900")</w:t>
        <w:br/>
        <w:t>assert new.agg(F.sum("total_amount")).first()[0] == Decimal("103700")</w:t>
      </w:r>
    </w:p>
    <w:p>
      <w:pPr>
        <w:pStyle w:val="Heading2"/>
      </w:pPr>
      <w:r>
        <w:t>Expected result</w:t>
      </w:r>
    </w:p>
    <w:p>
      <w:r>
        <w:t>Earlier version revenue is 102900. Current demo-table revenue is 103700. Main Gold revenue is still 102900.</w:t>
      </w:r>
    </w:p>
    <w:p>
      <w:pPr>
        <w:pStyle w:val="Heading2"/>
      </w:pPr>
      <w:r>
        <w:t>What to explain</w:t>
      </w:r>
    </w:p>
    <w:p>
      <w:r>
        <w:t>The INSERT branch supports a new key, but this fixture exercises the UPDATE branch only. Do not imply the exercise tested both. Time travel depends on data retention. Avoid VACUUM or retention changes.</w:t>
      </w:r>
    </w:p>
    <w:p>
      <w:r>
        <w:t>Reference: https://learn.microsoft.com/en-us/azure/databricks/delta/merge</w:t>
      </w:r>
    </w:p>
    <w:p>
      <w:r>
        <w:br w:type="page"/>
      </w:r>
    </w:p>
    <w:p>
      <w:pPr>
        <w:pStyle w:val="Heading1"/>
      </w:pPr>
      <w:r>
        <w:t>Lab 16 Notebook exploration</w:t>
      </w:r>
    </w:p>
    <w:p>
      <w:r>
        <w:t>Inspect the trusted data before choosing a chart.</w:t>
      </w:r>
    </w:p>
    <w:p>
      <w:r>
        <w:t>1. Run the exploration cell below.</w:t>
      </w:r>
    </w:p>
    <w:p>
      <w:r>
        <w:t>2. Inspect the numeric summary and note that a five-record sample has limited statistical meaning.</w:t>
      </w:r>
    </w:p>
    <w:p>
      <w:r>
        <w:t>3. Ask students to explain why the duplicate-key result is empty. Compare city totals to the complete revenue.</w:t>
      </w:r>
    </w:p>
    <w:p>
      <w:pPr>
        <w:pStyle w:val="Heading2"/>
      </w:pPr>
      <w:r>
        <w:t>Code</w:t>
      </w:r>
    </w:p>
    <w:p>
      <w:r>
        <w:t>PYTHON</w:t>
      </w:r>
    </w:p>
    <w:p>
      <w:pPr>
        <w:spacing w:before="80" w:after="160" w:line="240" w:lineRule="auto"/>
      </w:pPr>
      <w:r>
        <w:rPr>
          <w:rFonts w:ascii="DejaVu Sans Mono" w:hAnsi="DejaVu Sans Mono"/>
          <w:sz w:val="16"/>
        </w:rPr>
        <w:t>detail = spark.table(ns + ".day17_gold_order_detail")</w:t>
        <w:br/>
        <w:t>detail.printSchema()</w:t>
        <w:br/>
        <w:t>display(detail.orderBy("order_id"))</w:t>
        <w:br/>
        <w:t>display(detail.select("quantity", "total_amount").summary())</w:t>
        <w:br/>
        <w:t>display(detail.groupBy("city").agg(</w:t>
        <w:br/>
        <w:t xml:space="preserve">    F.sum("total_amount").alias("revenue")).orderBy(F.desc("revenue")))</w:t>
        <w:br/>
        <w:t>display(detail.groupBy("order_id").count().filter("count &gt; 1"))</w:t>
      </w:r>
    </w:p>
    <w:p>
      <w:pPr>
        <w:pStyle w:val="Heading2"/>
      </w:pPr>
      <w:r>
        <w:t>Expected result</w:t>
      </w:r>
    </w:p>
    <w:p>
      <w:r>
        <w:t>Bengaluru 64500, Chennai 36000, Hyderabad 2400. No duplicate order IDs.</w:t>
      </w:r>
    </w:p>
    <w:p>
      <w:pPr>
        <w:pStyle w:val="Heading2"/>
      </w:pPr>
      <w:r>
        <w:t>What to explain</w:t>
      </w:r>
    </w:p>
    <w:p>
      <w:r>
        <w:t>Notebook output combines code and results. Add a Markdown cell documenting what you checked and what the numbers mean. Keep observations separate from unsupported forecasts.</w:t>
      </w:r>
    </w:p>
    <w:p>
      <w:r>
        <w:br w:type="page"/>
      </w:r>
    </w:p>
    <w:p>
      <w:pPr>
        <w:pStyle w:val="Heading1"/>
      </w:pPr>
      <w:r>
        <w:t>Lab 17 Build the Lakeflow job</w:t>
      </w:r>
    </w:p>
    <w:p>
      <w:r>
        <w:t>Automate the three durable processing stages.</w:t>
      </w:r>
    </w:p>
    <w:p>
      <w:r>
        <w:t>1. Confirm the notebooks 01_ingest, 02_clean and 03_publish are in your Day17 folder and manually succeed in that order. Run 00_setup once beforehand. Do not add exploration or Delta correction notebooks to the scheduled job.</w:t>
      </w:r>
    </w:p>
    <w:p>
      <w:r>
        <w:t>2. Open Jobs &amp; Pipelines, select Create job, and name it day17_student_01_orders using your own suffix. Add a Notebook task named ingest and select 01_ingest. Choose approved compute and your approved run-as identity.</w:t>
      </w:r>
    </w:p>
    <w:p>
      <w:r>
        <w:t>3. Add clean using 02_clean, with Depends on ingest and the normal all-success rule. Add publish using 03_publish, with Depends on clean. Save.</w:t>
      </w:r>
    </w:p>
    <w:p>
      <w:r>
        <w:t>4. Add job parameters catalog=training_lab and schema=student_01 with your assigned value. Confirm the parameters reach all notebook tasks. Each notebook defines and reads the same named widgets.</w:t>
      </w:r>
    </w:p>
    <w:p>
      <w:r>
        <w:t>5. Check each notebook path, compute choice, run-as identity and dependency. Set maximum concurrent runs to 1 for this snapshot lab. Leave the job unscheduled until its first manual run succeeds.</w:t>
      </w:r>
    </w:p>
    <w:p>
      <w:pPr>
        <w:pStyle w:val="Heading2"/>
      </w:pPr>
      <w:r>
        <w:t>Expected result</w:t>
      </w:r>
    </w:p>
    <w:p>
      <w:r>
        <w:t>The saved job contains ingest, clean and publish with dependencies in that order.</w:t>
      </w:r>
    </w:p>
    <w:p>
      <w:pPr>
        <w:pStyle w:val="Heading2"/>
      </w:pPr>
      <w:r>
        <w:t>What to explain</w:t>
      </w:r>
    </w:p>
    <w:p>
      <w:r>
        <w:t>A task’s Python variables and temporary views do not carry into the next task. All three notebooks initialize configuration and exchange persisted Delta tables.</w:t>
      </w:r>
    </w:p>
    <w:p>
      <w:r>
        <w:t>Reference: https://learn.microsoft.com/en-us/azure/databricks/jobs/jobs-quickstart</w:t>
      </w:r>
    </w:p>
    <w:p>
      <w:r>
        <w:br w:type="page"/>
      </w:r>
    </w:p>
    <w:p>
      <w:pPr>
        <w:pStyle w:val="Heading1"/>
      </w:pPr>
      <w:r>
        <w:t>Lakeflow Jobs interface reference</w:t>
      </w:r>
    </w:p>
    <w:p>
      <w:pPr>
        <w:keepNext/>
      </w:pPr>
      <w:r>
        <w:drawing>
          <wp:inline xmlns:a="http://schemas.openxmlformats.org/drawingml/2006/main" xmlns:pic="http://schemas.openxmlformats.org/drawingml/2006/picture">
            <wp:extent cx="6217920" cy="3421088"/>
            <wp:docPr id="1" name="Picture 1" descr="Official Microsoft Learn example of the Jobs interface. Its four-task sample is a navigation reference. Our lab uses the three tasks ingest, clean and publish."/>
            <wp:cNvGraphicFramePr>
              <a:graphicFrameLocks noChangeAspect="1"/>
            </wp:cNvGraphicFramePr>
            <a:graphic>
              <a:graphicData uri="http://schemas.openxmlformats.org/drawingml/2006/picture">
                <pic:pic>
                  <pic:nvPicPr>
                    <pic:cNvPr id="0" name="jobs.png"/>
                    <pic:cNvPicPr/>
                  </pic:nvPicPr>
                  <pic:blipFill>
                    <a:blip r:embed="rId9"/>
                    <a:stretch>
                      <a:fillRect/>
                    </a:stretch>
                  </pic:blipFill>
                  <pic:spPr>
                    <a:xfrm>
                      <a:off x="0" y="0"/>
                      <a:ext cx="6217920" cy="3421088"/>
                    </a:xfrm>
                    <a:prstGeom prst="rect"/>
                  </pic:spPr>
                </pic:pic>
              </a:graphicData>
            </a:graphic>
          </wp:inline>
        </w:drawing>
      </w:r>
    </w:p>
    <w:p>
      <w:r>
        <w:t>Official Microsoft Learn example of the Jobs interface. Its four-task sample is a navigation reference. Our lab uses the three tasks ingest, clean and publish.</w:t>
      </w:r>
    </w:p>
    <w:p>
      <w:r>
        <w:t>Source: https://learn.microsoft.com/en-us/azure/databricks/jobs/</w:t>
      </w:r>
    </w:p>
    <w:p>
      <w:r>
        <w:t>In your live demonstration, point out the tasks, dependency connections, trigger and most recent run. Capture your own completed three-task job for learner submissions.</w:t>
      </w:r>
    </w:p>
    <w:p>
      <w:r>
        <w:br w:type="page"/>
      </w:r>
    </w:p>
    <w:p>
      <w:pPr>
        <w:pStyle w:val="Heading1"/>
      </w:pPr>
      <w:r>
        <w:t>Lab 18 Run monitor and rehearse failure</w:t>
      </w:r>
    </w:p>
    <w:p>
      <w:r>
        <w:t>Prove that the workflow runs independently of your interactive session.</w:t>
      </w:r>
    </w:p>
    <w:p>
      <w:r>
        <w:t>1. Select Run now. Open the run and then each task to view status and output. A queued or pending task is not the same as a successful task.</w:t>
      </w:r>
    </w:p>
    <w:p>
      <w:r>
        <w:t>2. After all tasks succeed, query Gold in a separate SQL editor. Check 5 rows in detail and SUM(total_amount)=102900. Run the job again and verify the same values.</w:t>
      </w:r>
    </w:p>
    <w:p>
      <w:r>
        <w:t>3. For a controlled failure demonstration, temporarily add assert False, "Day17 intentional training failure" before the Silver write in a copy of 02_clean, and point the clean task to that copy. Run manually. Clean should fail and Publish should not run.</w:t>
      </w:r>
    </w:p>
    <w:p>
      <w:r>
        <w:t>4. Inspect the exact error. Restore the clean task to the original notebook and run the complete job again. Do not leave an intentionally failing notebook configured.</w:t>
      </w:r>
    </w:p>
    <w:p>
      <w:r>
        <w:t>5. Discuss that the previous successful Gold tables still exist after a failure. A dashboard showing them is stale but may not display an error. Production reports should include a freshness indicator.</w:t>
      </w:r>
    </w:p>
    <w:p>
      <w:pPr>
        <w:pStyle w:val="Heading2"/>
      </w:pPr>
      <w:r>
        <w:t>Expected result</w:t>
      </w:r>
    </w:p>
    <w:p>
      <w:r>
        <w:t>Two normal runs have identical totals. The controlled failed run does not publish new Gold output.</w:t>
      </w:r>
    </w:p>
    <w:p>
      <w:pPr>
        <w:pStyle w:val="Heading2"/>
      </w:pPr>
      <w:r>
        <w:t>What to explain</w:t>
      </w:r>
    </w:p>
    <w:p>
      <w:r>
        <w:t>A status of success proves task completion, not every business rule. Assertions add a business-level gate. Production orchestration may add audit tables, freshness checks and staged publication.</w:t>
      </w:r>
    </w:p>
    <w:p>
      <w:r>
        <w:t>Reference: https://learn.microsoft.com/en-us/azure/databricks/jobs/</w:t>
      </w:r>
    </w:p>
    <w:p>
      <w:r>
        <w:br w:type="page"/>
      </w:r>
    </w:p>
    <w:p>
      <w:pPr>
        <w:pStyle w:val="Heading1"/>
      </w:pPr>
      <w:r>
        <w:t>Lab 19 Schedule and operational controls</w:t>
      </w:r>
    </w:p>
    <w:p>
      <w:r>
        <w:t>Set up the schedule without leaving unnecessary cloud activity running.</w:t>
      </w:r>
    </w:p>
    <w:p>
      <w:r>
        <w:t>1. In job settings, add a scheduled trigger. Choose daily at 09:00 and explicitly choose Asia/Kolkata for the example, or the trainer’s agreed timezone. Confirm the displayed next run.</w:t>
      </w:r>
    </w:p>
    <w:p>
      <w:r>
        <w:t>2. Set a modest task retry policy such as one retry with a short delay according to your organization’s policy. Add failure notifications only to an approved recipient. Do not send training alerts to an unrelated team.</w:t>
      </w:r>
    </w:p>
    <w:p>
      <w:r>
        <w:t>3. Review maximum concurrency, task timeouts and compute cost controls. Then pause the schedule after the demonstration. Use manual runs during class unless the trainer deliberately enables the trigger.</w:t>
      </w:r>
    </w:p>
    <w:p>
      <w:r>
        <w:t>4. Record job name, last successful run time, row counts and total revenue in the learner’s completion notes.</w:t>
      </w:r>
    </w:p>
    <w:p>
      <w:pPr>
        <w:pStyle w:val="Heading2"/>
      </w:pPr>
      <w:r>
        <w:t>Expected result</w:t>
      </w:r>
    </w:p>
    <w:p>
      <w:r>
        <w:t>Schedule settings show the intended timezone, and the trigger is paused at the end of the exercise.</w:t>
      </w:r>
    </w:p>
    <w:p>
      <w:pPr>
        <w:pStyle w:val="Heading2"/>
      </w:pPr>
      <w:r>
        <w:t>What to explain</w:t>
      </w:r>
    </w:p>
    <w:p>
      <w:r>
        <w:t>A scheduled trigger belongs to the Databricks job. It is different from a reminder. The pipeline schedule and a BI refresh schedule are separate operations.</w:t>
      </w:r>
    </w:p>
    <w:p>
      <w:r>
        <w:t>Reference: https://learn.microsoft.com/en-us/azure/databricks/jobs/scheduled</w:t>
      </w:r>
    </w:p>
    <w:p>
      <w:r>
        <w:br w:type="page"/>
      </w:r>
    </w:p>
    <w:p>
      <w:pPr>
        <w:pStyle w:val="Heading1"/>
      </w:pPr>
      <w:r>
        <w:t>Lab 20 Built in notebook charts</w:t>
      </w:r>
    </w:p>
    <w:p>
      <w:r>
        <w:t>Create category and daily charts directly from result tables.</w:t>
      </w:r>
    </w:p>
    <w:p>
      <w:r>
        <w:t>1. Run display(spark.table(ns + ".day17_gold_category")). From the result output, open the visualization control or plus menu and create a bar chart.</w:t>
      </w:r>
    </w:p>
    <w:p>
      <w:r>
        <w:t>2. Choose category for the category axis and revenue for the numeric axis, using SUM where aggregation is requested. Title it Revenue by category and label the measure Revenue INR.</w:t>
      </w:r>
    </w:p>
    <w:p>
      <w:r>
        <w:t>3. Display day17_gold_daily and create a line chart with order_date on the horizontal axis and revenue on the vertical axis. Sort dates ascending.</w:t>
      </w:r>
    </w:p>
    <w:p>
      <w:r>
        <w:t>4. Read one point aloud and compare it with the table. Menu labels can differ between notebook output and SQL editor; use the visualization configuration for the selected result.</w:t>
      </w:r>
    </w:p>
    <w:p>
      <w:pPr>
        <w:pStyle w:val="Heading2"/>
      </w:pPr>
      <w:r>
        <w:t>Expected result</w:t>
      </w:r>
    </w:p>
    <w:p>
      <w:r>
        <w:t>The bar chart shows 6900 and 96000. The line shows 61600, 40500 and 800 in date order.</w:t>
      </w:r>
    </w:p>
    <w:p>
      <w:pPr>
        <w:pStyle w:val="Heading2"/>
      </w:pPr>
      <w:r>
        <w:t>What to explain</w:t>
      </w:r>
    </w:p>
    <w:p>
      <w:r>
        <w:t>Changing SUM to AVG changes the business question. When visualizing an already summarized table, be careful not to introduce duplicate rows or an unintended second aggregation.</w:t>
      </w:r>
    </w:p>
    <w:p>
      <w:r>
        <w:t>Reference: https://learn.microsoft.com/en-us/azure/databricks/visualizations/</w:t>
      </w:r>
    </w:p>
    <w:p>
      <w:r>
        <w:br w:type="page"/>
      </w:r>
    </w:p>
    <w:p>
      <w:pPr>
        <w:pStyle w:val="Heading1"/>
      </w:pPr>
      <w:r>
        <w:t>Lab 21 Matplotlib chart</w:t>
      </w:r>
    </w:p>
    <w:p>
      <w:r>
        <w:t>Plot a small aggregated result with explicit Python formatting.</w:t>
      </w:r>
    </w:p>
    <w:p>
      <w:r>
        <w:t>1. Run the cell below in the exploration notebook after Gold tables exist.</w:t>
      </w:r>
    </w:p>
    <w:p>
      <w:r>
        <w:t>2. Explain why toPandas appears after selecting the two-row summary.</w:t>
      </w:r>
    </w:p>
    <w:p>
      <w:r>
        <w:t>3. If matplotlib is unavailable, ask the trainer to enable the approved environment dependency. Do not install unapproved packages during the live class.</w:t>
      </w:r>
    </w:p>
    <w:p>
      <w:pPr>
        <w:pStyle w:val="Heading2"/>
      </w:pPr>
      <w:r>
        <w:t>Code</w:t>
      </w:r>
    </w:p>
    <w:p>
      <w:r>
        <w:t>PYTHON</w:t>
      </w:r>
    </w:p>
    <w:p>
      <w:pPr>
        <w:spacing w:before="80" w:after="160" w:line="240" w:lineRule="auto"/>
      </w:pPr>
      <w:r>
        <w:rPr>
          <w:rFonts w:ascii="DejaVu Sans Mono" w:hAnsi="DejaVu Sans Mono"/>
          <w:sz w:val="16"/>
        </w:rPr>
        <w:t>import matplotlib.pyplot as plt</w:t>
        <w:br/>
        <w:t>small = (spark.table(ns + ".day17_gold_category")</w:t>
        <w:br/>
        <w:t xml:space="preserve">    .select("category", "revenue").orderBy("category").toPandas())</w:t>
        <w:br/>
        <w:t>small["revenue"] = small["revenue"].astype(float)</w:t>
        <w:br/>
        <w:t>fig, ax = plt.subplots(figsize=(7, 4))</w:t>
        <w:br/>
        <w:t>ax.bar(small["category"], small["revenue"], color="#247C91")</w:t>
        <w:br/>
        <w:t>ax.set(title="Revenue by category", ylabel="Revenue INR")</w:t>
        <w:br/>
        <w:t>ax.ticklabel_format(axis="y", style="plain")</w:t>
        <w:br/>
        <w:t>fig.tight_layout()</w:t>
        <w:br/>
        <w:t>display(fig)</w:t>
        <w:br/>
        <w:t>plt.close(fig)</w:t>
      </w:r>
    </w:p>
    <w:p>
      <w:pPr>
        <w:pStyle w:val="Heading2"/>
      </w:pPr>
      <w:r>
        <w:t>Expected result</w:t>
      </w:r>
    </w:p>
    <w:p>
      <w:r>
        <w:t>A two-bar category chart appears with Revenue INR on its vertical axis.</w:t>
      </w:r>
    </w:p>
    <w:p>
      <w:pPr>
        <w:pStyle w:val="Heading2"/>
      </w:pPr>
      <w:r>
        <w:t>What to explain</w:t>
      </w:r>
    </w:p>
    <w:p>
      <w:r>
        <w:t>float conversion is only for the plotting copy. The Delta revenue column remains decimal. fig.tight_layout helps labels fit; closing the figure after displaying releases its plotting resources.</w:t>
      </w:r>
    </w:p>
    <w:p>
      <w:r>
        <w:br w:type="page"/>
      </w:r>
    </w:p>
    <w:p>
      <w:pPr>
        <w:pStyle w:val="Heading1"/>
      </w:pPr>
      <w:r>
        <w:t>Lab 22 Seaborn scatterplot</w:t>
      </w:r>
    </w:p>
    <w:p>
      <w:r>
        <w:t>Compare order quantity and order value using a color grouping.</w:t>
      </w:r>
    </w:p>
    <w:p>
      <w:r>
        <w:t>1. Run the cell below. Confirm it uses only a bounded plotting sample.</w:t>
      </w:r>
    </w:p>
    <w:p>
      <w:r>
        <w:t>2. Ask students to find the laptop point at quantity 1 and total_amount 60000.</w:t>
      </w:r>
    </w:p>
    <w:p>
      <w:r>
        <w:t>3. Discuss why more units does not necessarily mean more revenue when products have different prices. Use approved environment setup if seaborn is missing.</w:t>
      </w:r>
    </w:p>
    <w:p>
      <w:pPr>
        <w:pStyle w:val="Heading2"/>
      </w:pPr>
      <w:r>
        <w:t>Code</w:t>
      </w:r>
    </w:p>
    <w:p>
      <w:r>
        <w:t>PYTHON</w:t>
      </w:r>
    </w:p>
    <w:p>
      <w:pPr>
        <w:spacing w:before="80" w:after="160" w:line="240" w:lineRule="auto"/>
      </w:pPr>
      <w:r>
        <w:rPr>
          <w:rFonts w:ascii="DejaVu Sans Mono" w:hAnsi="DejaVu Sans Mono"/>
          <w:sz w:val="16"/>
        </w:rPr>
        <w:t>import seaborn as sns</w:t>
        <w:br/>
        <w:t>import matplotlib.pyplot as plt</w:t>
        <w:br/>
        <w:t>small = (spark.table(ns + ".day17_gold_order_detail")</w:t>
        <w:br/>
        <w:t xml:space="preserve">    .select("quantity", "total_amount", "category").limit(1000).toPandas())</w:t>
        <w:br/>
        <w:t>small["total_amount"] = small["total_amount"].astype(float)</w:t>
        <w:br/>
        <w:t>fig, ax = plt.subplots(figsize=(7, 4))</w:t>
        <w:br/>
        <w:t>sns.scatterplot(data=small, x="quantity", y="total_amount",</w:t>
        <w:br/>
        <w:t xml:space="preserve">                hue="category", s=100, ax=ax)</w:t>
        <w:br/>
        <w:t>ax.set(title="Order quantity and order value", ylabel="Order value INR")</w:t>
        <w:br/>
        <w:t>fig.tight_layout()</w:t>
        <w:br/>
        <w:t>display(fig)</w:t>
        <w:br/>
        <w:t>plt.close(fig)</w:t>
      </w:r>
    </w:p>
    <w:p>
      <w:pPr>
        <w:pStyle w:val="Heading2"/>
      </w:pPr>
      <w:r>
        <w:t>Expected result</w:t>
      </w:r>
    </w:p>
    <w:p>
      <w:r>
        <w:t>Five plotted orders, colored by category. A one-unit Electronics order has value 60000.</w:t>
      </w:r>
    </w:p>
    <w:p>
      <w:pPr>
        <w:pStyle w:val="Heading2"/>
      </w:pPr>
      <w:r>
        <w:t>What to explain</w:t>
      </w:r>
    </w:p>
    <w:p>
      <w:r>
        <w:t>A scatterplot is useful for exploring relationships. It does not establish cause. On large data, deliberate sampling or aggregated bins are preferable to collecting the entire raw table.</w:t>
      </w:r>
    </w:p>
    <w:p>
      <w:r>
        <w:br w:type="page"/>
      </w:r>
    </w:p>
    <w:p>
      <w:pPr>
        <w:pStyle w:val="Heading1"/>
      </w:pPr>
      <w:r>
        <w:t>Lab 23 Interactive AI BI dashboard</w:t>
      </w:r>
    </w:p>
    <w:p>
      <w:r>
        <w:t>Build and test an interactive report over Gold detail.</w:t>
      </w:r>
    </w:p>
    <w:p>
      <w:r>
        <w:t>1. Choose New, then Dashboard. Name it Day17 Orders student_XX. Select the approved SQL warehouse. In Data, choose Add SQL dataset and run the query below after replacing the schema.</w:t>
      </w:r>
    </w:p>
    <w:p>
      <w:r>
        <w:t>2. On the canvas, add a counter showing SUM(total_amount), a bar chart with category and SUM(total_amount), and a line chart with order_date and SUM(total_amount). Use the same Orders dataset for all three.</w:t>
      </w:r>
    </w:p>
    <w:p>
      <w:r>
        <w:t>3. Add a category filter and bind it to the Orders category field. Add a date range filter on order_date. Test Accessories: counter must be 6900. Clear category, select September 16: counter must be 40500. Clear all: 102900.</w:t>
      </w:r>
    </w:p>
    <w:p>
      <w:r>
        <w:t>4. Publish with the organization-approved data permission mode. Review the intended viewers before sharing. Open the published version and repeat the filter checks. Re-publish later authoring changes when needed.</w:t>
      </w:r>
    </w:p>
    <w:p>
      <w:pPr>
        <w:pStyle w:val="Heading2"/>
      </w:pPr>
      <w:r>
        <w:t>Code</w:t>
      </w:r>
    </w:p>
    <w:p>
      <w:r>
        <w:t>DASHBOARD SQL</w:t>
      </w:r>
    </w:p>
    <w:p>
      <w:pPr>
        <w:spacing w:before="80" w:after="160" w:line="240" w:lineRule="auto"/>
      </w:pPr>
      <w:r>
        <w:rPr>
          <w:rFonts w:ascii="DejaVu Sans Mono" w:hAnsi="DejaVu Sans Mono"/>
          <w:sz w:val="16"/>
        </w:rPr>
        <w:t>SELECT order_id, order_date, category, city,</w:t>
        <w:br/>
        <w:t xml:space="preserve">       quantity, total_amount</w:t>
        <w:br/>
        <w:t>FROM training_lab.student_01.day17_gold_order_detail;</w:t>
      </w:r>
    </w:p>
    <w:p>
      <w:pPr>
        <w:pStyle w:val="Heading2"/>
      </w:pPr>
      <w:r>
        <w:t>Expected result</w:t>
      </w:r>
    </w:p>
    <w:p>
      <w:r>
        <w:t>Unfiltered counter 102900, Accessories 6900, September 16 total 40500.</w:t>
      </w:r>
    </w:p>
    <w:p>
      <w:pPr>
        <w:pStyle w:val="Heading2"/>
      </w:pPr>
      <w:r>
        <w:t>What to explain</w:t>
      </w:r>
    </w:p>
    <w:p>
      <w:r>
        <w:t>Keep the dataset at order grain so category and date are both available. A dashboard filter is not a security boundary. UI wording may vary by workspace rollout.</w:t>
      </w:r>
    </w:p>
    <w:p>
      <w:r>
        <w:t>Reference: https://learn.microsoft.com/en-us/azure/databricks/dashboards/tutorials/create-dashboard</w:t>
      </w:r>
    </w:p>
    <w:p>
      <w:r>
        <w:br w:type="page"/>
      </w:r>
    </w:p>
    <w:p>
      <w:pPr>
        <w:pStyle w:val="Heading1"/>
      </w:pPr>
      <w:r>
        <w:t>Dashboard configuration reference</w:t>
      </w:r>
    </w:p>
    <w:p>
      <w:pPr>
        <w:keepNext/>
      </w:pPr>
      <w:r>
        <w:drawing>
          <wp:inline xmlns:a="http://schemas.openxmlformats.org/drawingml/2006/main" xmlns:pic="http://schemas.openxmlformats.org/drawingml/2006/picture">
            <wp:extent cx="2926080" cy="5764669"/>
            <wp:docPr id="2" name="Picture 2" descr="Official Microsoft Learn visualization configuration panel. The official example uses taxi fields. In this lab choose category and total_amount from the Orders dataset."/>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2926080" cy="5764669"/>
                    </a:xfrm>
                    <a:prstGeom prst="rect"/>
                  </pic:spPr>
                </pic:pic>
              </a:graphicData>
            </a:graphic>
          </wp:inline>
        </w:drawing>
      </w:r>
    </w:p>
    <w:p>
      <w:r>
        <w:t>Official Microsoft Learn visualization configuration panel. The official example uses taxi fields. In this lab choose category and total_amount from the Orders dataset.</w:t>
      </w:r>
    </w:p>
    <w:p>
      <w:r>
        <w:t>Source: https://learn.microsoft.com/en-us/azure/databricks/dashboards/tutorials/create-dashboard</w:t>
      </w:r>
    </w:p>
    <w:p>
      <w:r>
        <w:t>Use the field mapping in Lab 23, rather than copying the taxi-specific fields shown in this reference. Verify all three visuals respond to the category and date filters.</w:t>
      </w:r>
    </w:p>
    <w:p>
      <w:r>
        <w:br w:type="page"/>
      </w:r>
    </w:p>
    <w:p>
      <w:pPr>
        <w:pStyle w:val="Heading1"/>
      </w:pPr>
      <w:r>
        <w:t>Lab 24 Power BI connection and demonstration</w:t>
      </w:r>
    </w:p>
    <w:p>
      <w:r>
        <w:t>Reconcile an external BI report with the same Gold category table.</w:t>
      </w:r>
    </w:p>
    <w:p>
      <w:r>
        <w:t>1. In Databricks SQL Warehouses, open the approved warehouse and Connection details. Copy Server hostname and HTTP path. Keep credentials out of slides, notebooks and screenshots.</w:t>
      </w:r>
    </w:p>
    <w:p>
      <w:r>
        <w:t>2. Open Power BI Desktop on Windows. Choose Get data, Azure Databricks. Enter the hostname and HTTP path, then select Import for this small exercise.</w:t>
      </w:r>
    </w:p>
    <w:p>
      <w:r>
        <w:t>3. Authenticate with the organization-approved Microsoft Entra ID account or configured method. In Navigator choose training_lab, your schema and day17_gold_category. Load.</w:t>
      </w:r>
    </w:p>
    <w:p>
      <w:r>
        <w:t>4. Create a clustered column chart using category and SUM(revenue), then a card using SUM(revenue). Verify 6900, 96000 and total 102900. Save the report locally.</w:t>
      </w:r>
    </w:p>
    <w:p>
      <w:r>
        <w:t>5. Discuss DirectQuery as a separate source-query option. Publishing to the Power BI service and configuring refresh require the relevant license, identity and permissions. Do not assume the Desktop sign-in transfers all service settings.</w:t>
      </w:r>
    </w:p>
    <w:p>
      <w:pPr>
        <w:pStyle w:val="Heading2"/>
      </w:pPr>
      <w:r>
        <w:t>Expected result</w:t>
      </w:r>
    </w:p>
    <w:p>
      <w:r>
        <w:t>Two category bars and a 102900 total match Databricks.</w:t>
      </w:r>
    </w:p>
    <w:p>
      <w:pPr>
        <w:pStyle w:val="Heading2"/>
      </w:pPr>
      <w:r>
        <w:t>What to explain</w:t>
      </w:r>
    </w:p>
    <w:p>
      <w:r>
        <w:t>Import stores a model copy and requires refresh for later changes. DirectQuery queries the source for report interactions subject to tool behavior and caching. An inaccessible warehouse or missing table grants can block either approach.</w:t>
      </w:r>
    </w:p>
    <w:p>
      <w:r>
        <w:t>Reference: https://learn.microsoft.com/en-us/azure/databricks/partners/bi/power-bi/desktop</w:t>
      </w:r>
    </w:p>
    <w:p>
      <w:r>
        <w:br w:type="page"/>
      </w:r>
    </w:p>
    <w:p>
      <w:pPr>
        <w:pStyle w:val="Heading1"/>
      </w:pPr>
      <w:r>
        <w:t>Lab 25 Tableau connection and demonstration</w:t>
      </w:r>
    </w:p>
    <w:p>
      <w:r>
        <w:t>Create the same category comparison in Tableau.</w:t>
      </w:r>
    </w:p>
    <w:p>
      <w:r>
        <w:t>1. Open Tableau Desktop and choose the Databricks connector. Supply the approved SQL warehouse Server hostname and HTTP path. Sign in with the configured OAuth or organization-approved authentication.</w:t>
      </w:r>
    </w:p>
    <w:p>
      <w:r>
        <w:t>2. Choose training_lab, your learner schema, and day17_gold_category. Use Live for this small demonstration, or Extract if required by the training environment.</w:t>
      </w:r>
    </w:p>
    <w:p>
      <w:r>
        <w:t>3. On a worksheet place category on Columns and revenue on Rows. Confirm the aggregation is SUM. Show mark labels.</w:t>
      </w:r>
    </w:p>
    <w:p>
      <w:r>
        <w:t>4. Add the worksheet to a dashboard and expose a category filter. Verify both bars, then select Accessories and confirm 6900. Save the workbook.</w:t>
      </w:r>
    </w:p>
    <w:p>
      <w:r>
        <w:t>5. Explain that publishing to Tableau Cloud or Server requires separate site access and refresh or credential configuration. If desktop licensing is unavailable, have learners document the connector fields and expected result instead.</w:t>
      </w:r>
    </w:p>
    <w:p>
      <w:pPr>
        <w:pStyle w:val="Heading2"/>
      </w:pPr>
      <w:r>
        <w:t>Expected result</w:t>
      </w:r>
    </w:p>
    <w:p>
      <w:r>
        <w:t>Accessories 6900 and Electronics 96000, identical to the source table.</w:t>
      </w:r>
    </w:p>
    <w:p>
      <w:pPr>
        <w:pStyle w:val="Heading2"/>
      </w:pPr>
      <w:r>
        <w:t>What to explain</w:t>
      </w:r>
    </w:p>
    <w:p>
      <w:r>
        <w:t>Live queries depend on source availability and permissions. An extract is a refreshed copy. Both require explicit decisions about sharing and freshness.</w:t>
      </w:r>
    </w:p>
    <w:p>
      <w:r>
        <w:t>Reference: https://learn.microsoft.com/en-us/azure/databricks/partners/bi/tableau</w:t>
      </w:r>
    </w:p>
    <w:p>
      <w:r>
        <w:br w:type="page"/>
      </w:r>
    </w:p>
    <w:p>
      <w:pPr>
        <w:pStyle w:val="Heading1"/>
      </w:pPr>
      <w:r>
        <w:t>Lab 26 Completion challenge and cleanup</w:t>
      </w:r>
    </w:p>
    <w:p>
      <w:r>
        <w:t>Prove understanding and stop unnecessary scheduled activity.</w:t>
      </w:r>
    </w:p>
    <w:p>
      <w:r>
        <w:t>1. Without copying the answer, calculate city revenue and find customers with no orders. State the result grain for both outputs.</w:t>
      </w:r>
    </w:p>
    <w:p>
      <w:r>
        <w:t>2. Explain why the ranked result has five rows but category aggregation has two. Explain why the Delta correction table totals 103700 while the dashboard still shows 102900.</w:t>
      </w:r>
    </w:p>
    <w:p>
      <w:r>
        <w:t>3. Submit or show the Gold category table, ranking output, successful job run, filter tests and either BI report. Do not include passwords, tokens or unrestricted sharing links.</w:t>
      </w:r>
    </w:p>
    <w:p>
      <w:r>
        <w:t>4. Pause the job trigger. Stop only your dedicated compute and warehouse if authorized; never stop shared class compute while others use it. Keep the small lab tables for review unless the trainer explicitly approves removal.</w:t>
      </w:r>
    </w:p>
    <w:p>
      <w:r>
        <w:t>5. If the environment is disposable, the administrator can remove only the confirmed training resources after collecting learner work. Do not use DROP CATALOG CASCADE or delete a resource group as a learner cleanup shortcut.</w:t>
      </w:r>
    </w:p>
    <w:p>
      <w:pPr>
        <w:pStyle w:val="Heading2"/>
      </w:pPr>
      <w:r>
        <w:t>Expected result</w:t>
      </w:r>
    </w:p>
    <w:p>
      <w:r>
        <w:t>All acceptance checks pass and the lab leaves no unwanted recurring run.</w:t>
      </w:r>
    </w:p>
    <w:p>
      <w:pPr>
        <w:pStyle w:val="Heading2"/>
      </w:pPr>
      <w:r>
        <w:t>What to explain</w:t>
      </w:r>
    </w:p>
    <w:p>
      <w:r>
        <w:t>Answers: Bengaluru 64500, Chennai 36000, Hyderabad 2400. No-order customer C04. Ranking retains detail, aggregation changes grain. The correction uses an isolated table.</w:t>
      </w:r>
    </w:p>
    <w:p>
      <w:r>
        <w:br w:type="page"/>
      </w:r>
    </w:p>
    <w:p>
      <w:pPr>
        <w:pStyle w:val="Heading1"/>
      </w:pPr>
      <w:r>
        <w:t>Troubleshooting guide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shd w:fill="173E50"/>
            <w:tcMar>
              <w:top w:w="95" w:type="dxa"/>
              <w:bottom w:w="95" w:type="dxa"/>
              <w:start w:w="95" w:type="dxa"/>
              <w:end w:w="95" w:type="dxa"/>
            </w:tcMar>
          </w:tcPr>
          <w:p>
            <w:pPr>
              <w:spacing w:after="40"/>
            </w:pPr>
            <w:r>
              <w:rPr>
                <w:b/>
                <w:color w:val="FFFFFF"/>
                <w:sz w:val="18"/>
              </w:rPr>
              <w:t>Symptom</w:t>
            </w:r>
          </w:p>
        </w:tc>
        <w:tc>
          <w:tcPr>
            <w:tcW w:type="dxa" w:w="7128"/>
            <w:vAlign w:val="center"/>
            <w:shd w:fill="173E50"/>
            <w:tcMar>
              <w:top w:w="95" w:type="dxa"/>
              <w:bottom w:w="95" w:type="dxa"/>
              <w:start w:w="95" w:type="dxa"/>
              <w:end w:w="95" w:type="dxa"/>
            </w:tcMar>
          </w:tcPr>
          <w:p>
            <w:pPr>
              <w:spacing w:after="40"/>
            </w:pPr>
            <w:r>
              <w:rPr>
                <w:b/>
                <w:color w:val="FFFFFF"/>
                <w:sz w:val="18"/>
              </w:rPr>
              <w:t>Check and recovery</w:t>
            </w:r>
          </w:p>
        </w:tc>
      </w:tr>
      <w:tr>
        <w:trPr>
          <w:cantSplit/>
        </w:trPr>
        <w:tc>
          <w:tcPr>
            <w:tcW w:type="dxa" w:w="2952"/>
            <w:vAlign w:val="center"/>
            <w:shd w:fill="FFFFFF"/>
            <w:tcMar>
              <w:top w:w="95" w:type="dxa"/>
              <w:bottom w:w="95" w:type="dxa"/>
              <w:start w:w="95" w:type="dxa"/>
              <w:end w:w="95" w:type="dxa"/>
            </w:tcMar>
          </w:tcPr>
          <w:p>
            <w:pPr>
              <w:spacing w:after="40"/>
            </w:pPr>
            <w:r>
              <w:rPr>
                <w:b w:val="0"/>
                <w:color w:val="000000"/>
                <w:sz w:val="18"/>
              </w:rPr>
              <w:t>Permission denied</w:t>
            </w:r>
          </w:p>
        </w:tc>
        <w:tc>
          <w:tcPr>
            <w:tcW w:type="dxa" w:w="7128"/>
            <w:vAlign w:val="center"/>
            <w:shd w:fill="FFFFFF"/>
            <w:tcMar>
              <w:top w:w="95" w:type="dxa"/>
              <w:bottom w:w="95" w:type="dxa"/>
              <w:start w:w="95" w:type="dxa"/>
              <w:end w:w="95" w:type="dxa"/>
            </w:tcMar>
          </w:tcPr>
          <w:p>
            <w:pPr>
              <w:spacing w:after="40"/>
            </w:pPr>
            <w:r>
              <w:rPr>
                <w:b w:val="0"/>
                <w:color w:val="000000"/>
                <w:sz w:val="18"/>
              </w:rPr>
              <w:t>Verify current_user(), catalog, schema and run-as identity. Ask the administrator for only the missing privilege.</w:t>
            </w:r>
          </w:p>
        </w:tc>
      </w:tr>
      <w:tr>
        <w:trPr>
          <w:cantSplit/>
        </w:trPr>
        <w:tc>
          <w:tcPr>
            <w:tcW w:type="dxa" w:w="2952"/>
            <w:vAlign w:val="center"/>
            <w:shd w:fill="F3F6F7"/>
            <w:tcMar>
              <w:top w:w="95" w:type="dxa"/>
              <w:bottom w:w="95" w:type="dxa"/>
              <w:start w:w="95" w:type="dxa"/>
              <w:end w:w="95" w:type="dxa"/>
            </w:tcMar>
          </w:tcPr>
          <w:p>
            <w:pPr>
              <w:spacing w:after="40"/>
            </w:pPr>
            <w:r>
              <w:rPr>
                <w:b w:val="0"/>
                <w:color w:val="000000"/>
                <w:sz w:val="18"/>
              </w:rPr>
              <w:t>Catalog not found</w:t>
            </w:r>
          </w:p>
        </w:tc>
        <w:tc>
          <w:tcPr>
            <w:tcW w:type="dxa" w:w="7128"/>
            <w:vAlign w:val="center"/>
            <w:shd w:fill="F3F6F7"/>
            <w:tcMar>
              <w:top w:w="95" w:type="dxa"/>
              <w:bottom w:w="95" w:type="dxa"/>
              <w:start w:w="95" w:type="dxa"/>
              <w:end w:w="95" w:type="dxa"/>
            </w:tcMar>
          </w:tcPr>
          <w:p>
            <w:pPr>
              <w:spacing w:after="40"/>
            </w:pPr>
            <w:r>
              <w:rPr>
                <w:b w:val="0"/>
                <w:color w:val="000000"/>
                <w:sz w:val="18"/>
              </w:rPr>
              <w:t>Confirm Unity Catalog setup and the assigned catalog name. Do not silently switch to hive_metastore.</w:t>
            </w:r>
          </w:p>
        </w:tc>
      </w:tr>
      <w:tr>
        <w:trPr>
          <w:cantSplit/>
        </w:trPr>
        <w:tc>
          <w:tcPr>
            <w:tcW w:type="dxa" w:w="2952"/>
            <w:vAlign w:val="center"/>
            <w:shd w:fill="FFFFFF"/>
            <w:tcMar>
              <w:top w:w="95" w:type="dxa"/>
              <w:bottom w:w="95" w:type="dxa"/>
              <w:start w:w="95" w:type="dxa"/>
              <w:end w:w="95" w:type="dxa"/>
            </w:tcMar>
          </w:tcPr>
          <w:p>
            <w:pPr>
              <w:spacing w:after="40"/>
            </w:pPr>
            <w:r>
              <w:rPr>
                <w:b w:val="0"/>
                <w:color w:val="000000"/>
                <w:sz w:val="18"/>
              </w:rPr>
              <w:t>Volume path missing</w:t>
            </w:r>
          </w:p>
        </w:tc>
        <w:tc>
          <w:tcPr>
            <w:tcW w:type="dxa" w:w="7128"/>
            <w:vAlign w:val="center"/>
            <w:shd w:fill="FFFFFF"/>
            <w:tcMar>
              <w:top w:w="95" w:type="dxa"/>
              <w:bottom w:w="95" w:type="dxa"/>
              <w:start w:w="95" w:type="dxa"/>
              <w:end w:w="95" w:type="dxa"/>
            </w:tcMar>
          </w:tcPr>
          <w:p>
            <w:pPr>
              <w:spacing w:after="40"/>
            </w:pPr>
            <w:r>
              <w:rPr>
                <w:b w:val="0"/>
                <w:color w:val="000000"/>
                <w:sz w:val="18"/>
              </w:rPr>
              <w:t>Confirm the volume exists and setup wrote input/orders.csv and input/customers.json in your schema.</w:t>
            </w:r>
          </w:p>
        </w:tc>
      </w:tr>
      <w:tr>
        <w:trPr>
          <w:cantSplit/>
        </w:trPr>
        <w:tc>
          <w:tcPr>
            <w:tcW w:type="dxa" w:w="2952"/>
            <w:vAlign w:val="center"/>
            <w:shd w:fill="F3F6F7"/>
            <w:tcMar>
              <w:top w:w="95" w:type="dxa"/>
              <w:bottom w:w="95" w:type="dxa"/>
              <w:start w:w="95" w:type="dxa"/>
              <w:end w:w="95" w:type="dxa"/>
            </w:tcMar>
          </w:tcPr>
          <w:p>
            <w:pPr>
              <w:spacing w:after="40"/>
            </w:pPr>
            <w:r>
              <w:rPr>
                <w:b w:val="0"/>
                <w:color w:val="000000"/>
                <w:sz w:val="18"/>
              </w:rPr>
              <w:t>Table not found</w:t>
            </w:r>
          </w:p>
        </w:tc>
        <w:tc>
          <w:tcPr>
            <w:tcW w:type="dxa" w:w="7128"/>
            <w:vAlign w:val="center"/>
            <w:shd w:fill="F3F6F7"/>
            <w:tcMar>
              <w:top w:w="95" w:type="dxa"/>
              <w:bottom w:w="95" w:type="dxa"/>
              <w:start w:w="95" w:type="dxa"/>
              <w:end w:w="95" w:type="dxa"/>
            </w:tcMar>
          </w:tcPr>
          <w:p>
            <w:pPr>
              <w:spacing w:after="40"/>
            </w:pPr>
            <w:r>
              <w:rPr>
                <w:b w:val="0"/>
                <w:color w:val="000000"/>
                <w:sz w:val="18"/>
              </w:rPr>
              <w:t>Run ingestion, then cleaning, then publishing. Refresh Catalog. Check the fully qualified name.</w:t>
            </w:r>
          </w:p>
        </w:tc>
      </w:tr>
      <w:tr>
        <w:trPr>
          <w:cantSplit/>
        </w:trPr>
        <w:tc>
          <w:tcPr>
            <w:tcW w:type="dxa" w:w="2952"/>
            <w:vAlign w:val="center"/>
            <w:shd w:fill="FFFFFF"/>
            <w:tcMar>
              <w:top w:w="95" w:type="dxa"/>
              <w:bottom w:w="95" w:type="dxa"/>
              <w:start w:w="95" w:type="dxa"/>
              <w:end w:w="95" w:type="dxa"/>
            </w:tcMar>
          </w:tcPr>
          <w:p>
            <w:pPr>
              <w:spacing w:after="40"/>
            </w:pPr>
            <w:r>
              <w:rPr>
                <w:b w:val="0"/>
                <w:color w:val="000000"/>
                <w:sz w:val="18"/>
              </w:rPr>
              <w:t>NameError in a job task</w:t>
            </w:r>
          </w:p>
        </w:tc>
        <w:tc>
          <w:tcPr>
            <w:tcW w:type="dxa" w:w="7128"/>
            <w:vAlign w:val="center"/>
            <w:shd w:fill="FFFFFF"/>
            <w:tcMar>
              <w:top w:w="95" w:type="dxa"/>
              <w:bottom w:w="95" w:type="dxa"/>
              <w:start w:w="95" w:type="dxa"/>
              <w:end w:w="95" w:type="dxa"/>
            </w:tcMar>
          </w:tcPr>
          <w:p>
            <w:pPr>
              <w:spacing w:after="40"/>
            </w:pPr>
            <w:r>
              <w:rPr>
                <w:b w:val="0"/>
                <w:color w:val="000000"/>
                <w:sz w:val="18"/>
              </w:rPr>
              <w:t>Each notebook needs its own CONFIG cell and imports. Read durable tables instead of another task’s variables.</w:t>
            </w:r>
          </w:p>
        </w:tc>
      </w:tr>
      <w:tr>
        <w:trPr>
          <w:cantSplit/>
        </w:trPr>
        <w:tc>
          <w:tcPr>
            <w:tcW w:type="dxa" w:w="2952"/>
            <w:vAlign w:val="center"/>
            <w:shd w:fill="F3F6F7"/>
            <w:tcMar>
              <w:top w:w="95" w:type="dxa"/>
              <w:bottom w:w="95" w:type="dxa"/>
              <w:start w:w="95" w:type="dxa"/>
              <w:end w:w="95" w:type="dxa"/>
            </w:tcMar>
          </w:tcPr>
          <w:p>
            <w:pPr>
              <w:spacing w:after="40"/>
            </w:pPr>
            <w:r>
              <w:rPr>
                <w:b w:val="0"/>
                <w:color w:val="000000"/>
                <w:sz w:val="18"/>
              </w:rPr>
              <w:t>Type conversion fails</w:t>
            </w:r>
          </w:p>
        </w:tc>
        <w:tc>
          <w:tcPr>
            <w:tcW w:type="dxa" w:w="7128"/>
            <w:vAlign w:val="center"/>
            <w:shd w:fill="F3F6F7"/>
            <w:tcMar>
              <w:top w:w="95" w:type="dxa"/>
              <w:bottom w:w="95" w:type="dxa"/>
              <w:start w:w="95" w:type="dxa"/>
              <w:end w:w="95" w:type="dxa"/>
            </w:tcMar>
          </w:tcPr>
          <w:p>
            <w:pPr>
              <w:spacing w:after="40"/>
            </w:pPr>
            <w:r>
              <w:rPr>
                <w:b w:val="0"/>
                <w:color w:val="000000"/>
                <w:sz w:val="18"/>
              </w:rPr>
              <w:t>Use the exact try_cast expressions. Inspect Bronze and reject malformed values rather than turning ANSI behavior off.</w:t>
            </w:r>
          </w:p>
        </w:tc>
      </w:tr>
      <w:tr>
        <w:trPr>
          <w:cantSplit/>
        </w:trPr>
        <w:tc>
          <w:tcPr>
            <w:tcW w:type="dxa" w:w="2952"/>
            <w:vAlign w:val="center"/>
            <w:shd w:fill="FFFFFF"/>
            <w:tcMar>
              <w:top w:w="95" w:type="dxa"/>
              <w:bottom w:w="95" w:type="dxa"/>
              <w:start w:w="95" w:type="dxa"/>
              <w:end w:w="95" w:type="dxa"/>
            </w:tcMar>
          </w:tcPr>
          <w:p>
            <w:pPr>
              <w:spacing w:after="40"/>
            </w:pPr>
            <w:r>
              <w:rPr>
                <w:b w:val="0"/>
                <w:color w:val="000000"/>
                <w:sz w:val="18"/>
              </w:rPr>
              <w:t>Wrong total after join</w:t>
            </w:r>
          </w:p>
        </w:tc>
        <w:tc>
          <w:tcPr>
            <w:tcW w:type="dxa" w:w="7128"/>
            <w:vAlign w:val="center"/>
            <w:shd w:fill="FFFFFF"/>
            <w:tcMar>
              <w:top w:w="95" w:type="dxa"/>
              <w:bottom w:w="95" w:type="dxa"/>
              <w:start w:w="95" w:type="dxa"/>
              <w:end w:w="95" w:type="dxa"/>
            </w:tcMar>
          </w:tcPr>
          <w:p>
            <w:pPr>
              <w:spacing w:after="40"/>
            </w:pPr>
            <w:r>
              <w:rPr>
                <w:b w:val="0"/>
                <w:color w:val="000000"/>
                <w:sz w:val="18"/>
              </w:rPr>
              <w:t>Check key uniqueness in customers. Count rows before and after the join.</w:t>
            </w:r>
          </w:p>
        </w:tc>
      </w:tr>
      <w:tr>
        <w:trPr>
          <w:cantSplit/>
        </w:trPr>
        <w:tc>
          <w:tcPr>
            <w:tcW w:type="dxa" w:w="2952"/>
            <w:vAlign w:val="center"/>
            <w:shd w:fill="F3F6F7"/>
            <w:tcMar>
              <w:top w:w="95" w:type="dxa"/>
              <w:bottom w:w="95" w:type="dxa"/>
              <w:start w:w="95" w:type="dxa"/>
              <w:end w:w="95" w:type="dxa"/>
            </w:tcMar>
          </w:tcPr>
          <w:p>
            <w:pPr>
              <w:spacing w:after="40"/>
            </w:pPr>
            <w:r>
              <w:rPr>
                <w:b w:val="0"/>
                <w:color w:val="000000"/>
                <w:sz w:val="18"/>
              </w:rPr>
              <w:t>MERGE ambiguous match</w:t>
            </w:r>
          </w:p>
        </w:tc>
        <w:tc>
          <w:tcPr>
            <w:tcW w:type="dxa" w:w="7128"/>
            <w:vAlign w:val="center"/>
            <w:shd w:fill="F3F6F7"/>
            <w:tcMar>
              <w:top w:w="95" w:type="dxa"/>
              <w:bottom w:w="95" w:type="dxa"/>
              <w:start w:w="95" w:type="dxa"/>
              <w:end w:w="95" w:type="dxa"/>
            </w:tcMar>
          </w:tcPr>
          <w:p>
            <w:pPr>
              <w:spacing w:after="40"/>
            </w:pPr>
            <w:r>
              <w:rPr>
                <w:b w:val="0"/>
                <w:color w:val="000000"/>
                <w:sz w:val="18"/>
              </w:rPr>
              <w:t>Ensure source has one meaningful row per target key. Use a deterministic business ordering rule.</w:t>
            </w:r>
          </w:p>
        </w:tc>
      </w:tr>
      <w:tr>
        <w:trPr>
          <w:cantSplit/>
        </w:trPr>
        <w:tc>
          <w:tcPr>
            <w:tcW w:type="dxa" w:w="2952"/>
            <w:vAlign w:val="center"/>
            <w:shd w:fill="FFFFFF"/>
            <w:tcMar>
              <w:top w:w="95" w:type="dxa"/>
              <w:bottom w:w="95" w:type="dxa"/>
              <w:start w:w="95" w:type="dxa"/>
              <w:end w:w="95" w:type="dxa"/>
            </w:tcMar>
          </w:tcPr>
          <w:p>
            <w:pPr>
              <w:spacing w:after="40"/>
            </w:pPr>
            <w:r>
              <w:rPr>
                <w:b w:val="0"/>
                <w:color w:val="000000"/>
                <w:sz w:val="18"/>
              </w:rPr>
              <w:t>Plot library missing</w:t>
            </w:r>
          </w:p>
        </w:tc>
        <w:tc>
          <w:tcPr>
            <w:tcW w:type="dxa" w:w="7128"/>
            <w:vAlign w:val="center"/>
            <w:shd w:fill="FFFFFF"/>
            <w:tcMar>
              <w:top w:w="95" w:type="dxa"/>
              <w:bottom w:w="95" w:type="dxa"/>
              <w:start w:w="95" w:type="dxa"/>
              <w:end w:w="95" w:type="dxa"/>
            </w:tcMar>
          </w:tcPr>
          <w:p>
            <w:pPr>
              <w:spacing w:after="40"/>
            </w:pPr>
            <w:r>
              <w:rPr>
                <w:b w:val="0"/>
                <w:color w:val="000000"/>
                <w:sz w:val="18"/>
              </w:rPr>
              <w:t>Use a trainer-approved environment dependency. Restart as required and rerun configuration.</w:t>
            </w:r>
          </w:p>
        </w:tc>
      </w:tr>
      <w:tr>
        <w:trPr>
          <w:cantSplit/>
        </w:trPr>
        <w:tc>
          <w:tcPr>
            <w:tcW w:type="dxa" w:w="2952"/>
            <w:vAlign w:val="center"/>
            <w:shd w:fill="F3F6F7"/>
            <w:tcMar>
              <w:top w:w="95" w:type="dxa"/>
              <w:bottom w:w="95" w:type="dxa"/>
              <w:start w:w="95" w:type="dxa"/>
              <w:end w:w="95" w:type="dxa"/>
            </w:tcMar>
          </w:tcPr>
          <w:p>
            <w:pPr>
              <w:spacing w:after="40"/>
            </w:pPr>
            <w:r>
              <w:rPr>
                <w:b w:val="0"/>
                <w:color w:val="000000"/>
                <w:sz w:val="18"/>
              </w:rPr>
              <w:t>Dashboard filter has no effect</w:t>
            </w:r>
          </w:p>
        </w:tc>
        <w:tc>
          <w:tcPr>
            <w:tcW w:type="dxa" w:w="7128"/>
            <w:vAlign w:val="center"/>
            <w:shd w:fill="F3F6F7"/>
            <w:tcMar>
              <w:top w:w="95" w:type="dxa"/>
              <w:bottom w:w="95" w:type="dxa"/>
              <w:start w:w="95" w:type="dxa"/>
              <w:end w:w="95" w:type="dxa"/>
            </w:tcMar>
          </w:tcPr>
          <w:p>
            <w:pPr>
              <w:spacing w:after="40"/>
            </w:pPr>
            <w:r>
              <w:rPr>
                <w:b w:val="0"/>
                <w:color w:val="000000"/>
                <w:sz w:val="18"/>
              </w:rPr>
              <w:t>Verify dataset field binding and that visuals use that dataset. Check the published version.</w:t>
            </w:r>
          </w:p>
        </w:tc>
      </w:tr>
      <w:tr>
        <w:trPr>
          <w:cantSplit/>
        </w:trPr>
        <w:tc>
          <w:tcPr>
            <w:tcW w:type="dxa" w:w="2952"/>
            <w:vAlign w:val="center"/>
            <w:shd w:fill="FFFFFF"/>
            <w:tcMar>
              <w:top w:w="95" w:type="dxa"/>
              <w:bottom w:w="95" w:type="dxa"/>
              <w:start w:w="95" w:type="dxa"/>
              <w:end w:w="95" w:type="dxa"/>
            </w:tcMar>
          </w:tcPr>
          <w:p>
            <w:pPr>
              <w:spacing w:after="40"/>
            </w:pPr>
            <w:r>
              <w:rPr>
                <w:b w:val="0"/>
                <w:color w:val="000000"/>
                <w:sz w:val="18"/>
              </w:rPr>
              <w:t>BI authenticates but no table</w:t>
            </w:r>
          </w:p>
        </w:tc>
        <w:tc>
          <w:tcPr>
            <w:tcW w:type="dxa" w:w="7128"/>
            <w:vAlign w:val="center"/>
            <w:shd w:fill="FFFFFF"/>
            <w:tcMar>
              <w:top w:w="95" w:type="dxa"/>
              <w:bottom w:w="95" w:type="dxa"/>
              <w:start w:w="95" w:type="dxa"/>
              <w:end w:w="95" w:type="dxa"/>
            </w:tcMar>
          </w:tcPr>
          <w:p>
            <w:pPr>
              <w:spacing w:after="40"/>
            </w:pPr>
            <w:r>
              <w:rPr>
                <w:b w:val="0"/>
                <w:color w:val="000000"/>
                <w:sz w:val="18"/>
              </w:rPr>
              <w:t>Check USE CATALOG, USE SCHEMA, SELECT and warehouse CAN USE, then the selected catalog/schema.</w:t>
            </w:r>
          </w:p>
        </w:tc>
      </w:tr>
      <w:tr>
        <w:trPr>
          <w:cantSplit/>
        </w:trPr>
        <w:tc>
          <w:tcPr>
            <w:tcW w:type="dxa" w:w="2952"/>
            <w:vAlign w:val="center"/>
            <w:shd w:fill="F3F6F7"/>
            <w:tcMar>
              <w:top w:w="95" w:type="dxa"/>
              <w:bottom w:w="95" w:type="dxa"/>
              <w:start w:w="95" w:type="dxa"/>
              <w:end w:w="95" w:type="dxa"/>
            </w:tcMar>
          </w:tcPr>
          <w:p>
            <w:pPr>
              <w:spacing w:after="40"/>
            </w:pPr>
            <w:r>
              <w:rPr>
                <w:b w:val="0"/>
                <w:color w:val="000000"/>
                <w:sz w:val="18"/>
              </w:rPr>
              <w:t>Job succeeded but report stale</w:t>
            </w:r>
          </w:p>
        </w:tc>
        <w:tc>
          <w:tcPr>
            <w:tcW w:type="dxa" w:w="7128"/>
            <w:vAlign w:val="center"/>
            <w:shd w:fill="F3F6F7"/>
            <w:tcMar>
              <w:top w:w="95" w:type="dxa"/>
              <w:bottom w:w="95" w:type="dxa"/>
              <w:start w:w="95" w:type="dxa"/>
              <w:end w:w="95" w:type="dxa"/>
            </w:tcMar>
          </w:tcPr>
          <w:p>
            <w:pPr>
              <w:spacing w:after="40"/>
            </w:pPr>
            <w:r>
              <w:rPr>
                <w:b w:val="0"/>
                <w:color w:val="000000"/>
                <w:sz w:val="18"/>
              </w:rPr>
              <w:t>Refresh the report/dataset. Compare last successful pipeline time and report refresh time.</w:t>
            </w:r>
          </w:p>
        </w:tc>
      </w:tr>
    </w:tbl>
    <w:p/>
    <w:p>
      <w:r>
        <w:br w:type="page"/>
      </w:r>
    </w:p>
    <w:p>
      <w:pPr>
        <w:pStyle w:val="Heading1"/>
      </w:pPr>
      <w:r>
        <w:t>All topic coverage map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64"/>
        <w:gridCol w:w="3816"/>
      </w:tblGrid>
      <w:tr>
        <w:trPr>
          <w:cantSplit/>
          <w:tblHeader/>
        </w:trPr>
        <w:tc>
          <w:tcPr>
            <w:tcW w:type="dxa" w:w="6264"/>
            <w:vAlign w:val="center"/>
            <w:shd w:fill="173E50"/>
            <w:tcMar>
              <w:top w:w="95" w:type="dxa"/>
              <w:bottom w:w="95" w:type="dxa"/>
              <w:start w:w="95" w:type="dxa"/>
              <w:end w:w="95" w:type="dxa"/>
            </w:tcMar>
          </w:tcPr>
          <w:p>
            <w:pPr>
              <w:spacing w:after="40"/>
            </w:pPr>
            <w:r>
              <w:rPr>
                <w:b/>
                <w:color w:val="FFFFFF"/>
                <w:sz w:val="18"/>
              </w:rPr>
              <w:t>Day 17 schedule topic</w:t>
            </w:r>
          </w:p>
        </w:tc>
        <w:tc>
          <w:tcPr>
            <w:tcW w:type="dxa" w:w="3816"/>
            <w:vAlign w:val="center"/>
            <w:shd w:fill="173E50"/>
            <w:tcMar>
              <w:top w:w="95" w:type="dxa"/>
              <w:bottom w:w="95" w:type="dxa"/>
              <w:start w:w="95" w:type="dxa"/>
              <w:end w:w="95" w:type="dxa"/>
            </w:tcMar>
          </w:tcPr>
          <w:p>
            <w:pPr>
              <w:spacing w:after="40"/>
            </w:pPr>
            <w:r>
              <w:rPr>
                <w:b/>
                <w:color w:val="FFFFFF"/>
                <w:sz w:val="18"/>
              </w:rPr>
              <w:t>Where to practise</w:t>
            </w:r>
          </w:p>
        </w:tc>
      </w:tr>
      <w:tr>
        <w:trPr>
          <w:cantSplit/>
        </w:trPr>
        <w:tc>
          <w:tcPr>
            <w:tcW w:type="dxa" w:w="6264"/>
            <w:vAlign w:val="center"/>
            <w:shd w:fill="FFFFFF"/>
            <w:tcMar>
              <w:top w:w="95" w:type="dxa"/>
              <w:bottom w:w="95" w:type="dxa"/>
              <w:start w:w="95" w:type="dxa"/>
              <w:end w:w="95" w:type="dxa"/>
            </w:tcMar>
          </w:tcPr>
          <w:p>
            <w:pPr>
              <w:spacing w:after="40"/>
            </w:pPr>
            <w:r>
              <w:rPr>
                <w:b w:val="0"/>
                <w:color w:val="000000"/>
                <w:sz w:val="18"/>
              </w:rPr>
              <w:t>Advanced aggregations joins windows</w:t>
            </w:r>
          </w:p>
        </w:tc>
        <w:tc>
          <w:tcPr>
            <w:tcW w:type="dxa" w:w="3816"/>
            <w:vAlign w:val="center"/>
            <w:shd w:fill="FFFFFF"/>
            <w:tcMar>
              <w:top w:w="95" w:type="dxa"/>
              <w:bottom w:w="95" w:type="dxa"/>
              <w:start w:w="95" w:type="dxa"/>
              <w:end w:w="95" w:type="dxa"/>
            </w:tcMar>
          </w:tcPr>
          <w:p>
            <w:pPr>
              <w:spacing w:after="40"/>
            </w:pPr>
            <w:r>
              <w:rPr>
                <w:b w:val="0"/>
                <w:color w:val="000000"/>
                <w:sz w:val="18"/>
              </w:rPr>
              <w:t>Labs 8 to 12</w:t>
            </w:r>
          </w:p>
        </w:tc>
      </w:tr>
      <w:tr>
        <w:trPr>
          <w:cantSplit/>
        </w:trPr>
        <w:tc>
          <w:tcPr>
            <w:tcW w:type="dxa" w:w="6264"/>
            <w:vAlign w:val="center"/>
            <w:shd w:fill="F3F6F7"/>
            <w:tcMar>
              <w:top w:w="95" w:type="dxa"/>
              <w:bottom w:w="95" w:type="dxa"/>
              <w:start w:w="95" w:type="dxa"/>
              <w:end w:w="95" w:type="dxa"/>
            </w:tcMar>
          </w:tcPr>
          <w:p>
            <w:pPr>
              <w:spacing w:after="40"/>
            </w:pPr>
            <w:r>
              <w:rPr>
                <w:b w:val="0"/>
                <w:color w:val="000000"/>
                <w:sz w:val="18"/>
              </w:rPr>
              <w:t>Data engineering and ETL versus ELT</w:t>
            </w:r>
          </w:p>
        </w:tc>
        <w:tc>
          <w:tcPr>
            <w:tcW w:type="dxa" w:w="3816"/>
            <w:vAlign w:val="center"/>
            <w:shd w:fill="F3F6F7"/>
            <w:tcMar>
              <w:top w:w="95" w:type="dxa"/>
              <w:bottom w:w="95" w:type="dxa"/>
              <w:start w:w="95" w:type="dxa"/>
              <w:end w:w="95" w:type="dxa"/>
            </w:tcMar>
          </w:tcPr>
          <w:p>
            <w:pPr>
              <w:spacing w:after="40"/>
            </w:pPr>
            <w:r>
              <w:rPr>
                <w:b w:val="0"/>
                <w:color w:val="000000"/>
                <w:sz w:val="18"/>
              </w:rPr>
              <w:t>Labs 4 to 7 and 13</w:t>
            </w:r>
          </w:p>
        </w:tc>
      </w:tr>
      <w:tr>
        <w:trPr>
          <w:cantSplit/>
        </w:trPr>
        <w:tc>
          <w:tcPr>
            <w:tcW w:type="dxa" w:w="6264"/>
            <w:vAlign w:val="center"/>
            <w:shd w:fill="FFFFFF"/>
            <w:tcMar>
              <w:top w:w="95" w:type="dxa"/>
              <w:bottom w:w="95" w:type="dxa"/>
              <w:start w:w="95" w:type="dxa"/>
              <w:end w:w="95" w:type="dxa"/>
            </w:tcMar>
          </w:tcPr>
          <w:p>
            <w:pPr>
              <w:spacing w:after="40"/>
            </w:pPr>
            <w:r>
              <w:rPr>
                <w:b w:val="0"/>
                <w:color w:val="000000"/>
                <w:sz w:val="18"/>
              </w:rPr>
              <w:t>Reliable data lakes with Delta Lake</w:t>
            </w:r>
          </w:p>
        </w:tc>
        <w:tc>
          <w:tcPr>
            <w:tcW w:type="dxa" w:w="3816"/>
            <w:vAlign w:val="center"/>
            <w:shd w:fill="FFFFFF"/>
            <w:tcMar>
              <w:top w:w="95" w:type="dxa"/>
              <w:bottom w:w="95" w:type="dxa"/>
              <w:start w:w="95" w:type="dxa"/>
              <w:end w:w="95" w:type="dxa"/>
            </w:tcMar>
          </w:tcPr>
          <w:p>
            <w:pPr>
              <w:spacing w:after="40"/>
            </w:pPr>
            <w:r>
              <w:rPr>
                <w:b w:val="0"/>
                <w:color w:val="000000"/>
                <w:sz w:val="18"/>
              </w:rPr>
              <w:t>Labs 5 and 14 to 15</w:t>
            </w:r>
          </w:p>
        </w:tc>
      </w:tr>
      <w:tr>
        <w:trPr>
          <w:cantSplit/>
        </w:trPr>
        <w:tc>
          <w:tcPr>
            <w:tcW w:type="dxa" w:w="6264"/>
            <w:vAlign w:val="center"/>
            <w:shd w:fill="F3F6F7"/>
            <w:tcMar>
              <w:top w:w="95" w:type="dxa"/>
              <w:bottom w:w="95" w:type="dxa"/>
              <w:start w:w="95" w:type="dxa"/>
              <w:end w:w="95" w:type="dxa"/>
            </w:tcMar>
          </w:tcPr>
          <w:p>
            <w:pPr>
              <w:spacing w:after="40"/>
            </w:pPr>
            <w:r>
              <w:rPr>
                <w:b w:val="0"/>
                <w:color w:val="000000"/>
                <w:sz w:val="18"/>
              </w:rPr>
              <w:t>Jobs task orchestration and schedules</w:t>
            </w:r>
          </w:p>
        </w:tc>
        <w:tc>
          <w:tcPr>
            <w:tcW w:type="dxa" w:w="3816"/>
            <w:vAlign w:val="center"/>
            <w:shd w:fill="F3F6F7"/>
            <w:tcMar>
              <w:top w:w="95" w:type="dxa"/>
              <w:bottom w:w="95" w:type="dxa"/>
              <w:start w:w="95" w:type="dxa"/>
              <w:end w:w="95" w:type="dxa"/>
            </w:tcMar>
          </w:tcPr>
          <w:p>
            <w:pPr>
              <w:spacing w:after="40"/>
            </w:pPr>
            <w:r>
              <w:rPr>
                <w:b w:val="0"/>
                <w:color w:val="000000"/>
                <w:sz w:val="18"/>
              </w:rPr>
              <w:t>Labs 17 to 19</w:t>
            </w:r>
          </w:p>
        </w:tc>
      </w:tr>
      <w:tr>
        <w:trPr>
          <w:cantSplit/>
        </w:trPr>
        <w:tc>
          <w:tcPr>
            <w:tcW w:type="dxa" w:w="6264"/>
            <w:vAlign w:val="center"/>
            <w:shd w:fill="FFFFFF"/>
            <w:tcMar>
              <w:top w:w="95" w:type="dxa"/>
              <w:bottom w:w="95" w:type="dxa"/>
              <w:start w:w="95" w:type="dxa"/>
              <w:end w:w="95" w:type="dxa"/>
            </w:tcMar>
          </w:tcPr>
          <w:p>
            <w:pPr>
              <w:spacing w:after="40"/>
            </w:pPr>
            <w:r>
              <w:rPr>
                <w:b w:val="0"/>
                <w:color w:val="000000"/>
                <w:sz w:val="18"/>
              </w:rPr>
              <w:t>Sources and ingestion</w:t>
            </w:r>
          </w:p>
        </w:tc>
        <w:tc>
          <w:tcPr>
            <w:tcW w:type="dxa" w:w="3816"/>
            <w:vAlign w:val="center"/>
            <w:shd w:fill="FFFFFF"/>
            <w:tcMar>
              <w:top w:w="95" w:type="dxa"/>
              <w:bottom w:w="95" w:type="dxa"/>
              <w:start w:w="95" w:type="dxa"/>
              <w:end w:w="95" w:type="dxa"/>
            </w:tcMar>
          </w:tcPr>
          <w:p>
            <w:pPr>
              <w:spacing w:after="40"/>
            </w:pPr>
            <w:r>
              <w:rPr>
                <w:b w:val="0"/>
                <w:color w:val="000000"/>
                <w:sz w:val="18"/>
              </w:rPr>
              <w:t>Labs 3 to 5</w:t>
            </w:r>
          </w:p>
        </w:tc>
      </w:tr>
      <w:tr>
        <w:trPr>
          <w:cantSplit/>
        </w:trPr>
        <w:tc>
          <w:tcPr>
            <w:tcW w:type="dxa" w:w="6264"/>
            <w:vAlign w:val="center"/>
            <w:shd w:fill="F3F6F7"/>
            <w:tcMar>
              <w:top w:w="95" w:type="dxa"/>
              <w:bottom w:w="95" w:type="dxa"/>
              <w:start w:w="95" w:type="dxa"/>
              <w:end w:w="95" w:type="dxa"/>
            </w:tcMar>
          </w:tcPr>
          <w:p>
            <w:pPr>
              <w:spacing w:after="40"/>
            </w:pPr>
            <w:r>
              <w:rPr>
                <w:b w:val="0"/>
                <w:color w:val="000000"/>
                <w:sz w:val="18"/>
              </w:rPr>
              <w:t>PySpark and Databricks SQL cleaning</w:t>
            </w:r>
          </w:p>
        </w:tc>
        <w:tc>
          <w:tcPr>
            <w:tcW w:type="dxa" w:w="3816"/>
            <w:vAlign w:val="center"/>
            <w:shd w:fill="F3F6F7"/>
            <w:tcMar>
              <w:top w:w="95" w:type="dxa"/>
              <w:bottom w:w="95" w:type="dxa"/>
              <w:start w:w="95" w:type="dxa"/>
              <w:end w:w="95" w:type="dxa"/>
            </w:tcMar>
          </w:tcPr>
          <w:p>
            <w:pPr>
              <w:spacing w:after="40"/>
            </w:pPr>
            <w:r>
              <w:rPr>
                <w:b w:val="0"/>
                <w:color w:val="000000"/>
                <w:sz w:val="18"/>
              </w:rPr>
              <w:t>Labs 6 to 7 and 12</w:t>
            </w:r>
          </w:p>
        </w:tc>
      </w:tr>
      <w:tr>
        <w:trPr>
          <w:cantSplit/>
        </w:trPr>
        <w:tc>
          <w:tcPr>
            <w:tcW w:type="dxa" w:w="6264"/>
            <w:vAlign w:val="center"/>
            <w:shd w:fill="FFFFFF"/>
            <w:tcMar>
              <w:top w:w="95" w:type="dxa"/>
              <w:bottom w:w="95" w:type="dxa"/>
              <w:start w:w="95" w:type="dxa"/>
              <w:end w:w="95" w:type="dxa"/>
            </w:tcMar>
          </w:tcPr>
          <w:p>
            <w:pPr>
              <w:spacing w:after="40"/>
            </w:pPr>
            <w:r>
              <w:rPr>
                <w:b w:val="0"/>
                <w:color w:val="000000"/>
                <w:sz w:val="18"/>
              </w:rPr>
              <w:t>Notebook exploration</w:t>
            </w:r>
          </w:p>
        </w:tc>
        <w:tc>
          <w:tcPr>
            <w:tcW w:type="dxa" w:w="3816"/>
            <w:vAlign w:val="center"/>
            <w:shd w:fill="FFFFFF"/>
            <w:tcMar>
              <w:top w:w="95" w:type="dxa"/>
              <w:bottom w:w="95" w:type="dxa"/>
              <w:start w:w="95" w:type="dxa"/>
              <w:end w:w="95" w:type="dxa"/>
            </w:tcMar>
          </w:tcPr>
          <w:p>
            <w:pPr>
              <w:spacing w:after="40"/>
            </w:pPr>
            <w:r>
              <w:rPr>
                <w:b w:val="0"/>
                <w:color w:val="000000"/>
                <w:sz w:val="18"/>
              </w:rPr>
              <w:t>Lab 16</w:t>
            </w:r>
          </w:p>
        </w:tc>
      </w:tr>
      <w:tr>
        <w:trPr>
          <w:cantSplit/>
        </w:trPr>
        <w:tc>
          <w:tcPr>
            <w:tcW w:type="dxa" w:w="6264"/>
            <w:vAlign w:val="center"/>
            <w:shd w:fill="F3F6F7"/>
            <w:tcMar>
              <w:top w:w="95" w:type="dxa"/>
              <w:bottom w:w="95" w:type="dxa"/>
              <w:start w:w="95" w:type="dxa"/>
              <w:end w:w="95" w:type="dxa"/>
            </w:tcMar>
          </w:tcPr>
          <w:p>
            <w:pPr>
              <w:spacing w:after="40"/>
            </w:pPr>
            <w:r>
              <w:rPr>
                <w:b w:val="0"/>
                <w:color w:val="000000"/>
                <w:sz w:val="18"/>
              </w:rPr>
              <w:t>Databricks Matplotlib Seaborn visualization</w:t>
            </w:r>
          </w:p>
        </w:tc>
        <w:tc>
          <w:tcPr>
            <w:tcW w:type="dxa" w:w="3816"/>
            <w:vAlign w:val="center"/>
            <w:shd w:fill="F3F6F7"/>
            <w:tcMar>
              <w:top w:w="95" w:type="dxa"/>
              <w:bottom w:w="95" w:type="dxa"/>
              <w:start w:w="95" w:type="dxa"/>
              <w:end w:w="95" w:type="dxa"/>
            </w:tcMar>
          </w:tcPr>
          <w:p>
            <w:pPr>
              <w:spacing w:after="40"/>
            </w:pPr>
            <w:r>
              <w:rPr>
                <w:b w:val="0"/>
                <w:color w:val="000000"/>
                <w:sz w:val="18"/>
              </w:rPr>
              <w:t>Labs 20 to 22</w:t>
            </w:r>
          </w:p>
        </w:tc>
      </w:tr>
      <w:tr>
        <w:trPr>
          <w:cantSplit/>
        </w:trPr>
        <w:tc>
          <w:tcPr>
            <w:tcW w:type="dxa" w:w="6264"/>
            <w:vAlign w:val="center"/>
            <w:shd w:fill="FFFFFF"/>
            <w:tcMar>
              <w:top w:w="95" w:type="dxa"/>
              <w:bottom w:w="95" w:type="dxa"/>
              <w:start w:w="95" w:type="dxa"/>
              <w:end w:w="95" w:type="dxa"/>
            </w:tcMar>
          </w:tcPr>
          <w:p>
            <w:pPr>
              <w:spacing w:after="40"/>
            </w:pPr>
            <w:r>
              <w:rPr>
                <w:b w:val="0"/>
                <w:color w:val="000000"/>
                <w:sz w:val="18"/>
              </w:rPr>
              <w:t>Interactive dashboards</w:t>
            </w:r>
          </w:p>
        </w:tc>
        <w:tc>
          <w:tcPr>
            <w:tcW w:type="dxa" w:w="3816"/>
            <w:vAlign w:val="center"/>
            <w:shd w:fill="FFFFFF"/>
            <w:tcMar>
              <w:top w:w="95" w:type="dxa"/>
              <w:bottom w:w="95" w:type="dxa"/>
              <w:start w:w="95" w:type="dxa"/>
              <w:end w:w="95" w:type="dxa"/>
            </w:tcMar>
          </w:tcPr>
          <w:p>
            <w:pPr>
              <w:spacing w:after="40"/>
            </w:pPr>
            <w:r>
              <w:rPr>
                <w:b w:val="0"/>
                <w:color w:val="000000"/>
                <w:sz w:val="18"/>
              </w:rPr>
              <w:t>Lab 23</w:t>
            </w:r>
          </w:p>
        </w:tc>
      </w:tr>
      <w:tr>
        <w:trPr>
          <w:cantSplit/>
        </w:trPr>
        <w:tc>
          <w:tcPr>
            <w:tcW w:type="dxa" w:w="6264"/>
            <w:vAlign w:val="center"/>
            <w:shd w:fill="F3F6F7"/>
            <w:tcMar>
              <w:top w:w="95" w:type="dxa"/>
              <w:bottom w:w="95" w:type="dxa"/>
              <w:start w:w="95" w:type="dxa"/>
              <w:end w:w="95" w:type="dxa"/>
            </w:tcMar>
          </w:tcPr>
          <w:p>
            <w:pPr>
              <w:spacing w:after="40"/>
            </w:pPr>
            <w:r>
              <w:rPr>
                <w:b w:val="0"/>
                <w:color w:val="000000"/>
                <w:sz w:val="18"/>
              </w:rPr>
              <w:t>Power BI and Tableau</w:t>
            </w:r>
          </w:p>
        </w:tc>
        <w:tc>
          <w:tcPr>
            <w:tcW w:type="dxa" w:w="3816"/>
            <w:vAlign w:val="center"/>
            <w:shd w:fill="F3F6F7"/>
            <w:tcMar>
              <w:top w:w="95" w:type="dxa"/>
              <w:bottom w:w="95" w:type="dxa"/>
              <w:start w:w="95" w:type="dxa"/>
              <w:end w:w="95" w:type="dxa"/>
            </w:tcMar>
          </w:tcPr>
          <w:p>
            <w:pPr>
              <w:spacing w:after="40"/>
            </w:pPr>
            <w:r>
              <w:rPr>
                <w:b w:val="0"/>
                <w:color w:val="000000"/>
                <w:sz w:val="18"/>
              </w:rPr>
              <w:t>Labs 24 to 25</w:t>
            </w:r>
          </w:p>
        </w:tc>
      </w:tr>
      <w:tr>
        <w:trPr>
          <w:cantSplit/>
        </w:trPr>
        <w:tc>
          <w:tcPr>
            <w:tcW w:type="dxa" w:w="6264"/>
            <w:vAlign w:val="center"/>
            <w:shd w:fill="FFFFFF"/>
            <w:tcMar>
              <w:top w:w="95" w:type="dxa"/>
              <w:bottom w:w="95" w:type="dxa"/>
              <w:start w:w="95" w:type="dxa"/>
              <w:end w:w="95" w:type="dxa"/>
            </w:tcMar>
          </w:tcPr>
          <w:p>
            <w:pPr>
              <w:spacing w:after="40"/>
            </w:pPr>
            <w:r>
              <w:rPr>
                <w:b w:val="0"/>
                <w:color w:val="000000"/>
                <w:sz w:val="18"/>
              </w:rPr>
              <w:t>Practical ELT and visualization exercise</w:t>
            </w:r>
          </w:p>
        </w:tc>
        <w:tc>
          <w:tcPr>
            <w:tcW w:type="dxa" w:w="3816"/>
            <w:vAlign w:val="center"/>
            <w:shd w:fill="FFFFFF"/>
            <w:tcMar>
              <w:top w:w="95" w:type="dxa"/>
              <w:bottom w:w="95" w:type="dxa"/>
              <w:start w:w="95" w:type="dxa"/>
              <w:end w:w="95" w:type="dxa"/>
            </w:tcMar>
          </w:tcPr>
          <w:p>
            <w:pPr>
              <w:spacing w:after="40"/>
            </w:pPr>
            <w:r>
              <w:rPr>
                <w:b w:val="0"/>
                <w:color w:val="000000"/>
                <w:sz w:val="18"/>
              </w:rPr>
              <w:t>End-to-end Labs 3 to 26</w:t>
            </w:r>
          </w:p>
        </w:tc>
      </w:tr>
    </w:tbl>
    <w:p/>
    <w:p>
      <w:pPr>
        <w:pStyle w:val="Heading2"/>
      </w:pPr>
      <w:r>
        <w:t>Completion record</w:t>
      </w:r>
    </w:p>
    <w:p>
      <w:r>
        <w:t>Learner name and schema  __________________________________________</w:t>
      </w:r>
    </w:p>
    <w:p>
      <w:r>
        <w:t>Gold row count and revenue  __________________________________________</w:t>
      </w:r>
    </w:p>
    <w:p>
      <w:r>
        <w:t>Successful job run identifier  __________________________________________</w:t>
      </w:r>
    </w:p>
    <w:p>
      <w:r>
        <w:t>Accessories filter result  __________________________________________</w:t>
      </w:r>
    </w:p>
    <w:p>
      <w:r>
        <w:t>September 16 filter result  __________________________________________</w:t>
      </w:r>
    </w:p>
    <w:p>
      <w:r>
        <w:t>External BI result or design walkthrough  __________________________________________</w:t>
      </w:r>
    </w:p>
    <w:p>
      <w:r>
        <w:t>Schedule paused and shared compute left safe  __________________________________________</w:t>
      </w:r>
    </w:p>
    <w:p>
      <w:r>
        <w:br w:type="page"/>
      </w:r>
    </w:p>
    <w:p>
      <w:pPr>
        <w:pStyle w:val="Heading1"/>
      </w:pPr>
      <w:r>
        <w:t>Official references</w:t>
      </w:r>
    </w:p>
    <w:p>
      <w:r>
        <w:t>Reference date 18 September 2026. UI location and feature availability can vary by workspace, entitlement and rollout. Use these official pages when rehearsing the current interface.</w:t>
      </w:r>
    </w:p>
    <w:p>
      <w:r>
        <w:t>Workspace  https://learn.microsoft.com/en-us/azure/databricks/admin/workspace/create-workspace</w:t>
      </w:r>
    </w:p>
    <w:p>
      <w:r>
        <w:t>Privileges  https://learn.microsoft.com/en-us/azure/databricks/data-governance/unity-catalog/access-control/privileges-reference</w:t>
      </w:r>
    </w:p>
    <w:p>
      <w:r>
        <w:t>Volumes  https://learn.microsoft.com/en-us/azure/databricks/volumes/</w:t>
      </w:r>
    </w:p>
    <w:p>
      <w:r>
        <w:t>Delta  https://learn.microsoft.com/en-us/azure/databricks/delta/tutorial</w:t>
      </w:r>
    </w:p>
    <w:p>
      <w:r>
        <w:t>Merge  https://learn.microsoft.com/en-us/azure/databricks/delta/merge</w:t>
      </w:r>
    </w:p>
    <w:p>
      <w:r>
        <w:t>Jobs  https://learn.microsoft.com/en-us/azure/databricks/jobs/</w:t>
      </w:r>
    </w:p>
    <w:p>
      <w:r>
        <w:t>Jobguide  https://learn.microsoft.com/en-us/azure/databricks/jobs/jobs-quickstart</w:t>
      </w:r>
    </w:p>
    <w:p>
      <w:r>
        <w:t>Schedule  https://learn.microsoft.com/en-us/azure/databricks/jobs/scheduled</w:t>
      </w:r>
    </w:p>
    <w:p>
      <w:r>
        <w:t>Dashboard  https://learn.microsoft.com/en-us/azure/databricks/dashboards/</w:t>
      </w:r>
    </w:p>
    <w:p>
      <w:r>
        <w:t>Dashguide  https://learn.microsoft.com/en-us/azure/databricks/dashboards/tutorials/create-dashboard</w:t>
      </w:r>
    </w:p>
    <w:p>
      <w:r>
        <w:t>Visual  https://learn.microsoft.com/en-us/azure/databricks/visualizations/</w:t>
      </w:r>
    </w:p>
    <w:p>
      <w:r>
        <w:t>Powerbi  https://learn.microsoft.com/en-us/azure/databricks/partners/bi/power-bi/desktop</w:t>
      </w:r>
    </w:p>
    <w:p>
      <w:r>
        <w:t>Tableau  https://learn.microsoft.com/en-us/azure/databricks/partners/bi/tableau</w:t>
      </w:r>
    </w:p>
    <w:p>
      <w:r>
        <w:t>Spark  https://spark.apache.org/docs/latest/api/python/reference/pyspark.sql/window.html</w:t>
      </w:r>
    </w:p>
    <w:p>
      <w:r>
        <w:t>Ingestion  https://learn.microsoft.com/en-us/azure/databricks/ingestion/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2"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DejaVu Sans" w:hAnsi="DejaVu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