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21 Azure Services Integration Lab Guide</w:t>
      </w:r>
    </w:p>
    <w:p>
      <w:r>
        <w:t>Build a daily sales pipeline with ADLS, Azure Data Factory, Azure Databricks and Azure Synapse Analytics. The lab covers every Day 21 topic in the supplied training schedule and uses four synthetic orders with known results.</w:t>
      </w:r>
    </w:p>
    <w:p>
      <w:r>
        <w:t>Audience: the 14-student Cencora training batch. Trainer provisions shared resources and access; students use assigned schemas and paths. This is a guided classroom solution, not a production deployment.</w:t>
      </w:r>
    </w:p>
    <w:p>
      <w:r>
        <w:t>Read the preparation section before teaching. Code is locally syntax checked; cloud execution has not been verified in your tenant. Complete one pilot run under the automation identity before the class.</w:t>
      </w:r>
    </w:p>
    <w:p>
      <w:pPr>
        <w:pStyle w:val="Heading1"/>
      </w:pPr>
      <w:r>
        <w:t>Learning outcomes and coverage</w:t>
      </w:r>
    </w:p>
    <w:p>
      <w:r>
        <w:t>Students will connect storage and compute, explain ADF components, run a parameterized notebook from a pipeline, query a reporting export in Synapse, recover a failure and explain governance boundaries.</w:t>
      </w:r>
    </w:p>
    <w:tbl>
      <w:tblPr>
        <w:tblW w:type="auto" w:w="0"/>
        <w:tblLayout w:type="fixed"/>
        <w:tblLook w:firstColumn="1" w:firstRow="1" w:lastColumn="0" w:lastRow="0" w:noHBand="0" w:noVBand="1" w:val="04A0"/>
      </w:tblPr>
      <w:tblGrid>
        <w:gridCol w:w="4968"/>
        <w:gridCol w:w="4968"/>
      </w:tblGrid>
      <w:tr>
        <w:trPr>
          <w:cantSplit/>
          <w:tblHeader/>
        </w:trPr>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Day 21 topic</w:t>
            </w:r>
          </w:p>
        </w:tc>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Lab coverage</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ADLS integration and best practices</w:t>
            </w:r>
          </w:p>
        </w:tc>
        <w:tc>
          <w:tcPr>
            <w:tcW w:type="dxa" w:w="4968"/>
            <w:tcBorders>
              <w:top w:val="single" w:sz="4" w:color="D9D9D9"/>
              <w:left w:val="single" w:sz="4" w:color="D9D9D9"/>
              <w:bottom w:val="single" w:sz="4" w:color="D9D9D9"/>
              <w:right w:val="single" w:sz="4" w:color="D9D9D9"/>
            </w:tcBorders>
          </w:tcPr>
          <w:p>
            <w:pPr>
              <w:spacing w:after="100"/>
            </w:pPr>
            <w:r>
              <w:rPr>
                <w:sz w:val="20"/>
              </w:rPr>
              <w:t>Labs 1 to 3 and 12</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Azure IAM and secure access</w:t>
            </w:r>
          </w:p>
        </w:tc>
        <w:tc>
          <w:tcPr>
            <w:tcW w:type="dxa" w:w="4968"/>
            <w:tcBorders>
              <w:top w:val="single" w:sz="4" w:color="D9D9D9"/>
              <w:left w:val="single" w:sz="4" w:color="D9D9D9"/>
              <w:bottom w:val="single" w:sz="4" w:color="D9D9D9"/>
              <w:right w:val="single" w:sz="4" w:color="D9D9D9"/>
            </w:tcBorders>
          </w:tcPr>
          <w:p>
            <w:pPr>
              <w:spacing w:after="100"/>
            </w:pPr>
            <w:r>
              <w:rPr>
                <w:sz w:val="20"/>
              </w:rPr>
              <w:t>Labs 2 and 5</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ADF ingestion and pipelines</w:t>
            </w:r>
          </w:p>
        </w:tc>
        <w:tc>
          <w:tcPr>
            <w:tcW w:type="dxa" w:w="4968"/>
            <w:tcBorders>
              <w:top w:val="single" w:sz="4" w:color="D9D9D9"/>
              <w:left w:val="single" w:sz="4" w:color="D9D9D9"/>
              <w:bottom w:val="single" w:sz="4" w:color="D9D9D9"/>
              <w:right w:val="single" w:sz="4" w:color="D9D9D9"/>
            </w:tcBorders>
          </w:tcPr>
          <w:p>
            <w:pPr>
              <w:spacing w:after="100"/>
            </w:pPr>
            <w:r>
              <w:rPr>
                <w:sz w:val="20"/>
              </w:rPr>
              <w:t>Labs 4 to 7</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Notebooks and jobs</w:t>
            </w:r>
          </w:p>
        </w:tc>
        <w:tc>
          <w:tcPr>
            <w:tcW w:type="dxa" w:w="4968"/>
            <w:tcBorders>
              <w:top w:val="single" w:sz="4" w:color="D9D9D9"/>
              <w:left w:val="single" w:sz="4" w:color="D9D9D9"/>
              <w:bottom w:val="single" w:sz="4" w:color="D9D9D9"/>
              <w:right w:val="single" w:sz="4" w:color="D9D9D9"/>
            </w:tcBorders>
          </w:tcPr>
          <w:p>
            <w:pPr>
              <w:spacing w:after="100"/>
            </w:pPr>
            <w:r>
              <w:rPr>
                <w:sz w:val="20"/>
              </w:rPr>
              <w:t>Labs 3 and 6</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Synapse and data movement</w:t>
            </w:r>
          </w:p>
        </w:tc>
        <w:tc>
          <w:tcPr>
            <w:tcW w:type="dxa" w:w="4968"/>
            <w:tcBorders>
              <w:top w:val="single" w:sz="4" w:color="D9D9D9"/>
              <w:left w:val="single" w:sz="4" w:color="D9D9D9"/>
              <w:bottom w:val="single" w:sz="4" w:color="D9D9D9"/>
              <w:right w:val="single" w:sz="4" w:color="D9D9D9"/>
            </w:tcBorders>
          </w:tcPr>
          <w:p>
            <w:pPr>
              <w:spacing w:after="100"/>
            </w:pPr>
            <w:r>
              <w:rPr>
                <w:sz w:val="20"/>
              </w:rPr>
              <w:t>Labs 9 and 10</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Scalability and resilience</w:t>
            </w:r>
          </w:p>
        </w:tc>
        <w:tc>
          <w:tcPr>
            <w:tcW w:type="dxa" w:w="4968"/>
            <w:tcBorders>
              <w:top w:val="single" w:sz="4" w:color="D9D9D9"/>
              <w:left w:val="single" w:sz="4" w:color="D9D9D9"/>
              <w:bottom w:val="single" w:sz="4" w:color="D9D9D9"/>
              <w:right w:val="single" w:sz="4" w:color="D9D9D9"/>
            </w:tcBorders>
          </w:tcPr>
          <w:p>
            <w:pPr>
              <w:spacing w:after="100"/>
            </w:pPr>
            <w:r>
              <w:rPr>
                <w:sz w:val="20"/>
              </w:rPr>
              <w:t>Labs 8 and 11</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Governance and management</w:t>
            </w:r>
          </w:p>
        </w:tc>
        <w:tc>
          <w:tcPr>
            <w:tcW w:type="dxa" w:w="4968"/>
            <w:tcBorders>
              <w:top w:val="single" w:sz="4" w:color="D9D9D9"/>
              <w:left w:val="single" w:sz="4" w:color="D9D9D9"/>
              <w:bottom w:val="single" w:sz="4" w:color="D9D9D9"/>
              <w:right w:val="single" w:sz="4" w:color="D9D9D9"/>
            </w:tcBorders>
          </w:tcPr>
          <w:p>
            <w:pPr>
              <w:spacing w:after="100"/>
            </w:pPr>
            <w:r>
              <w:rPr>
                <w:sz w:val="20"/>
              </w:rPr>
              <w:t>Lab 12</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End to end case study</w:t>
            </w:r>
          </w:p>
        </w:tc>
        <w:tc>
          <w:tcPr>
            <w:tcW w:type="dxa" w:w="4968"/>
            <w:tcBorders>
              <w:top w:val="single" w:sz="4" w:color="D9D9D9"/>
              <w:left w:val="single" w:sz="4" w:color="D9D9D9"/>
              <w:bottom w:val="single" w:sz="4" w:color="D9D9D9"/>
              <w:right w:val="single" w:sz="4" w:color="D9D9D9"/>
            </w:tcBorders>
          </w:tcPr>
          <w:p>
            <w:pPr>
              <w:spacing w:after="100"/>
            </w:pPr>
            <w:r>
              <w:rPr>
                <w:sz w:val="20"/>
              </w:rPr>
              <w:t>Labs 1 to 10</w:t>
            </w:r>
          </w:p>
        </w:tc>
      </w:tr>
    </w:tbl>
    <w:p/>
    <w:p>
      <w:pPr>
        <w:pStyle w:val="Heading1"/>
      </w:pPr>
      <w:r>
        <w:t>Session plan</w:t>
      </w:r>
    </w:p>
    <w:p>
      <w:r>
        <w:t>Suggested duration: 420 minutes including breaks. Provisioning and access approval should happen before the session.</w:t>
      </w:r>
    </w:p>
    <w:tbl>
      <w:tblPr>
        <w:tblW w:type="auto" w:w="0"/>
        <w:tblLayout w:type="fixed"/>
        <w:tblLook w:firstColumn="1" w:firstRow="1" w:lastColumn="0" w:lastRow="0" w:noHBand="0" w:noVBand="1" w:val="04A0"/>
      </w:tblPr>
      <w:tblGrid>
        <w:gridCol w:w="4968"/>
        <w:gridCol w:w="4968"/>
      </w:tblGrid>
      <w:tr>
        <w:trPr>
          <w:cantSplit/>
          <w:tblHeader/>
        </w:trPr>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Activity</w:t>
            </w:r>
          </w:p>
        </w:tc>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Minutes</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Architecture and access review</w:t>
            </w:r>
          </w:p>
        </w:tc>
        <w:tc>
          <w:tcPr>
            <w:tcW w:type="dxa" w:w="4968"/>
            <w:tcBorders>
              <w:top w:val="single" w:sz="4" w:color="D9D9D9"/>
              <w:left w:val="single" w:sz="4" w:color="D9D9D9"/>
              <w:bottom w:val="single" w:sz="4" w:color="D9D9D9"/>
              <w:right w:val="single" w:sz="4" w:color="D9D9D9"/>
            </w:tcBorders>
          </w:tcPr>
          <w:p>
            <w:pPr>
              <w:spacing w:after="100"/>
            </w:pPr>
            <w:r>
              <w:rPr>
                <w:sz w:val="20"/>
              </w:rPr>
              <w:t>45</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Storage and notebook</w:t>
            </w:r>
          </w:p>
        </w:tc>
        <w:tc>
          <w:tcPr>
            <w:tcW w:type="dxa" w:w="4968"/>
            <w:tcBorders>
              <w:top w:val="single" w:sz="4" w:color="D9D9D9"/>
              <w:left w:val="single" w:sz="4" w:color="D9D9D9"/>
              <w:bottom w:val="single" w:sz="4" w:color="D9D9D9"/>
              <w:right w:val="single" w:sz="4" w:color="D9D9D9"/>
            </w:tcBorders>
          </w:tcPr>
          <w:p>
            <w:pPr>
              <w:spacing w:after="100"/>
            </w:pPr>
            <w:r>
              <w:rPr>
                <w:sz w:val="20"/>
              </w:rPr>
              <w:t>70</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ADF copy and notebook integration</w:t>
            </w:r>
          </w:p>
        </w:tc>
        <w:tc>
          <w:tcPr>
            <w:tcW w:type="dxa" w:w="4968"/>
            <w:tcBorders>
              <w:top w:val="single" w:sz="4" w:color="D9D9D9"/>
              <w:left w:val="single" w:sz="4" w:color="D9D9D9"/>
              <w:bottom w:val="single" w:sz="4" w:color="D9D9D9"/>
              <w:right w:val="single" w:sz="4" w:color="D9D9D9"/>
            </w:tcBorders>
          </w:tcPr>
          <w:p>
            <w:pPr>
              <w:spacing w:after="100"/>
            </w:pPr>
            <w:r>
              <w:rPr>
                <w:sz w:val="20"/>
              </w:rPr>
              <w:t>100</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Failure and recovery</w:t>
            </w:r>
          </w:p>
        </w:tc>
        <w:tc>
          <w:tcPr>
            <w:tcW w:type="dxa" w:w="4968"/>
            <w:tcBorders>
              <w:top w:val="single" w:sz="4" w:color="D9D9D9"/>
              <w:left w:val="single" w:sz="4" w:color="D9D9D9"/>
              <w:bottom w:val="single" w:sz="4" w:color="D9D9D9"/>
              <w:right w:val="single" w:sz="4" w:color="D9D9D9"/>
            </w:tcBorders>
          </w:tcPr>
          <w:p>
            <w:pPr>
              <w:spacing w:after="100"/>
            </w:pPr>
            <w:r>
              <w:rPr>
                <w:sz w:val="20"/>
              </w:rPr>
              <w:t>35</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Synapse analytics</w:t>
            </w:r>
          </w:p>
        </w:tc>
        <w:tc>
          <w:tcPr>
            <w:tcW w:type="dxa" w:w="4968"/>
            <w:tcBorders>
              <w:top w:val="single" w:sz="4" w:color="D9D9D9"/>
              <w:left w:val="single" w:sz="4" w:color="D9D9D9"/>
              <w:bottom w:val="single" w:sz="4" w:color="D9D9D9"/>
              <w:right w:val="single" w:sz="4" w:color="D9D9D9"/>
            </w:tcBorders>
          </w:tcPr>
          <w:p>
            <w:pPr>
              <w:spacing w:after="100"/>
            </w:pPr>
            <w:r>
              <w:rPr>
                <w:sz w:val="20"/>
              </w:rPr>
              <w:t>55</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Architecture and governance exercises</w:t>
            </w:r>
          </w:p>
        </w:tc>
        <w:tc>
          <w:tcPr>
            <w:tcW w:type="dxa" w:w="4968"/>
            <w:tcBorders>
              <w:top w:val="single" w:sz="4" w:color="D9D9D9"/>
              <w:left w:val="single" w:sz="4" w:color="D9D9D9"/>
              <w:bottom w:val="single" w:sz="4" w:color="D9D9D9"/>
              <w:right w:val="single" w:sz="4" w:color="D9D9D9"/>
            </w:tcBorders>
          </w:tcPr>
          <w:p>
            <w:pPr>
              <w:spacing w:after="100"/>
            </w:pPr>
            <w:r>
              <w:rPr>
                <w:sz w:val="20"/>
              </w:rPr>
              <w:t>45</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Assessment and cleanup</w:t>
            </w:r>
          </w:p>
        </w:tc>
        <w:tc>
          <w:tcPr>
            <w:tcW w:type="dxa" w:w="4968"/>
            <w:tcBorders>
              <w:top w:val="single" w:sz="4" w:color="D9D9D9"/>
              <w:left w:val="single" w:sz="4" w:color="D9D9D9"/>
              <w:bottom w:val="single" w:sz="4" w:color="D9D9D9"/>
              <w:right w:val="single" w:sz="4" w:color="D9D9D9"/>
            </w:tcBorders>
          </w:tcPr>
          <w:p>
            <w:pPr>
              <w:spacing w:after="100"/>
            </w:pPr>
            <w:r>
              <w:rPr>
                <w:sz w:val="20"/>
              </w:rPr>
              <w:t>20</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Breaks</w:t>
            </w:r>
          </w:p>
        </w:tc>
        <w:tc>
          <w:tcPr>
            <w:tcW w:type="dxa" w:w="4968"/>
            <w:tcBorders>
              <w:top w:val="single" w:sz="4" w:color="D9D9D9"/>
              <w:left w:val="single" w:sz="4" w:color="D9D9D9"/>
              <w:bottom w:val="single" w:sz="4" w:color="D9D9D9"/>
              <w:right w:val="single" w:sz="4" w:color="D9D9D9"/>
            </w:tcBorders>
          </w:tcPr>
          <w:p>
            <w:pPr>
              <w:spacing w:after="100"/>
            </w:pPr>
            <w:r>
              <w:rPr>
                <w:sz w:val="20"/>
              </w:rPr>
              <w:t>50</w:t>
            </w:r>
          </w:p>
        </w:tc>
      </w:tr>
    </w:tbl>
    <w:p/>
    <w:p>
      <w:pPr>
        <w:pStyle w:val="Heading1"/>
      </w:pPr>
      <w:r>
        <w:t>Trainer preparation</w:t>
      </w:r>
    </w:p>
    <w:p>
      <w:r>
        <w:t>Reuse the verified workspace dbw-cdg-training-hybrid, storage account stcdgtraininglab01 and approved Standard-access compute if still available. Do not recreate the workspace or alter its managed resource group. Use a runtime supporting Unity Catalog volumes, such as the already tested 15.4 LTS or later.</w:t>
      </w:r>
    </w:p>
    <w:p>
      <w:r>
        <w:t>The example catalog training_lab_classic is a placeholder for a verified writable catalog with working managed storage. Its existence is not confirmed. Substitute your actual catalog everywhere. If the earlier training_lab Default Storage path still returns 403, resolve that before class.</w:t>
      </w:r>
    </w:p>
    <w:p>
      <w:r>
        <w:t>Prepare schemas student_01 through student_14, one shared ADF factory and one Synapse workspace with Built-in serverless SQL. Use dedicated Day21 resources where practical. Do not provision a dedicated SQL pool for the main exercise.</w:t>
      </w:r>
    </w:p>
    <w:p>
      <w:r>
        <w:t>Keep student runs in small waves to fit the shared cluster quota. Ensure the cluster is running before the test; do not grant students broad cluster-management privileges just to start it.</w:t>
      </w:r>
    </w:p>
    <w:p>
      <w:r>
        <w:t>Record subscription, resource group, workspace URL and resource ID, cluster ID, storage account, container, ADF identity principal/client IDs, catalog and student schema. Resource names and IDs are distinct.</w:t>
      </w:r>
    </w:p>
    <w:p>
      <w:r>
        <w:t>This lab uses one shared automation identity. It is a classroom convenience, not strict security isolation: users able to edit arbitrary pipelines or notebooks executed by that identity may exercise its permissions. Use synthetic data and trainer-controlled linked services; production needs separated identities and authoring boundaries.</w:t>
      </w:r>
    </w:p>
    <w:p>
      <w:pPr>
        <w:pStyle w:val="Heading1"/>
      </w:pPr>
      <w:r>
        <w:t>Architecture and resource responsibilities</w:t>
      </w:r>
    </w:p>
    <w:p>
      <w:r>
        <w:t>ADF first copies orders.csv to the landing path. After success it submits the Databricks notebook. Compute reads ADLS through Unity Catalog, writes Delta tables, and publishes a separate Parquet summary. Synapse queries the export after the run succeeds.</w:t>
      </w:r>
    </w:p>
    <w:tbl>
      <w:tblPr>
        <w:tblW w:type="auto" w:w="0"/>
        <w:tblLayout w:type="fixed"/>
        <w:tblLook w:firstColumn="1" w:firstRow="1" w:lastColumn="0" w:lastRow="0" w:noHBand="0" w:noVBand="1" w:val="04A0"/>
      </w:tblPr>
      <w:tblGrid>
        <w:gridCol w:w="4968"/>
        <w:gridCol w:w="4968"/>
      </w:tblGrid>
      <w:tr>
        <w:trPr>
          <w:cantSplit/>
          <w:tblHeader/>
        </w:trPr>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Component</w:t>
            </w:r>
          </w:p>
        </w:tc>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Responsibility</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ADLS day21 container</w:t>
            </w:r>
          </w:p>
        </w:tc>
        <w:tc>
          <w:tcPr>
            <w:tcW w:type="dxa" w:w="4968"/>
            <w:tcBorders>
              <w:top w:val="single" w:sz="4" w:color="D9D9D9"/>
              <w:left w:val="single" w:sz="4" w:color="D9D9D9"/>
              <w:bottom w:val="single" w:sz="4" w:color="D9D9D9"/>
              <w:right w:val="single" w:sz="4" w:color="D9D9D9"/>
            </w:tcBorders>
          </w:tcPr>
          <w:p>
            <w:pPr>
              <w:spacing w:after="100"/>
            </w:pPr>
            <w:r>
              <w:rPr>
                <w:sz w:val="20"/>
              </w:rPr>
              <w:t>Source, landing and reporting files</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ADF</w:t>
            </w:r>
          </w:p>
        </w:tc>
        <w:tc>
          <w:tcPr>
            <w:tcW w:type="dxa" w:w="4968"/>
            <w:tcBorders>
              <w:top w:val="single" w:sz="4" w:color="D9D9D9"/>
              <w:left w:val="single" w:sz="4" w:color="D9D9D9"/>
              <w:bottom w:val="single" w:sz="4" w:color="D9D9D9"/>
              <w:right w:val="single" w:sz="4" w:color="D9D9D9"/>
            </w:tcBorders>
          </w:tcPr>
          <w:p>
            <w:pPr>
              <w:spacing w:after="100"/>
            </w:pPr>
            <w:r>
              <w:rPr>
                <w:sz w:val="20"/>
              </w:rPr>
              <w:t>Copy and orchestration</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Databricks compute</w:t>
            </w:r>
          </w:p>
        </w:tc>
        <w:tc>
          <w:tcPr>
            <w:tcW w:type="dxa" w:w="4968"/>
            <w:tcBorders>
              <w:top w:val="single" w:sz="4" w:color="D9D9D9"/>
              <w:left w:val="single" w:sz="4" w:color="D9D9D9"/>
              <w:bottom w:val="single" w:sz="4" w:color="D9D9D9"/>
              <w:right w:val="single" w:sz="4" w:color="D9D9D9"/>
            </w:tcBorders>
          </w:tcPr>
          <w:p>
            <w:pPr>
              <w:spacing w:after="100"/>
            </w:pPr>
            <w:r>
              <w:rPr>
                <w:sz w:val="20"/>
              </w:rPr>
              <w:t>Run PySpark transformations</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Unity Catalog</w:t>
            </w:r>
          </w:p>
        </w:tc>
        <w:tc>
          <w:tcPr>
            <w:tcW w:type="dxa" w:w="4968"/>
            <w:tcBorders>
              <w:top w:val="single" w:sz="4" w:color="D9D9D9"/>
              <w:left w:val="single" w:sz="4" w:color="D9D9D9"/>
              <w:bottom w:val="single" w:sz="4" w:color="D9D9D9"/>
              <w:right w:val="single" w:sz="4" w:color="D9D9D9"/>
            </w:tcBorders>
          </w:tcPr>
          <w:p>
            <w:pPr>
              <w:spacing w:after="100"/>
            </w:pPr>
            <w:r>
              <w:rPr>
                <w:sz w:val="20"/>
              </w:rPr>
              <w:t>Govern tables, volume and storage access</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Synapse Built-in SQL</w:t>
            </w:r>
          </w:p>
        </w:tc>
        <w:tc>
          <w:tcPr>
            <w:tcW w:type="dxa" w:w="4968"/>
            <w:tcBorders>
              <w:top w:val="single" w:sz="4" w:color="D9D9D9"/>
              <w:left w:val="single" w:sz="4" w:color="D9D9D9"/>
              <w:bottom w:val="single" w:sz="4" w:color="D9D9D9"/>
              <w:right w:val="single" w:sz="4" w:color="D9D9D9"/>
            </w:tcBorders>
          </w:tcPr>
          <w:p>
            <w:pPr>
              <w:spacing w:after="100"/>
            </w:pPr>
            <w:r>
              <w:rPr>
                <w:sz w:val="20"/>
              </w:rPr>
              <w:t>Query approved Parquet reporting files</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Run history and logs</w:t>
            </w:r>
          </w:p>
        </w:tc>
        <w:tc>
          <w:tcPr>
            <w:tcW w:type="dxa" w:w="4968"/>
            <w:tcBorders>
              <w:top w:val="single" w:sz="4" w:color="D9D9D9"/>
              <w:left w:val="single" w:sz="4" w:color="D9D9D9"/>
              <w:bottom w:val="single" w:sz="4" w:color="D9D9D9"/>
              <w:right w:val="single" w:sz="4" w:color="D9D9D9"/>
            </w:tcBorders>
          </w:tcPr>
          <w:p>
            <w:pPr>
              <w:spacing w:after="100"/>
            </w:pPr>
            <w:r>
              <w:rPr>
                <w:sz w:val="20"/>
              </w:rPr>
              <w:t>Evidence of execution and errors</w:t>
            </w:r>
          </w:p>
        </w:tc>
      </w:tr>
    </w:tbl>
    <w:p/>
    <w:p>
      <w:pPr>
        <w:pStyle w:val="Heading1"/>
      </w:pPr>
      <w:r>
        <w:t>Lab 1 Prepare the sample and paths</w:t>
      </w:r>
    </w:p>
    <w:p>
      <w:r>
        <w:t>1. Trainer: in Azure Portal open the storage account. Confirm hierarchical namespace is enabled. Under Containers create a private container named day21. Do not place exchange files under Unity Catalog managed-table directories.</w:t>
      </w:r>
    </w:p>
    <w:p>
      <w:r>
        <w:t>2. Open day21 and create student_01/source/2026-09-24. Upload orders.csv from the code pack. Repeat for each assigned student path, or have authorized students upload their own copy. The header plus four data lines must be preserved.</w:t>
      </w:r>
    </w:p>
    <w:p>
      <w:r>
        <w:t>3. Expected source: day21/student_01/source/2026-09-24/orders.csv. ADF will write day21/student_01/landing/2026-09-24/orders.csv. Reporting output will use student_01/reporting/DATE/RUN_ID.</w:t>
      </w:r>
    </w:p>
    <w:p>
      <w:r>
        <w:t>4. Preserve the source file during this exercise. Copying input does not clean it.</w:t>
      </w:r>
    </w:p>
    <w:p>
      <w:pPr>
        <w:keepNext/>
        <w:spacing w:after="0" w:line="240" w:lineRule="auto"/>
      </w:pPr>
      <w:r>
        <w:rPr>
          <w:rFonts w:ascii="Liberation Mono" w:hAnsi="Liberation Mono"/>
          <w:sz w:val="17"/>
        </w:rPr>
        <w:t>order_id,city,amount</w:t>
      </w:r>
    </w:p>
    <w:p>
      <w:pPr>
        <w:keepNext/>
        <w:spacing w:after="0" w:line="240" w:lineRule="auto"/>
      </w:pPr>
      <w:r>
        <w:rPr>
          <w:rFonts w:ascii="Liberation Mono" w:hAnsi="Liberation Mono"/>
          <w:sz w:val="17"/>
        </w:rPr>
        <w:t>101,Bengaluru,100</w:t>
      </w:r>
    </w:p>
    <w:p>
      <w:pPr>
        <w:keepNext/>
        <w:spacing w:after="0" w:line="240" w:lineRule="auto"/>
      </w:pPr>
      <w:r>
        <w:rPr>
          <w:rFonts w:ascii="Liberation Mono" w:hAnsi="Liberation Mono"/>
          <w:sz w:val="17"/>
        </w:rPr>
        <w:t>102,Pune,200</w:t>
      </w:r>
    </w:p>
    <w:p>
      <w:pPr>
        <w:keepNext/>
        <w:spacing w:after="0" w:line="240" w:lineRule="auto"/>
      </w:pPr>
      <w:r>
        <w:rPr>
          <w:rFonts w:ascii="Liberation Mono" w:hAnsi="Liberation Mono"/>
          <w:sz w:val="17"/>
        </w:rPr>
        <w:t>103,Bengaluru,300</w:t>
      </w:r>
    </w:p>
    <w:p>
      <w:pPr>
        <w:keepNext w:val="0"/>
        <w:spacing w:after="0" w:line="240" w:lineRule="auto"/>
      </w:pPr>
      <w:r>
        <w:rPr>
          <w:rFonts w:ascii="Liberation Mono" w:hAnsi="Liberation Mono"/>
          <w:sz w:val="17"/>
        </w:rPr>
        <w:t>104,Pune,-50</w:t>
      </w:r>
    </w:p>
    <w:p/>
    <w:p>
      <w:pPr>
        <w:pStyle w:val="Heading1"/>
      </w:pPr>
      <w:r>
        <w:t>Lab 2 Configure storage access and Unity Catalog</w:t>
      </w:r>
    </w:p>
    <w:p>
      <w:r>
        <w:t>1. Trainer: verify the existing Access Connector identity from its current resource JSON. Grant its managed identity Storage Blob Data Contributor on the dedicated day21 container. Reuse a verified STORAGE credential referencing that identity. This is not an Event Hubs service credential.</w:t>
      </w:r>
    </w:p>
    <w:p>
      <w:r>
        <w:t>2. In Databricks Catalog Explorer open External Data, External Locations and create day21_exchange_location for abfss://day21@stcdgtraininglab01.dfs.core.windows.net/ using the verified storage credential. Validate read/write access. Do not overlap a managed storage root.</w:t>
      </w:r>
    </w:p>
    <w:p>
      <w:r>
        <w:t>3. If only optional file-events validation fails, use the documented creation path without file events where allowed; this batch exercise does not require them. A basic read or write failure must be corrected first.</w:t>
      </w:r>
    </w:p>
    <w:p>
      <w:r>
        <w:t>4. As an authorized schema owner with CREATE VOLUME on the schema and CREATE EXTERNAL VOLUME on the external location, create the student external volume below. Do not recreate an existing volume without inspecting its location.</w:t>
      </w:r>
    </w:p>
    <w:p>
      <w:r>
        <w:t>5. Apply grants to the assigned student and, later, the ADF execution service principal. Substitute its real Databricks principal identifier. Existing inherited grants still apply. Repeat with each student schema and storage directory.</w:t>
      </w:r>
    </w:p>
    <w:p>
      <w:r>
        <w:t>6. Check network reachability independently of permissions. Private endpoints require approved routes and DNS from each runtime. Do not broadly open a firewall to work around a 403.</w:t>
      </w:r>
    </w:p>
    <w:p>
      <w:pPr>
        <w:keepNext/>
        <w:spacing w:after="0" w:line="240" w:lineRule="auto"/>
      </w:pPr>
      <w:r>
        <w:rPr>
          <w:rFonts w:ascii="Liberation Mono" w:hAnsi="Liberation Mono"/>
          <w:sz w:val="17"/>
        </w:rPr>
        <w:t>-- Trainer: substitute verified catalog, student and principal.</w:t>
      </w:r>
    </w:p>
    <w:p>
      <w:pPr>
        <w:keepNext/>
        <w:spacing w:after="0" w:line="240" w:lineRule="auto"/>
      </w:pPr>
      <w:r>
        <w:rPr>
          <w:rFonts w:ascii="Liberation Mono" w:hAnsi="Liberation Mono"/>
          <w:sz w:val="17"/>
        </w:rPr>
        <w:t>CREATE EXTERNAL VOLUME IF NOT EXISTS</w:t>
      </w:r>
    </w:p>
    <w:p>
      <w:pPr>
        <w:keepNext/>
        <w:spacing w:after="0" w:line="240" w:lineRule="auto"/>
      </w:pPr>
      <w:r>
        <w:rPr>
          <w:rFonts w:ascii="Liberation Mono" w:hAnsi="Liberation Mono"/>
          <w:sz w:val="17"/>
        </w:rPr>
        <w:t xml:space="preserve">  training_lab_classic.student_01.day21_exchange</w:t>
      </w:r>
    </w:p>
    <w:p>
      <w:pPr>
        <w:keepNext/>
        <w:spacing w:after="0" w:line="240" w:lineRule="auto"/>
      </w:pPr>
      <w:r>
        <w:rPr>
          <w:rFonts w:ascii="Liberation Mono" w:hAnsi="Liberation Mono"/>
          <w:sz w:val="17"/>
        </w:rPr>
        <w:t>LOCATION 'abfss://day21@stcdgtraininglab01.dfs.core.windows.net/student_01';</w:t>
      </w:r>
    </w:p>
    <w:p>
      <w:pPr>
        <w:keepNext/>
        <w:spacing w:after="0" w:line="240" w:lineRule="auto"/>
      </w:pPr>
      <w:r>
        <w:rPr>
          <w:rFonts w:ascii="Liberation Mono" w:hAnsi="Liberation Mono"/>
          <w:sz w:val="17"/>
        </w:rPr>
        <w:t>GRANT USE CATALOG ON CATALOG training_lab_classic TO `PRINCIPAL`;</w:t>
      </w:r>
    </w:p>
    <w:p>
      <w:pPr>
        <w:keepNext/>
        <w:spacing w:after="0" w:line="240" w:lineRule="auto"/>
      </w:pPr>
      <w:r>
        <w:rPr>
          <w:rFonts w:ascii="Liberation Mono" w:hAnsi="Liberation Mono"/>
          <w:sz w:val="17"/>
        </w:rPr>
        <w:t>GRANT USE SCHEMA ON SCHEMA training_lab_classic.student_01</w:t>
      </w:r>
    </w:p>
    <w:p>
      <w:pPr>
        <w:keepNext/>
        <w:spacing w:after="0" w:line="240" w:lineRule="auto"/>
      </w:pPr>
      <w:r>
        <w:rPr>
          <w:rFonts w:ascii="Liberation Mono" w:hAnsi="Liberation Mono"/>
          <w:sz w:val="17"/>
        </w:rPr>
        <w:t xml:space="preserve">  TO `PRINCIPAL`;</w:t>
      </w:r>
    </w:p>
    <w:p>
      <w:pPr>
        <w:keepNext/>
        <w:spacing w:after="0" w:line="240" w:lineRule="auto"/>
      </w:pPr>
      <w:r>
        <w:rPr>
          <w:rFonts w:ascii="Liberation Mono" w:hAnsi="Liberation Mono"/>
          <w:sz w:val="17"/>
        </w:rPr>
        <w:t>GRANT CREATE TABLE ON SCHEMA training_lab_classic.student_01</w:t>
      </w:r>
    </w:p>
    <w:p>
      <w:pPr>
        <w:keepNext/>
        <w:spacing w:after="0" w:line="240" w:lineRule="auto"/>
      </w:pPr>
      <w:r>
        <w:rPr>
          <w:rFonts w:ascii="Liberation Mono" w:hAnsi="Liberation Mono"/>
          <w:sz w:val="17"/>
        </w:rPr>
        <w:t xml:space="preserve">  TO `PRINCIPAL`;</w:t>
      </w:r>
    </w:p>
    <w:p>
      <w:pPr>
        <w:keepNext/>
        <w:spacing w:after="0" w:line="240" w:lineRule="auto"/>
      </w:pPr>
      <w:r>
        <w:rPr>
          <w:rFonts w:ascii="Liberation Mono" w:hAnsi="Liberation Mono"/>
          <w:sz w:val="17"/>
        </w:rPr>
        <w:t>GRANT READ VOLUME, WRITE VOLUME ON VOLUME</w:t>
      </w:r>
    </w:p>
    <w:p>
      <w:pPr>
        <w:keepNext w:val="0"/>
        <w:spacing w:after="0" w:line="240" w:lineRule="auto"/>
      </w:pPr>
      <w:r>
        <w:rPr>
          <w:rFonts w:ascii="Liberation Mono" w:hAnsi="Liberation Mono"/>
          <w:sz w:val="17"/>
        </w:rPr>
        <w:t xml:space="preserve">  training_lab_classic.student_01.day21_exchange TO `PRINCIPAL`;</w:t>
      </w:r>
    </w:p>
    <w:p/>
    <w:p>
      <w:pPr>
        <w:pStyle w:val="Heading1"/>
      </w:pPr>
      <w:r>
        <w:t>Lab 3 Import and test the notebook</w:t>
      </w:r>
    </w:p>
    <w:p>
      <w:r>
        <w:t>1. Import day21_transform.ipynb into your own Workspace folder Day21. The .py file is an alternate Databricks-source format; import one format. Attach to approved compute.</w:t>
      </w:r>
    </w:p>
    <w:p>
      <w:r>
        <w:t>2. Run the first cell, set catalog and assigned schema widgets, then run the cell again. Set processing_date to 2026-09-24, run_id to manual01 and simulate_failure to false.</w:t>
      </w:r>
    </w:p>
    <w:p>
      <w:r>
        <w:t>3. For the first manual test only, copy the CSV through Storage Browser into the exact landing path. Later the ADF copy activity will perform this step. Confirm the file is there before running the transform cell.</w:t>
      </w:r>
    </w:p>
    <w:p>
      <w:r>
        <w:t>4. Run transformation. Expect four Bronze rows, three Silver rows, one quarantine row, and two Gold rows totaling INR 600. Run the final exit cell to see the JSON result.</w:t>
      </w:r>
    </w:p>
    <w:p>
      <w:r>
        <w:t>The assertions are intentionally specific to this sample. For production replace them with meaningful data contracts; do not require every business file to contain exactly four records.</w:t>
      </w:r>
    </w:p>
    <w:p>
      <w:pPr>
        <w:keepNext w:val="0"/>
        <w:spacing w:after="0" w:line="240" w:lineRule="auto"/>
      </w:pPr>
      <w:r>
        <w:rPr>
          <w:rFonts w:ascii="Liberation Mono" w:hAnsi="Liberation Mono"/>
          <w:sz w:val="17"/>
        </w:rPr>
        <w:t>import re, json</w:t>
      </w:r>
    </w:p>
    <w:p>
      <w:pPr>
        <w:keepNext w:val="0"/>
        <w:spacing w:after="0" w:line="240" w:lineRule="auto"/>
      </w:pPr>
      <w:r>
        <w:rPr>
          <w:rFonts w:ascii="Liberation Mono" w:hAnsi="Liberation Mono"/>
          <w:sz w:val="17"/>
        </w:rPr>
        <w:t>from pyspark.sql import functions as F</w:t>
      </w:r>
    </w:p>
    <w:p>
      <w:pPr>
        <w:keepNext w:val="0"/>
        <w:spacing w:after="0" w:line="240" w:lineRule="auto"/>
      </w:pPr>
      <w:r>
        <w:rPr>
          <w:rFonts w:ascii="Liberation Mono" w:hAnsi="Liberation Mono"/>
          <w:sz w:val="17"/>
        </w:rPr>
        <w:t>for name, default in [</w:t>
      </w:r>
    </w:p>
    <w:p>
      <w:pPr>
        <w:keepNext w:val="0"/>
        <w:spacing w:after="0" w:line="240" w:lineRule="auto"/>
      </w:pPr>
      <w:r>
        <w:rPr>
          <w:rFonts w:ascii="Liberation Mono" w:hAnsi="Liberation Mono"/>
          <w:sz w:val="17"/>
        </w:rPr>
        <w:t xml:space="preserve">    ("catalog", "training_lab_classic"),</w:t>
      </w:r>
    </w:p>
    <w:p>
      <w:pPr>
        <w:keepNext w:val="0"/>
        <w:spacing w:after="0" w:line="240" w:lineRule="auto"/>
      </w:pPr>
      <w:r>
        <w:rPr>
          <w:rFonts w:ascii="Liberation Mono" w:hAnsi="Liberation Mono"/>
          <w:sz w:val="17"/>
        </w:rPr>
        <w:t xml:space="preserve">    ("schema", "student_01"),</w:t>
      </w:r>
    </w:p>
    <w:p>
      <w:pPr>
        <w:keepNext w:val="0"/>
        <w:spacing w:after="0" w:line="240" w:lineRule="auto"/>
      </w:pPr>
      <w:r>
        <w:rPr>
          <w:rFonts w:ascii="Liberation Mono" w:hAnsi="Liberation Mono"/>
          <w:sz w:val="17"/>
        </w:rPr>
        <w:t xml:space="preserve">    ("processing_date", "2026-09-24"),</w:t>
      </w:r>
    </w:p>
    <w:p>
      <w:pPr>
        <w:keepNext w:val="0"/>
        <w:spacing w:after="0" w:line="240" w:lineRule="auto"/>
      </w:pPr>
      <w:r>
        <w:rPr>
          <w:rFonts w:ascii="Liberation Mono" w:hAnsi="Liberation Mono"/>
          <w:sz w:val="17"/>
        </w:rPr>
        <w:t xml:space="preserve">    ("run_id", "manual01"),</w:t>
      </w:r>
    </w:p>
    <w:p>
      <w:pPr>
        <w:keepNext w:val="0"/>
        <w:spacing w:after="0" w:line="240" w:lineRule="auto"/>
      </w:pPr>
      <w:r>
        <w:rPr>
          <w:rFonts w:ascii="Liberation Mono" w:hAnsi="Liberation Mono"/>
          <w:sz w:val="17"/>
        </w:rPr>
        <w:t xml:space="preserve">    ("simulate_failure", "false")</w:t>
      </w:r>
    </w:p>
    <w:p>
      <w:pPr>
        <w:keepNext w:val="0"/>
        <w:spacing w:after="0" w:line="240" w:lineRule="auto"/>
      </w:pPr>
      <w:r>
        <w:rPr>
          <w:rFonts w:ascii="Liberation Mono" w:hAnsi="Liberation Mono"/>
          <w:sz w:val="17"/>
        </w:rPr>
        <w:t>]:</w:t>
      </w:r>
    </w:p>
    <w:p>
      <w:pPr>
        <w:keepNext w:val="0"/>
        <w:spacing w:after="0" w:line="240" w:lineRule="auto"/>
      </w:pPr>
      <w:r>
        <w:rPr>
          <w:rFonts w:ascii="Liberation Mono" w:hAnsi="Liberation Mono"/>
          <w:sz w:val="17"/>
        </w:rPr>
        <w:t xml:space="preserve">    dbutils.widgets.text(name, default)</w:t>
      </w:r>
    </w:p>
    <w:p>
      <w:pPr>
        <w:keepNext w:val="0"/>
        <w:spacing w:after="0" w:line="240" w:lineRule="auto"/>
      </w:pPr>
      <w:r>
        <w:rPr>
          <w:rFonts w:ascii="Liberation Mono" w:hAnsi="Liberation Mono"/>
          <w:sz w:val="17"/>
        </w:rPr>
        <w:t>catalog = dbutils.widgets.get("catalog")</w:t>
      </w:r>
    </w:p>
    <w:p>
      <w:pPr>
        <w:keepNext w:val="0"/>
        <w:spacing w:after="0" w:line="240" w:lineRule="auto"/>
      </w:pPr>
      <w:r>
        <w:rPr>
          <w:rFonts w:ascii="Liberation Mono" w:hAnsi="Liberation Mono"/>
          <w:sz w:val="17"/>
        </w:rPr>
        <w:t>schema = dbutils.widgets.get("schema")</w:t>
      </w:r>
    </w:p>
    <w:p>
      <w:pPr>
        <w:keepNext w:val="0"/>
        <w:spacing w:after="0" w:line="240" w:lineRule="auto"/>
      </w:pPr>
      <w:r>
        <w:rPr>
          <w:rFonts w:ascii="Liberation Mono" w:hAnsi="Liberation Mono"/>
          <w:sz w:val="17"/>
        </w:rPr>
        <w:t>day = dbutils.widgets.get("processing_date")</w:t>
      </w:r>
    </w:p>
    <w:p>
      <w:pPr>
        <w:keepNext w:val="0"/>
        <w:spacing w:after="0" w:line="240" w:lineRule="auto"/>
      </w:pPr>
      <w:r>
        <w:rPr>
          <w:rFonts w:ascii="Liberation Mono" w:hAnsi="Liberation Mono"/>
          <w:sz w:val="17"/>
        </w:rPr>
        <w:t>run_id = dbutils.widgets.get("run_id")</w:t>
      </w:r>
    </w:p>
    <w:p>
      <w:pPr>
        <w:keepNext w:val="0"/>
        <w:spacing w:after="0" w:line="240" w:lineRule="auto"/>
      </w:pPr>
      <w:r>
        <w:rPr>
          <w:rFonts w:ascii="Liberation Mono" w:hAnsi="Liberation Mono"/>
          <w:sz w:val="17"/>
        </w:rPr>
        <w:t>assert re.fullmatch(r"[A-Za-z_][A-Za-z0-9_]*", catalog)</w:t>
      </w:r>
    </w:p>
    <w:p>
      <w:pPr>
        <w:keepNext w:val="0"/>
        <w:spacing w:after="0" w:line="240" w:lineRule="auto"/>
      </w:pPr>
      <w:r>
        <w:rPr>
          <w:rFonts w:ascii="Liberation Mono" w:hAnsi="Liberation Mono"/>
          <w:sz w:val="17"/>
        </w:rPr>
        <w:t>assert re.fullmatch(r"student_(0[1-9]|1[0-4])", schema)</w:t>
      </w:r>
    </w:p>
    <w:p>
      <w:pPr>
        <w:keepNext w:val="0"/>
        <w:spacing w:after="0" w:line="240" w:lineRule="auto"/>
      </w:pPr>
      <w:r>
        <w:rPr>
          <w:rFonts w:ascii="Liberation Mono" w:hAnsi="Liberation Mono"/>
          <w:sz w:val="17"/>
        </w:rPr>
        <w:t>assert re.fullmatch(r"[0-9]{4}-[0-9]{2}-[0-9]{2}", day)</w:t>
      </w:r>
    </w:p>
    <w:p>
      <w:pPr>
        <w:keepNext w:val="0"/>
        <w:spacing w:after="0" w:line="240" w:lineRule="auto"/>
      </w:pPr>
      <w:r>
        <w:rPr>
          <w:rFonts w:ascii="Liberation Mono" w:hAnsi="Liberation Mono"/>
          <w:sz w:val="17"/>
        </w:rPr>
        <w:t>assert re.fullmatch(r"[A-Za-z0-9_-]+", run_id)</w:t>
      </w:r>
    </w:p>
    <w:p>
      <w:pPr>
        <w:keepNext w:val="0"/>
        <w:spacing w:after="0" w:line="240" w:lineRule="auto"/>
      </w:pPr>
      <w:r>
        <w:rPr>
          <w:rFonts w:ascii="Liberation Mono" w:hAnsi="Liberation Mono"/>
          <w:sz w:val="17"/>
        </w:rPr>
        <w:t>ns = f"{catalog}.{schema}"</w:t>
      </w:r>
    </w:p>
    <w:p>
      <w:pPr>
        <w:keepNext w:val="0"/>
        <w:spacing w:after="0" w:line="240" w:lineRule="auto"/>
      </w:pPr>
      <w:r>
        <w:rPr>
          <w:rFonts w:ascii="Liberation Mono" w:hAnsi="Liberation Mono"/>
          <w:sz w:val="17"/>
        </w:rPr>
        <w:t>base = f"/Volumes/{catalog}/{schema}/day21_exchange"</w:t>
      </w:r>
    </w:p>
    <w:p>
      <w:pPr>
        <w:keepNext w:val="0"/>
        <w:spacing w:after="0" w:line="240" w:lineRule="auto"/>
      </w:pPr>
      <w:r>
        <w:rPr>
          <w:rFonts w:ascii="Liberation Mono" w:hAnsi="Liberation Mono"/>
          <w:sz w:val="17"/>
        </w:rPr>
        <w:t>input_file = f"{base}/landing/{day}/orders.csv"</w:t>
      </w:r>
    </w:p>
    <w:p>
      <w:pPr>
        <w:keepNext w:val="0"/>
        <w:spacing w:after="0" w:line="240" w:lineRule="auto"/>
      </w:pPr>
      <w:r>
        <w:rPr>
          <w:rFonts w:ascii="Liberation Mono" w:hAnsi="Liberation Mono"/>
          <w:sz w:val="17"/>
        </w:rPr>
        <w:t>report_path = f"{base}/reporting/{day}/{run_id}"</w:t>
      </w:r>
    </w:p>
    <w:p>
      <w:pPr>
        <w:keepNext w:val="0"/>
        <w:spacing w:after="0" w:line="240" w:lineRule="auto"/>
      </w:pPr>
      <w:r>
        <w:rPr>
          <w:rFonts w:ascii="Liberation Mono" w:hAnsi="Liberation Mono"/>
          <w:sz w:val="17"/>
        </w:rPr>
        <w:t>print("Executing identity:",</w:t>
      </w:r>
    </w:p>
    <w:p>
      <w:pPr>
        <w:keepNext w:val="0"/>
        <w:spacing w:after="0" w:line="240" w:lineRule="auto"/>
      </w:pPr>
      <w:r>
        <w:rPr>
          <w:rFonts w:ascii="Liberation Mono" w:hAnsi="Liberation Mono"/>
          <w:sz w:val="17"/>
        </w:rPr>
        <w:t xml:space="preserve">      spark.sql("SELECT current_user()").first()[0])</w:t>
      </w:r>
    </w:p>
    <w:p>
      <w:pPr>
        <w:keepNext w:val="0"/>
        <w:spacing w:after="0" w:line="240" w:lineRule="auto"/>
      </w:pPr>
      <w:r>
        <w:rPr>
          <w:rFonts w:ascii="Liberation Mono" w:hAnsi="Liberation Mono"/>
          <w:sz w:val="17"/>
        </w:rPr>
        <w:t>print("Input:", input_file)</w:t>
      </w:r>
    </w:p>
    <w:p>
      <w:pPr>
        <w:keepNext w:val="0"/>
        <w:spacing w:after="0" w:line="240" w:lineRule="auto"/>
      </w:pPr>
      <w:r>
        <w:rPr>
          <w:rFonts w:ascii="Liberation Mono" w:hAnsi="Liberation Mono"/>
          <w:sz w:val="17"/>
        </w:rPr>
        <w:t>print("Report:", report_path)</w:t>
      </w:r>
    </w:p>
    <w:p/>
    <w:p>
      <w:pPr>
        <w:pStyle w:val="Heading1"/>
      </w:pPr>
      <w:r>
        <w:t>Lab 3 Transformation logic</w:t>
      </w:r>
    </w:p>
    <w:p>
      <w:r>
        <w:t>The next cell reads the landed CSV using an explicit schema, checks the supplied sample and creates Bronze, quarantine, Silver and Gold tables. Whole-table overwrite is safe here only because these are dedicated small classroom snapshot tables. It is not a general incremental ingestion strategy.</w:t>
      </w:r>
    </w:p>
    <w:p>
      <w:r>
        <w:t>The output export is under a run-specific folder. It contains ordinary Parquet files generated from the summary. Never query the internal data files of a Delta table as if they were this export.</w:t>
      </w:r>
    </w:p>
    <w:p>
      <w:pPr>
        <w:keepNext w:val="0"/>
        <w:spacing w:after="0" w:line="240" w:lineRule="auto"/>
      </w:pPr>
      <w:r>
        <w:rPr>
          <w:rFonts w:ascii="Liberation Mono" w:hAnsi="Liberation Mono"/>
          <w:sz w:val="17"/>
        </w:rPr>
        <w:t>if dbutils.widgets.get("simulate_failure").lower() == "true":</w:t>
      </w:r>
    </w:p>
    <w:p>
      <w:pPr>
        <w:keepNext w:val="0"/>
        <w:spacing w:after="0" w:line="240" w:lineRule="auto"/>
      </w:pPr>
      <w:r>
        <w:rPr>
          <w:rFonts w:ascii="Liberation Mono" w:hAnsi="Liberation Mono"/>
          <w:sz w:val="17"/>
        </w:rPr>
        <w:t xml:space="preserve">    raise RuntimeError("Intentional classroom failure before writes")</w:t>
      </w:r>
    </w:p>
    <w:p>
      <w:pPr>
        <w:keepNext w:val="0"/>
        <w:spacing w:after="0" w:line="240" w:lineRule="auto"/>
      </w:pPr>
      <w:r>
        <w:rPr>
          <w:rFonts w:ascii="Liberation Mono" w:hAnsi="Liberation Mono"/>
          <w:sz w:val="17"/>
        </w:rPr>
        <w:t>raw = (spark.read.option("header", True)</w:t>
      </w:r>
    </w:p>
    <w:p>
      <w:pPr>
        <w:keepNext w:val="0"/>
        <w:spacing w:after="0" w:line="240" w:lineRule="auto"/>
      </w:pPr>
      <w:r>
        <w:rPr>
          <w:rFonts w:ascii="Liberation Mono" w:hAnsi="Liberation Mono"/>
          <w:sz w:val="17"/>
        </w:rPr>
        <w:t xml:space="preserve">       .option("mode", "FAILFAST")</w:t>
      </w:r>
    </w:p>
    <w:p>
      <w:pPr>
        <w:keepNext w:val="0"/>
        <w:spacing w:after="0" w:line="240" w:lineRule="auto"/>
      </w:pPr>
      <w:r>
        <w:rPr>
          <w:rFonts w:ascii="Liberation Mono" w:hAnsi="Liberation Mono"/>
          <w:sz w:val="17"/>
        </w:rPr>
        <w:t xml:space="preserve">       .schema("order_id INT, city STRING, amount DOUBLE")</w:t>
      </w:r>
    </w:p>
    <w:p>
      <w:pPr>
        <w:keepNext w:val="0"/>
        <w:spacing w:after="0" w:line="240" w:lineRule="auto"/>
      </w:pPr>
      <w:r>
        <w:rPr>
          <w:rFonts w:ascii="Liberation Mono" w:hAnsi="Liberation Mono"/>
          <w:sz w:val="17"/>
        </w:rPr>
        <w:t xml:space="preserve">       .csv(input_file))</w:t>
      </w:r>
    </w:p>
    <w:p>
      <w:pPr>
        <w:keepNext w:val="0"/>
        <w:spacing w:after="0" w:line="240" w:lineRule="auto"/>
      </w:pPr>
      <w:r>
        <w:rPr>
          <w:rFonts w:ascii="Liberation Mono" w:hAnsi="Liberation Mono"/>
          <w:sz w:val="17"/>
        </w:rPr>
        <w:t>assert raw.count() == 4, "This exercise expects the four-row sample"</w:t>
      </w:r>
    </w:p>
    <w:p>
      <w:pPr>
        <w:keepNext w:val="0"/>
        <w:spacing w:after="0" w:line="240" w:lineRule="auto"/>
      </w:pPr>
      <w:r>
        <w:rPr>
          <w:rFonts w:ascii="Liberation Mono" w:hAnsi="Liberation Mono"/>
          <w:sz w:val="17"/>
        </w:rPr>
        <w:t>raw.write.format("delta").mode("overwrite").saveAsTable(</w:t>
      </w:r>
    </w:p>
    <w:p>
      <w:pPr>
        <w:keepNext w:val="0"/>
        <w:spacing w:after="0" w:line="240" w:lineRule="auto"/>
      </w:pPr>
      <w:r>
        <w:rPr>
          <w:rFonts w:ascii="Liberation Mono" w:hAnsi="Liberation Mono"/>
          <w:sz w:val="17"/>
        </w:rPr>
        <w:t xml:space="preserve">    f"{ns}.day21_bronze")</w:t>
      </w:r>
    </w:p>
    <w:p>
      <w:pPr>
        <w:keepNext w:val="0"/>
        <w:spacing w:after="0" w:line="240" w:lineRule="auto"/>
      </w:pPr>
      <w:r>
        <w:rPr>
          <w:rFonts w:ascii="Liberation Mono" w:hAnsi="Liberation Mono"/>
          <w:sz w:val="17"/>
        </w:rPr>
        <w:t>valid = F.coalesce(</w:t>
      </w:r>
    </w:p>
    <w:p>
      <w:pPr>
        <w:keepNext w:val="0"/>
        <w:spacing w:after="0" w:line="240" w:lineRule="auto"/>
      </w:pPr>
      <w:r>
        <w:rPr>
          <w:rFonts w:ascii="Liberation Mono" w:hAnsi="Liberation Mono"/>
          <w:sz w:val="17"/>
        </w:rPr>
        <w:t xml:space="preserve">    F.col("order_id").isNotNull() &amp;</w:t>
      </w:r>
    </w:p>
    <w:p>
      <w:pPr>
        <w:keepNext w:val="0"/>
        <w:spacing w:after="0" w:line="240" w:lineRule="auto"/>
      </w:pPr>
      <w:r>
        <w:rPr>
          <w:rFonts w:ascii="Liberation Mono" w:hAnsi="Liberation Mono"/>
          <w:sz w:val="17"/>
        </w:rPr>
        <w:t xml:space="preserve">    F.col("city").isNotNull() &amp;</w:t>
      </w:r>
    </w:p>
    <w:p>
      <w:pPr>
        <w:keepNext w:val="0"/>
        <w:spacing w:after="0" w:line="240" w:lineRule="auto"/>
      </w:pPr>
      <w:r>
        <w:rPr>
          <w:rFonts w:ascii="Liberation Mono" w:hAnsi="Liberation Mono"/>
          <w:sz w:val="17"/>
        </w:rPr>
        <w:t xml:space="preserve">    (F.length(F.trim("city")) &gt; 0) &amp;</w:t>
      </w:r>
    </w:p>
    <w:p>
      <w:pPr>
        <w:keepNext w:val="0"/>
        <w:spacing w:after="0" w:line="240" w:lineRule="auto"/>
      </w:pPr>
      <w:r>
        <w:rPr>
          <w:rFonts w:ascii="Liberation Mono" w:hAnsi="Liberation Mono"/>
          <w:sz w:val="17"/>
        </w:rPr>
        <w:t xml:space="preserve">    F.col("amount").isNotNull() &amp;</w:t>
      </w:r>
    </w:p>
    <w:p>
      <w:pPr>
        <w:keepNext w:val="0"/>
        <w:spacing w:after="0" w:line="240" w:lineRule="auto"/>
      </w:pPr>
      <w:r>
        <w:rPr>
          <w:rFonts w:ascii="Liberation Mono" w:hAnsi="Liberation Mono"/>
          <w:sz w:val="17"/>
        </w:rPr>
        <w:t xml:space="preserve">    (~F.isnan("amount")) &amp; (F.col("amount") &gt;= 0),</w:t>
      </w:r>
    </w:p>
    <w:p>
      <w:pPr>
        <w:keepNext w:val="0"/>
        <w:spacing w:after="0" w:line="240" w:lineRule="auto"/>
      </w:pPr>
      <w:r>
        <w:rPr>
          <w:rFonts w:ascii="Liberation Mono" w:hAnsi="Liberation Mono"/>
          <w:sz w:val="17"/>
        </w:rPr>
        <w:t xml:space="preserve">    F.lit(False))</w:t>
      </w:r>
    </w:p>
    <w:p>
      <w:pPr>
        <w:keepNext w:val="0"/>
        <w:spacing w:after="0" w:line="240" w:lineRule="auto"/>
      </w:pPr>
      <w:r>
        <w:rPr>
          <w:rFonts w:ascii="Liberation Mono" w:hAnsi="Liberation Mono"/>
          <w:sz w:val="17"/>
        </w:rPr>
        <w:t>clean = raw.filter(valid).withColumn("city", F.trim("city"))</w:t>
      </w:r>
    </w:p>
    <w:p>
      <w:pPr>
        <w:keepNext w:val="0"/>
        <w:spacing w:after="0" w:line="240" w:lineRule="auto"/>
      </w:pPr>
      <w:r>
        <w:rPr>
          <w:rFonts w:ascii="Liberation Mono" w:hAnsi="Liberation Mono"/>
          <w:sz w:val="17"/>
        </w:rPr>
        <w:t>rejects = raw.filter(~valid)</w:t>
      </w:r>
    </w:p>
    <w:p>
      <w:pPr>
        <w:keepNext w:val="0"/>
        <w:spacing w:after="0" w:line="240" w:lineRule="auto"/>
      </w:pPr>
      <w:r>
        <w:rPr>
          <w:rFonts w:ascii="Liberation Mono" w:hAnsi="Liberation Mono"/>
          <w:sz w:val="17"/>
        </w:rPr>
        <w:t>assert clean.count() == 3</w:t>
      </w:r>
    </w:p>
    <w:p>
      <w:pPr>
        <w:keepNext w:val="0"/>
        <w:spacing w:after="0" w:line="240" w:lineRule="auto"/>
      </w:pPr>
      <w:r>
        <w:rPr>
          <w:rFonts w:ascii="Liberation Mono" w:hAnsi="Liberation Mono"/>
          <w:sz w:val="17"/>
        </w:rPr>
        <w:t>assert rejects.count() == 1</w:t>
      </w:r>
    </w:p>
    <w:p>
      <w:pPr>
        <w:keepNext w:val="0"/>
        <w:spacing w:after="0" w:line="240" w:lineRule="auto"/>
      </w:pPr>
      <w:r>
        <w:rPr>
          <w:rFonts w:ascii="Liberation Mono" w:hAnsi="Liberation Mono"/>
          <w:sz w:val="17"/>
        </w:rPr>
        <w:t>assert clean.select("order_id").distinct().count() == clean.count()</w:t>
      </w:r>
    </w:p>
    <w:p>
      <w:pPr>
        <w:keepNext w:val="0"/>
        <w:spacing w:after="0" w:line="240" w:lineRule="auto"/>
      </w:pPr>
      <w:r>
        <w:rPr>
          <w:rFonts w:ascii="Liberation Mono" w:hAnsi="Liberation Mono"/>
          <w:sz w:val="17"/>
        </w:rPr>
        <w:t>summary = clean.groupBy("city").agg(</w:t>
      </w:r>
    </w:p>
    <w:p>
      <w:pPr>
        <w:keepNext w:val="0"/>
        <w:spacing w:after="0" w:line="240" w:lineRule="auto"/>
      </w:pPr>
      <w:r>
        <w:rPr>
          <w:rFonts w:ascii="Liberation Mono" w:hAnsi="Liberation Mono"/>
          <w:sz w:val="17"/>
        </w:rPr>
        <w:t xml:space="preserve">    F.count("*").alias("orders"),</w:t>
      </w:r>
    </w:p>
    <w:p>
      <w:pPr>
        <w:keepNext w:val="0"/>
        <w:spacing w:after="0" w:line="240" w:lineRule="auto"/>
      </w:pPr>
      <w:r>
        <w:rPr>
          <w:rFonts w:ascii="Liberation Mono" w:hAnsi="Liberation Mono"/>
          <w:sz w:val="17"/>
        </w:rPr>
        <w:t xml:space="preserve">    F.sum("amount").alias("total_sales"))</w:t>
      </w:r>
    </w:p>
    <w:p>
      <w:pPr>
        <w:keepNext w:val="0"/>
        <w:spacing w:after="0" w:line="240" w:lineRule="auto"/>
      </w:pPr>
      <w:r>
        <w:rPr>
          <w:rFonts w:ascii="Liberation Mono" w:hAnsi="Liberation Mono"/>
          <w:sz w:val="17"/>
        </w:rPr>
        <w:t>expected = {"Bengaluru": (2, 400.0), "Pune": (1, 200.0)}</w:t>
      </w:r>
    </w:p>
    <w:p>
      <w:pPr>
        <w:keepNext w:val="0"/>
        <w:spacing w:after="0" w:line="240" w:lineRule="auto"/>
      </w:pPr>
      <w:r>
        <w:rPr>
          <w:rFonts w:ascii="Liberation Mono" w:hAnsi="Liberation Mono"/>
          <w:sz w:val="17"/>
        </w:rPr>
        <w:t>actual = {r.city: (r.orders, r.total_sales)</w:t>
      </w:r>
    </w:p>
    <w:p>
      <w:pPr>
        <w:keepNext w:val="0"/>
        <w:spacing w:after="0" w:line="240" w:lineRule="auto"/>
      </w:pPr>
      <w:r>
        <w:rPr>
          <w:rFonts w:ascii="Liberation Mono" w:hAnsi="Liberation Mono"/>
          <w:sz w:val="17"/>
        </w:rPr>
        <w:t xml:space="preserve">          for r in summary.collect()}</w:t>
      </w:r>
    </w:p>
    <w:p>
      <w:pPr>
        <w:keepNext w:val="0"/>
        <w:spacing w:after="0" w:line="240" w:lineRule="auto"/>
      </w:pPr>
      <w:r>
        <w:rPr>
          <w:rFonts w:ascii="Liberation Mono" w:hAnsi="Liberation Mono"/>
          <w:sz w:val="17"/>
        </w:rPr>
        <w:t>assert actual == expected, actual</w:t>
      </w:r>
    </w:p>
    <w:p>
      <w:pPr>
        <w:keepNext w:val="0"/>
        <w:spacing w:after="0" w:line="240" w:lineRule="auto"/>
      </w:pPr>
      <w:r>
        <w:rPr>
          <w:rFonts w:ascii="Liberation Mono" w:hAnsi="Liberation Mono"/>
          <w:sz w:val="17"/>
        </w:rPr>
        <w:t>rejects.write.format("delta").mode("overwrite").saveAsTable(</w:t>
      </w:r>
    </w:p>
    <w:p>
      <w:pPr>
        <w:keepNext w:val="0"/>
        <w:spacing w:after="0" w:line="240" w:lineRule="auto"/>
      </w:pPr>
      <w:r>
        <w:rPr>
          <w:rFonts w:ascii="Liberation Mono" w:hAnsi="Liberation Mono"/>
          <w:sz w:val="17"/>
        </w:rPr>
        <w:t xml:space="preserve">    f"{ns}.day21_quarantine")</w:t>
      </w:r>
    </w:p>
    <w:p>
      <w:pPr>
        <w:keepNext w:val="0"/>
        <w:spacing w:after="0" w:line="240" w:lineRule="auto"/>
      </w:pPr>
      <w:r>
        <w:rPr>
          <w:rFonts w:ascii="Liberation Mono" w:hAnsi="Liberation Mono"/>
          <w:sz w:val="17"/>
        </w:rPr>
        <w:t>clean.write.format("delta").mode("overwrite").saveAsTable(</w:t>
      </w:r>
    </w:p>
    <w:p>
      <w:pPr>
        <w:keepNext w:val="0"/>
        <w:spacing w:after="0" w:line="240" w:lineRule="auto"/>
      </w:pPr>
      <w:r>
        <w:rPr>
          <w:rFonts w:ascii="Liberation Mono" w:hAnsi="Liberation Mono"/>
          <w:sz w:val="17"/>
        </w:rPr>
        <w:t xml:space="preserve">    f"{ns}.day21_silver")</w:t>
      </w:r>
    </w:p>
    <w:p>
      <w:pPr>
        <w:keepNext w:val="0"/>
        <w:spacing w:after="0" w:line="240" w:lineRule="auto"/>
      </w:pPr>
      <w:r>
        <w:rPr>
          <w:rFonts w:ascii="Liberation Mono" w:hAnsi="Liberation Mono"/>
          <w:sz w:val="17"/>
        </w:rPr>
        <w:t>summary.write.format("delta").mode("overwrite").saveAsTable(</w:t>
      </w:r>
    </w:p>
    <w:p>
      <w:pPr>
        <w:keepNext w:val="0"/>
        <w:spacing w:after="0" w:line="240" w:lineRule="auto"/>
      </w:pPr>
      <w:r>
        <w:rPr>
          <w:rFonts w:ascii="Liberation Mono" w:hAnsi="Liberation Mono"/>
          <w:sz w:val="17"/>
        </w:rPr>
        <w:t xml:space="preserve">    f"{ns}.day21_gold")</w:t>
      </w:r>
    </w:p>
    <w:p>
      <w:pPr>
        <w:keepNext w:val="0"/>
        <w:spacing w:after="0" w:line="240" w:lineRule="auto"/>
      </w:pPr>
      <w:r>
        <w:rPr>
          <w:rFonts w:ascii="Liberation Mono" w:hAnsi="Liberation Mono"/>
          <w:sz w:val="17"/>
        </w:rPr>
        <w:t># Separate reporting export, not the internal files of a Delta table.</w:t>
      </w:r>
    </w:p>
    <w:p>
      <w:pPr>
        <w:keepNext w:val="0"/>
        <w:spacing w:after="0" w:line="240" w:lineRule="auto"/>
      </w:pPr>
      <w:r>
        <w:rPr>
          <w:rFonts w:ascii="Liberation Mono" w:hAnsi="Liberation Mono"/>
          <w:sz w:val="17"/>
        </w:rPr>
        <w:t>summary.write.mode("overwrite").parquet(report_path)</w:t>
      </w:r>
    </w:p>
    <w:p>
      <w:pPr>
        <w:keepNext w:val="0"/>
        <w:spacing w:after="0" w:line="240" w:lineRule="auto"/>
      </w:pPr>
      <w:r>
        <w:rPr>
          <w:rFonts w:ascii="Liberation Mono" w:hAnsi="Liberation Mono"/>
          <w:sz w:val="17"/>
        </w:rPr>
        <w:t>display(summary.orderBy("city"))</w:t>
      </w:r>
    </w:p>
    <w:p/>
    <w:p>
      <w:pPr>
        <w:pStyle w:val="Heading1"/>
      </w:pPr>
      <w:r>
        <w:t>Lab 3 Return a verified result to ADF</w:t>
      </w:r>
    </w:p>
    <w:p>
      <w:r>
        <w:t>The exit value is a JSON string. It helps ADF distinguish the expected business outcome from a notebook that merely completed without throwing an exception. The table and file writes are separate operations, not one cross-system transaction.</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City</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Orders</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Sales INR</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Bengaluru</w:t>
            </w:r>
          </w:p>
        </w:tc>
        <w:tc>
          <w:tcPr>
            <w:tcW w:type="dxa" w:w="3312"/>
            <w:tcBorders>
              <w:top w:val="single" w:sz="4" w:color="D9D9D9"/>
              <w:left w:val="single" w:sz="4" w:color="D9D9D9"/>
              <w:bottom w:val="single" w:sz="4" w:color="D9D9D9"/>
              <w:right w:val="single" w:sz="4" w:color="D9D9D9"/>
            </w:tcBorders>
          </w:tcPr>
          <w:p>
            <w:pPr>
              <w:spacing w:after="100"/>
            </w:pPr>
            <w:r>
              <w:rPr>
                <w:sz w:val="20"/>
              </w:rPr>
              <w:t>2</w:t>
            </w:r>
          </w:p>
        </w:tc>
        <w:tc>
          <w:tcPr>
            <w:tcW w:type="dxa" w:w="3312"/>
            <w:tcBorders>
              <w:top w:val="single" w:sz="4" w:color="D9D9D9"/>
              <w:left w:val="single" w:sz="4" w:color="D9D9D9"/>
              <w:bottom w:val="single" w:sz="4" w:color="D9D9D9"/>
              <w:right w:val="single" w:sz="4" w:color="D9D9D9"/>
            </w:tcBorders>
          </w:tcPr>
          <w:p>
            <w:pPr>
              <w:spacing w:after="100"/>
            </w:pPr>
            <w:r>
              <w:rPr>
                <w:sz w:val="20"/>
              </w:rPr>
              <w:t>400</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Pune</w:t>
            </w:r>
          </w:p>
        </w:tc>
        <w:tc>
          <w:tcPr>
            <w:tcW w:type="dxa" w:w="3312"/>
            <w:tcBorders>
              <w:top w:val="single" w:sz="4" w:color="D9D9D9"/>
              <w:left w:val="single" w:sz="4" w:color="D9D9D9"/>
              <w:bottom w:val="single" w:sz="4" w:color="D9D9D9"/>
              <w:right w:val="single" w:sz="4" w:color="D9D9D9"/>
            </w:tcBorders>
          </w:tcPr>
          <w:p>
            <w:pPr>
              <w:spacing w:after="100"/>
            </w:pPr>
            <w:r>
              <w:rPr>
                <w:sz w:val="20"/>
              </w:rPr>
              <w:t>1</w:t>
            </w:r>
          </w:p>
        </w:tc>
        <w:tc>
          <w:tcPr>
            <w:tcW w:type="dxa" w:w="3312"/>
            <w:tcBorders>
              <w:top w:val="single" w:sz="4" w:color="D9D9D9"/>
              <w:left w:val="single" w:sz="4" w:color="D9D9D9"/>
              <w:bottom w:val="single" w:sz="4" w:color="D9D9D9"/>
              <w:right w:val="single" w:sz="4" w:color="D9D9D9"/>
            </w:tcBorders>
          </w:tcPr>
          <w:p>
            <w:pPr>
              <w:spacing w:after="100"/>
            </w:pPr>
            <w:r>
              <w:rPr>
                <w:sz w:val="20"/>
              </w:rPr>
              <w:t>200</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Total</w:t>
            </w:r>
          </w:p>
        </w:tc>
        <w:tc>
          <w:tcPr>
            <w:tcW w:type="dxa" w:w="3312"/>
            <w:tcBorders>
              <w:top w:val="single" w:sz="4" w:color="D9D9D9"/>
              <w:left w:val="single" w:sz="4" w:color="D9D9D9"/>
              <w:bottom w:val="single" w:sz="4" w:color="D9D9D9"/>
              <w:right w:val="single" w:sz="4" w:color="D9D9D9"/>
            </w:tcBorders>
          </w:tcPr>
          <w:p>
            <w:pPr>
              <w:spacing w:after="100"/>
            </w:pPr>
            <w:r>
              <w:rPr>
                <w:sz w:val="20"/>
              </w:rPr>
              <w:t>3</w:t>
            </w:r>
          </w:p>
        </w:tc>
        <w:tc>
          <w:tcPr>
            <w:tcW w:type="dxa" w:w="3312"/>
            <w:tcBorders>
              <w:top w:val="single" w:sz="4" w:color="D9D9D9"/>
              <w:left w:val="single" w:sz="4" w:color="D9D9D9"/>
              <w:bottom w:val="single" w:sz="4" w:color="D9D9D9"/>
              <w:right w:val="single" w:sz="4" w:color="D9D9D9"/>
            </w:tcBorders>
          </w:tcPr>
          <w:p>
            <w:pPr>
              <w:spacing w:after="100"/>
            </w:pPr>
            <w:r>
              <w:rPr>
                <w:sz w:val="20"/>
              </w:rPr>
              <w:t>600</w:t>
            </w:r>
          </w:p>
        </w:tc>
      </w:tr>
    </w:tbl>
    <w:p/>
    <w:p>
      <w:pPr>
        <w:keepNext/>
        <w:spacing w:after="0" w:line="240" w:lineRule="auto"/>
      </w:pPr>
      <w:r>
        <w:rPr>
          <w:rFonts w:ascii="Liberation Mono" w:hAnsi="Liberation Mono"/>
          <w:sz w:val="17"/>
        </w:rPr>
        <w:t>dbutils.notebook.exit(json.dumps({</w:t>
      </w:r>
    </w:p>
    <w:p>
      <w:pPr>
        <w:keepNext/>
        <w:spacing w:after="0" w:line="240" w:lineRule="auto"/>
      </w:pPr>
      <w:r>
        <w:rPr>
          <w:rFonts w:ascii="Liberation Mono" w:hAnsi="Liberation Mono"/>
          <w:sz w:val="17"/>
        </w:rPr>
        <w:t xml:space="preserve">    "status": "validated",</w:t>
      </w:r>
    </w:p>
    <w:p>
      <w:pPr>
        <w:keepNext/>
        <w:spacing w:after="0" w:line="240" w:lineRule="auto"/>
      </w:pPr>
      <w:r>
        <w:rPr>
          <w:rFonts w:ascii="Liberation Mono" w:hAnsi="Liberation Mono"/>
          <w:sz w:val="17"/>
        </w:rPr>
        <w:t xml:space="preserve">    "raw_rows": 4, "valid_rows": 3, "rejected_rows": 1,</w:t>
      </w:r>
    </w:p>
    <w:p>
      <w:pPr>
        <w:keepNext/>
        <w:spacing w:after="0" w:line="240" w:lineRule="auto"/>
      </w:pPr>
      <w:r>
        <w:rPr>
          <w:rFonts w:ascii="Liberation Mono" w:hAnsi="Liberation Mono"/>
          <w:sz w:val="17"/>
        </w:rPr>
        <w:t xml:space="preserve">    "revenue": 600.0, "report_path": report_path,</w:t>
      </w:r>
    </w:p>
    <w:p>
      <w:pPr>
        <w:keepNext/>
        <w:spacing w:after="0" w:line="240" w:lineRule="auto"/>
      </w:pPr>
      <w:r>
        <w:rPr>
          <w:rFonts w:ascii="Liberation Mono" w:hAnsi="Liberation Mono"/>
          <w:sz w:val="17"/>
        </w:rPr>
        <w:t xml:space="preserve">    "run_id": run_id</w:t>
      </w:r>
    </w:p>
    <w:p>
      <w:pPr>
        <w:keepNext w:val="0"/>
        <w:spacing w:after="0" w:line="240" w:lineRule="auto"/>
      </w:pPr>
      <w:r>
        <w:rPr>
          <w:rFonts w:ascii="Liberation Mono" w:hAnsi="Liberation Mono"/>
          <w:sz w:val="17"/>
        </w:rPr>
        <w:t>}))</w:t>
      </w:r>
    </w:p>
    <w:p/>
    <w:p>
      <w:pPr>
        <w:pStyle w:val="Heading1"/>
      </w:pPr>
      <w:r>
        <w:t>Lab 4 Create ADF and its storage connection</w:t>
      </w:r>
    </w:p>
    <w:p>
      <w:r>
        <w:t>1. Trainer: create an Azure Data Factory V2 in the approved subscription and resource group, or reuse an approved factory. Open Studio. Record its system-assigned managed identity from the Azure resource Identity page.</w:t>
      </w:r>
    </w:p>
    <w:p>
      <w:r>
        <w:t>2. At the day21 container IAM page grant that ADF identity Storage Blob Data Contributor for this bounded lab. This gives copy read/write access; it does not grant Databricks table access. Allow propagation.</w:t>
      </w:r>
    </w:p>
    <w:p>
      <w:r>
        <w:t>3. Studio Manage, Linked services, New: select Azure Data Lake Storage Gen2. Name ls_day21_adls. Choose managed identity, the storage account and an integration runtime that can reach storage. Test connection and create.</w:t>
      </w:r>
    </w:p>
    <w:p>
      <w:r>
        <w:t>4. Use the default Azure integration runtime only if the approved network path allows it. Private storage may require managed virtual network integration runtime and approved managed private endpoints. An on-premises private source commonly requires a self-hosted runtime.</w:t>
      </w:r>
    </w:p>
    <w:p>
      <w:r>
        <w:t>Expected evidence: linked service connection succeeds using the intended identity, without copying an account key into a notebook.</w:t>
      </w:r>
    </w:p>
    <w:p>
      <w:pPr>
        <w:pStyle w:val="Heading1"/>
      </w:pPr>
      <w:r>
        <w:t>Lab 5 Connect ADF to Databricks</w:t>
      </w:r>
    </w:p>
    <w:p>
      <w:r>
        <w:t>1. Trainer: prepare the factory system-assigned managed identity for Azure Databricks authentication. Follow the current managed-identity onboarding supported by your tenant: register/add the managed identity as a Databricks service principal using its application/client ID and assign it workspace access. Principal/object ID and application/client ID are not interchangeable.</w:t>
      </w:r>
    </w:p>
    <w:p>
      <w:r>
        <w:t>2. For the ADF managed-identity integration, configure the required Azure workspace-resource access; the documented bootstrap route uses Contributor on the Databricks workspace resource. Scope that grant to the workspace, not the entire subscription, and follow organization policy.</w:t>
      </w:r>
    </w:p>
    <w:p>
      <w:r>
        <w:t>3. In Databricks grant the execution principal permission to read/run the intended notebook and CAN ATTACH TO on the running shared compute. Grant USE CATALOG, USE SCHEMA, CREATE TABLE and READ/WRITE VOLUME for the target student schemas as in Lab 2.</w:t>
      </w:r>
    </w:p>
    <w:p>
      <w:r>
        <w:t>4. Existing student-owned day21 tables can block overwrite by a different principal. For this lab, use an automation-owned schema or have the owner/admin transfer the four dedicated day21 tables to the automation principal before ADF testing. Do not transfer unrelated tables. For ongoing updates assess necessary table privileges explicitly.</w:t>
      </w:r>
    </w:p>
    <w:p>
      <w:r>
        <w:t>5. In ADF Manage, Linked services, New, Azure Databricks: name ls_day21_databricks, select system-assigned managed identity authentication, correct workspace resource ID/domain and Existing interactive cluster with the actual cluster ID. Test and save.</w:t>
      </w:r>
    </w:p>
    <w:p>
      <w:r>
        <w:t>6. Pilot under that principal. The notebook prints current_user() so you can verify which identity actually executed. If your tenant cannot support the managed-identity route, have the administrator configure an approved alternate credential securely; do not share a trainer personal token with the class.</w:t>
      </w:r>
    </w:p>
    <w:p>
      <w:pPr>
        <w:pStyle w:val="Heading1"/>
      </w:pPr>
      <w:r>
        <w:t>Lab 6 Configure copy datasets</w:t>
      </w:r>
    </w:p>
    <w:p>
      <w:r>
        <w:t>1. ADF Author, Datasets, New: choose ADLS Gen2 and Binary. Name ds_day21_source; use ls_day21_adls. Binary preserves the CSV bytes and avoids accidental parsing changes during the copy.</w:t>
      </w:r>
    </w:p>
    <w:p>
      <w:r>
        <w:t>2. Add string dataset parameters p_schema and p_date. In Connection set file system day21, directory using the expression below and file name orders.csv.</w:t>
      </w:r>
    </w:p>
    <w:p>
      <w:r>
        <w:t>3. Create ds_day21_landing with the same parameters and linked service. Use the landing directory expression. Both datasets point to different folders, even though they share one storage connection.</w:t>
      </w:r>
    </w:p>
    <w:p>
      <w:r>
        <w:t>4. Test the source with actual parameter values student_01 and 2026-09-24. Expected: the file is found.</w:t>
      </w:r>
    </w:p>
    <w:p>
      <w:pPr>
        <w:keepNext/>
        <w:spacing w:after="0" w:line="240" w:lineRule="auto"/>
      </w:pPr>
      <w:r>
        <w:rPr>
          <w:rFonts w:ascii="Liberation Mono" w:hAnsi="Liberation Mono"/>
          <w:sz w:val="17"/>
        </w:rPr>
        <w:t>Source directory expression:</w:t>
      </w:r>
    </w:p>
    <w:p>
      <w:pPr>
        <w:keepNext/>
        <w:spacing w:after="0" w:line="240" w:lineRule="auto"/>
      </w:pPr>
      <w:r>
        <w:rPr>
          <w:rFonts w:ascii="Liberation Mono" w:hAnsi="Liberation Mono"/>
          <w:sz w:val="17"/>
        </w:rPr>
        <w:t>@concat(dataset().p_schema, '/source/', dataset().p_date)</w:t>
      </w:r>
    </w:p>
    <w:p>
      <w:pPr>
        <w:keepNext/>
        <w:spacing w:after="0" w:line="240" w:lineRule="auto"/>
      </w:pPr>
      <w:r>
        <w:rPr>
          <w:rFonts w:ascii="Liberation Mono" w:hAnsi="Liberation Mono"/>
          <w:sz w:val="17"/>
        </w:rPr>
        <w:t xml:space="preserve"> </w:t>
      </w:r>
    </w:p>
    <w:p>
      <w:pPr>
        <w:keepNext/>
        <w:spacing w:after="0" w:line="240" w:lineRule="auto"/>
      </w:pPr>
      <w:r>
        <w:rPr>
          <w:rFonts w:ascii="Liberation Mono" w:hAnsi="Liberation Mono"/>
          <w:sz w:val="17"/>
        </w:rPr>
        <w:t>Landing directory expression:</w:t>
      </w:r>
    </w:p>
    <w:p>
      <w:pPr>
        <w:keepNext w:val="0"/>
        <w:spacing w:after="0" w:line="240" w:lineRule="auto"/>
      </w:pPr>
      <w:r>
        <w:rPr>
          <w:rFonts w:ascii="Liberation Mono" w:hAnsi="Liberation Mono"/>
          <w:sz w:val="17"/>
        </w:rPr>
        <w:t>@concat(dataset().p_schema, '/landing/', dataset().p_date)</w:t>
      </w:r>
    </w:p>
    <w:p/>
    <w:p>
      <w:pPr>
        <w:pStyle w:val="Heading1"/>
      </w:pPr>
      <w:r>
        <w:t>Lab 7 Build and run the ADF pipeline</w:t>
      </w:r>
    </w:p>
    <w:p>
      <w:r>
        <w:t>1. Create pipeline pl_day21_student_01. Add string parameters p_catalog, p_schema, p_date and p_fail. Defaults: verified catalog, student_01, 2026-09-24 and false. Set pipeline concurrency to one for this lab.</w:t>
      </w:r>
    </w:p>
    <w:p>
      <w:r>
        <w:t>2. Add Copy data activity CopyOrders. Select ds_day21_source and ds_day21_landing. Bind each dataset p_schema to @pipeline().parameters.p_schema and p_date to @pipeline().parameters.p_date. Keep the source file name and destination file name orders.csv.</w:t>
      </w:r>
    </w:p>
    <w:p>
      <w:r>
        <w:t>3. Add Azure Databricks Notebook activity TransformOrders. Draw a green On success dependency from CopyOrders. Choose ls_day21_databricks and browse to the imported notebook path.</w:t>
      </w:r>
    </w:p>
    <w:p>
      <w:r>
        <w:t>4. Add the Base parameters shown below. Configure a bounded retry count such as one and a sensible timeout. This notebook supports snapshot retries; review replay semantics before copying the policy to other code.</w:t>
      </w:r>
    </w:p>
    <w:p>
      <w:r>
        <w:t>5. Add If Condition CheckResult after TransformOrders success. Expression: @equals(json(activity('TransformOrders').output.runOutput).status, 'validated'). Add a Fail activity to its False branch with message Unexpected notebook result.</w:t>
      </w:r>
    </w:p>
    <w:p>
      <w:r>
        <w:t>6. Validate All, save/publish as appropriate for your authoring mode, and Debug once. Inspect activity Input/Output and Databricks run output. Expect successful copy, notebook and result check.</w:t>
      </w:r>
    </w:p>
    <w:p>
      <w:r>
        <w:t>7. Publish All before Trigger now if you worked in live authoring mode. Record the pipeline run ID. Check Monitor, Pipeline runs and Activity runs. A green copy alone does not prove transformation succeeded.</w:t>
      </w:r>
    </w:p>
    <w:tbl>
      <w:tblPr>
        <w:tblW w:type="auto" w:w="0"/>
        <w:tblLayout w:type="fixed"/>
        <w:tblLook w:firstColumn="1" w:firstRow="1" w:lastColumn="0" w:lastRow="0" w:noHBand="0" w:noVBand="1" w:val="04A0"/>
      </w:tblPr>
      <w:tblGrid>
        <w:gridCol w:w="4968"/>
        <w:gridCol w:w="4968"/>
      </w:tblGrid>
      <w:tr>
        <w:trPr>
          <w:cantSplit/>
          <w:tblHeader/>
        </w:trPr>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Notebook parameter</w:t>
            </w:r>
          </w:p>
        </w:tc>
        <w:tc>
          <w:tcPr>
            <w:tcW w:type="dxa" w:w="4968"/>
            <w:tcBorders>
              <w:top w:val="single" w:sz="4" w:color="D9D9D9"/>
              <w:left w:val="single" w:sz="4" w:color="D9D9D9"/>
              <w:bottom w:val="single" w:sz="4" w:color="D9D9D9"/>
              <w:right w:val="single" w:sz="4" w:color="D9D9D9"/>
            </w:tcBorders>
            <w:shd w:fill="DCEAF4"/>
          </w:tcPr>
          <w:p>
            <w:pPr>
              <w:spacing w:after="100"/>
            </w:pPr>
            <w:r>
              <w:rPr>
                <w:b/>
                <w:sz w:val="20"/>
              </w:rPr>
              <w:t>ADF value or expression</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catalog</w:t>
            </w:r>
          </w:p>
        </w:tc>
        <w:tc>
          <w:tcPr>
            <w:tcW w:type="dxa" w:w="4968"/>
            <w:tcBorders>
              <w:top w:val="single" w:sz="4" w:color="D9D9D9"/>
              <w:left w:val="single" w:sz="4" w:color="D9D9D9"/>
              <w:bottom w:val="single" w:sz="4" w:color="D9D9D9"/>
              <w:right w:val="single" w:sz="4" w:color="D9D9D9"/>
            </w:tcBorders>
          </w:tcPr>
          <w:p>
            <w:pPr>
              <w:spacing w:after="100"/>
            </w:pPr>
            <w:r>
              <w:rPr>
                <w:sz w:val="20"/>
              </w:rPr>
              <w:t>@pipeline().parameters.p_catalog</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schema</w:t>
            </w:r>
          </w:p>
        </w:tc>
        <w:tc>
          <w:tcPr>
            <w:tcW w:type="dxa" w:w="4968"/>
            <w:tcBorders>
              <w:top w:val="single" w:sz="4" w:color="D9D9D9"/>
              <w:left w:val="single" w:sz="4" w:color="D9D9D9"/>
              <w:bottom w:val="single" w:sz="4" w:color="D9D9D9"/>
              <w:right w:val="single" w:sz="4" w:color="D9D9D9"/>
            </w:tcBorders>
          </w:tcPr>
          <w:p>
            <w:pPr>
              <w:spacing w:after="100"/>
            </w:pPr>
            <w:r>
              <w:rPr>
                <w:sz w:val="20"/>
              </w:rPr>
              <w:t>@pipeline().parameters.p_schema</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processing_date</w:t>
            </w:r>
          </w:p>
        </w:tc>
        <w:tc>
          <w:tcPr>
            <w:tcW w:type="dxa" w:w="4968"/>
            <w:tcBorders>
              <w:top w:val="single" w:sz="4" w:color="D9D9D9"/>
              <w:left w:val="single" w:sz="4" w:color="D9D9D9"/>
              <w:bottom w:val="single" w:sz="4" w:color="D9D9D9"/>
              <w:right w:val="single" w:sz="4" w:color="D9D9D9"/>
            </w:tcBorders>
          </w:tcPr>
          <w:p>
            <w:pPr>
              <w:spacing w:after="100"/>
            </w:pPr>
            <w:r>
              <w:rPr>
                <w:sz w:val="20"/>
              </w:rPr>
              <w:t>@pipeline().parameters.p_date</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run_id</w:t>
            </w:r>
          </w:p>
        </w:tc>
        <w:tc>
          <w:tcPr>
            <w:tcW w:type="dxa" w:w="4968"/>
            <w:tcBorders>
              <w:top w:val="single" w:sz="4" w:color="D9D9D9"/>
              <w:left w:val="single" w:sz="4" w:color="D9D9D9"/>
              <w:bottom w:val="single" w:sz="4" w:color="D9D9D9"/>
              <w:right w:val="single" w:sz="4" w:color="D9D9D9"/>
            </w:tcBorders>
          </w:tcPr>
          <w:p>
            <w:pPr>
              <w:spacing w:after="100"/>
            </w:pPr>
            <w:r>
              <w:rPr>
                <w:sz w:val="20"/>
              </w:rPr>
              <w:t>@pipeline().RunId</w:t>
            </w:r>
          </w:p>
        </w:tc>
      </w:tr>
      <w:tr>
        <w:trPr>
          <w:cantSplit/>
        </w:trPr>
        <w:tc>
          <w:tcPr>
            <w:tcW w:type="dxa" w:w="4968"/>
            <w:tcBorders>
              <w:top w:val="single" w:sz="4" w:color="D9D9D9"/>
              <w:left w:val="single" w:sz="4" w:color="D9D9D9"/>
              <w:bottom w:val="single" w:sz="4" w:color="D9D9D9"/>
              <w:right w:val="single" w:sz="4" w:color="D9D9D9"/>
            </w:tcBorders>
          </w:tcPr>
          <w:p>
            <w:pPr>
              <w:spacing w:after="100"/>
            </w:pPr>
            <w:r>
              <w:rPr>
                <w:sz w:val="20"/>
              </w:rPr>
              <w:t>simulate_failure</w:t>
            </w:r>
          </w:p>
        </w:tc>
        <w:tc>
          <w:tcPr>
            <w:tcW w:type="dxa" w:w="4968"/>
            <w:tcBorders>
              <w:top w:val="single" w:sz="4" w:color="D9D9D9"/>
              <w:left w:val="single" w:sz="4" w:color="D9D9D9"/>
              <w:bottom w:val="single" w:sz="4" w:color="D9D9D9"/>
              <w:right w:val="single" w:sz="4" w:color="D9D9D9"/>
            </w:tcBorders>
          </w:tcPr>
          <w:p>
            <w:pPr>
              <w:spacing w:after="100"/>
            </w:pPr>
            <w:r>
              <w:rPr>
                <w:sz w:val="20"/>
              </w:rPr>
              <w:t>@pipeline().parameters.p_fail</w:t>
            </w:r>
          </w:p>
        </w:tc>
      </w:tr>
    </w:tbl>
    <w:p/>
    <w:p>
      <w:pPr>
        <w:pStyle w:val="Heading1"/>
      </w:pPr>
      <w:r>
        <w:t>Lab 8 Failure recovery and safe retries</w:t>
      </w:r>
    </w:p>
    <w:p>
      <w:r>
        <w:t>1. Record the successful run ID and output totals. Trigger a new run with p_fail=true. CopyOrders should succeed and TransformOrders should fail before its writes. CheckResult must not run on this failed dependency.</w:t>
      </w:r>
    </w:p>
    <w:p>
      <w:r>
        <w:t>2. Read the exception and confirm Intentional classroom failure before writes. Old Gold data can still be visible; it is not evidence that the failed run succeeded.</w:t>
      </w:r>
    </w:p>
    <w:p>
      <w:r>
        <w:t>3. Set p_fail=false and start a new run, or use a supported rerun path with confirmed corrected parameters. Do not assume editing defaults changes parameters already captured in a failed run.</w:t>
      </w:r>
    </w:p>
    <w:p>
      <w:r>
        <w:t>4. Verify totals remain three valid orders and INR 600. The new successful run has its own reporting folder. Do not query a wildcard across all run folders, which would count multiple snapshots.</w:t>
      </w:r>
    </w:p>
    <w:p>
      <w:r>
        <w:t>5. For a schedule exercise, create one trainer-owned daily schedule with explicit timezone only after manual success. Pause it after the demonstration. Avoid ADF and Databricks independently scheduling the same work.</w:t>
      </w:r>
    </w:p>
    <w:p>
      <w:pPr>
        <w:pStyle w:val="Heading1"/>
      </w:pPr>
      <w:r>
        <w:t>Lab 9 Prepare Synapse reporting access</w:t>
      </w:r>
    </w:p>
    <w:p>
      <w:r>
        <w:t>Trainer only. Create or reuse a Synapse workspace with the required default ADLS filesystem and approved networking. Use Built-in serverless SQL for this exercise. Set an authorized Microsoft Entra administrator and grant the trainer the workspace access needed to open Studio and run queries. Do not create a dedicated SQL pool for the main path.</w:t>
      </w:r>
    </w:p>
    <w:p>
      <w:r>
        <w:t>For the simplest demonstration, sign into Synapse with the trainer Entra identity and grant that identity Storage Blob Data Reader on the synthetic day21 container. OPENROWSET then uses the Entra caller identity when no alternate credential is specified. Ensure the Built-in SQL endpoint and storage are reachable under approved network rules.</w:t>
      </w:r>
    </w:p>
    <w:p>
      <w:r>
        <w:t>Direct Reader access to the shared container exposes all synthetic student exports to that identity. Run this as a trainer demonstration unless per-student SQL permissions and storage ACLs are prepared. A schema name in a URL is not security isolation.</w:t>
      </w:r>
    </w:p>
    <w:p>
      <w:r>
        <w:t>For a governed production serving path, use a dedicated reporting location, a workspace managed identity and database-scoped credential, with narrowly granted SQL access. Unity Catalog permissions do not automatically govern a Synapse read of the same files.</w:t>
      </w:r>
    </w:p>
    <w:p>
      <w:pPr>
        <w:pStyle w:val="Heading1"/>
      </w:pPr>
      <w:r>
        <w:t>Lab 10 Query the successful export</w:t>
      </w:r>
    </w:p>
    <w:p>
      <w:r>
        <w:t>1. In Synapse Studio Develop, create a SQL script and choose Connect to Built-in. Use a database/context where your administrator has authorized OPENROWSET; the trainer demonstration can use the existing authorized context.</w:t>
      </w:r>
    </w:p>
    <w:p>
      <w:r>
        <w:t>2. Copy the exact successful ADF pipeline run ID. Replace STUDENT with student_01, DATE with 2026-09-24 and RUN_ID with that ID in the query. Keep *.parquet only inside this one run directory.</w:t>
      </w:r>
    </w:p>
    <w:p>
      <w:r>
        <w:t>3. Run the query. Expect Bengaluru 2 and 400, Pune 1 and 200. Add the two totals and confirm INR 600. Save the query and execution evidence.</w:t>
      </w:r>
    </w:p>
    <w:p>
      <w:r>
        <w:t>4. If access fails, inspect SQL permissions, storage identity and network separately. If no files match, check the run ID and notebook export output.</w:t>
      </w:r>
    </w:p>
    <w:p>
      <w:r>
        <w:t>Synapse serverless Delta support is limited. This lab deliberately reads a separate Parquet export. Never read a Delta table’s internal Parquet files without its transaction log and assume the results are correct.</w:t>
      </w:r>
    </w:p>
    <w:p>
      <w:pPr>
        <w:keepNext/>
        <w:spacing w:after="0" w:line="240" w:lineRule="auto"/>
      </w:pPr>
      <w:r>
        <w:rPr>
          <w:rFonts w:ascii="Liberation Mono" w:hAnsi="Liberation Mono"/>
          <w:sz w:val="17"/>
        </w:rPr>
        <w:t>-- Run in Synapse Studio, Built-in SQL, signed in with Entra ID.</w:t>
      </w:r>
    </w:p>
    <w:p>
      <w:pPr>
        <w:keepNext/>
        <w:spacing w:after="0" w:line="240" w:lineRule="auto"/>
      </w:pPr>
      <w:r>
        <w:rPr>
          <w:rFonts w:ascii="Liberation Mono" w:hAnsi="Liberation Mono"/>
          <w:sz w:val="17"/>
        </w:rPr>
        <w:t>-- Replace STUDENT, DATE and RUN_ID with this successful run.</w:t>
      </w:r>
    </w:p>
    <w:p>
      <w:pPr>
        <w:keepNext/>
        <w:spacing w:after="0" w:line="240" w:lineRule="auto"/>
      </w:pPr>
      <w:r>
        <w:rPr>
          <w:rFonts w:ascii="Liberation Mono" w:hAnsi="Liberation Mono"/>
          <w:sz w:val="17"/>
        </w:rPr>
        <w:t>SELECT city, orders, total_sales</w:t>
      </w:r>
    </w:p>
    <w:p>
      <w:pPr>
        <w:keepNext/>
        <w:spacing w:after="0" w:line="240" w:lineRule="auto"/>
      </w:pPr>
      <w:r>
        <w:rPr>
          <w:rFonts w:ascii="Liberation Mono" w:hAnsi="Liberation Mono"/>
          <w:sz w:val="17"/>
        </w:rPr>
        <w:t>FROM OPENROWSET(</w:t>
      </w:r>
    </w:p>
    <w:p>
      <w:pPr>
        <w:keepNext/>
        <w:spacing w:after="0" w:line="240" w:lineRule="auto"/>
      </w:pPr>
      <w:r>
        <w:rPr>
          <w:rFonts w:ascii="Liberation Mono" w:hAnsi="Liberation Mono"/>
          <w:sz w:val="17"/>
        </w:rPr>
        <w:t xml:space="preserve">    BULK 'https://stcdgtraininglab01.dfs.core.windows.net/day21/STUDENT/reporting/DATE/RUN_ID/*.parquet',</w:t>
      </w:r>
    </w:p>
    <w:p>
      <w:pPr>
        <w:keepNext/>
        <w:spacing w:after="0" w:line="240" w:lineRule="auto"/>
      </w:pPr>
      <w:r>
        <w:rPr>
          <w:rFonts w:ascii="Liberation Mono" w:hAnsi="Liberation Mono"/>
          <w:sz w:val="17"/>
        </w:rPr>
        <w:t xml:space="preserve">    FORMAT = 'PARQUET'</w:t>
      </w:r>
    </w:p>
    <w:p>
      <w:pPr>
        <w:keepNext/>
        <w:spacing w:after="0" w:line="240" w:lineRule="auto"/>
      </w:pPr>
      <w:r>
        <w:rPr>
          <w:rFonts w:ascii="Liberation Mono" w:hAnsi="Liberation Mono"/>
          <w:sz w:val="17"/>
        </w:rPr>
        <w:t>) WITH (</w:t>
      </w:r>
    </w:p>
    <w:p>
      <w:pPr>
        <w:keepNext/>
        <w:spacing w:after="0" w:line="240" w:lineRule="auto"/>
      </w:pPr>
      <w:r>
        <w:rPr>
          <w:rFonts w:ascii="Liberation Mono" w:hAnsi="Liberation Mono"/>
          <w:sz w:val="17"/>
        </w:rPr>
        <w:t xml:space="preserve">    city varchar(100),</w:t>
      </w:r>
    </w:p>
    <w:p>
      <w:pPr>
        <w:keepNext/>
        <w:spacing w:after="0" w:line="240" w:lineRule="auto"/>
      </w:pPr>
      <w:r>
        <w:rPr>
          <w:rFonts w:ascii="Liberation Mono" w:hAnsi="Liberation Mono"/>
          <w:sz w:val="17"/>
        </w:rPr>
        <w:t xml:space="preserve">    orders bigint,</w:t>
      </w:r>
    </w:p>
    <w:p>
      <w:pPr>
        <w:keepNext/>
        <w:spacing w:after="0" w:line="240" w:lineRule="auto"/>
      </w:pPr>
      <w:r>
        <w:rPr>
          <w:rFonts w:ascii="Liberation Mono" w:hAnsi="Liberation Mono"/>
          <w:sz w:val="17"/>
        </w:rPr>
        <w:t xml:space="preserve">    total_sales float</w:t>
      </w:r>
    </w:p>
    <w:p>
      <w:pPr>
        <w:keepNext/>
        <w:spacing w:after="0" w:line="240" w:lineRule="auto"/>
      </w:pPr>
      <w:r>
        <w:rPr>
          <w:rFonts w:ascii="Liberation Mono" w:hAnsi="Liberation Mono"/>
          <w:sz w:val="17"/>
        </w:rPr>
        <w:t>) AS sales</w:t>
      </w:r>
    </w:p>
    <w:p>
      <w:pPr>
        <w:keepNext w:val="0"/>
        <w:spacing w:after="0" w:line="240" w:lineRule="auto"/>
      </w:pPr>
      <w:r>
        <w:rPr>
          <w:rFonts w:ascii="Liberation Mono" w:hAnsi="Liberation Mono"/>
          <w:sz w:val="17"/>
        </w:rPr>
        <w:t>ORDER BY city;</w:t>
      </w:r>
    </w:p>
    <w:p/>
    <w:p>
      <w:pPr>
        <w:pStyle w:val="Heading1"/>
      </w:pPr>
      <w:r>
        <w:t>Integration strategy comparison</w:t>
      </w:r>
    </w:p>
    <w:p>
      <w:r>
        <w:t>Discuss the tradeoff between querying lake files and loading a separate warehouse. The practical uses query-in-place over an intentionally published reporting export. Synapse dedicated SQL loading is a design extension rather than a required new billed resource.</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Strategy</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Advantage</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Responsibility</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Query lake export</w:t>
            </w:r>
          </w:p>
        </w:tc>
        <w:tc>
          <w:tcPr>
            <w:tcW w:type="dxa" w:w="3312"/>
            <w:tcBorders>
              <w:top w:val="single" w:sz="4" w:color="D9D9D9"/>
              <w:left w:val="single" w:sz="4" w:color="D9D9D9"/>
              <w:bottom w:val="single" w:sz="4" w:color="D9D9D9"/>
              <w:right w:val="single" w:sz="4" w:color="D9D9D9"/>
            </w:tcBorders>
          </w:tcPr>
          <w:p>
            <w:pPr>
              <w:spacing w:after="100"/>
            </w:pPr>
            <w:r>
              <w:rPr>
                <w:sz w:val="20"/>
              </w:rPr>
              <w:t>No warehouse load step</w:t>
            </w:r>
          </w:p>
        </w:tc>
        <w:tc>
          <w:tcPr>
            <w:tcW w:type="dxa" w:w="3312"/>
            <w:tcBorders>
              <w:top w:val="single" w:sz="4" w:color="D9D9D9"/>
              <w:left w:val="single" w:sz="4" w:color="D9D9D9"/>
              <w:bottom w:val="single" w:sz="4" w:color="D9D9D9"/>
              <w:right w:val="single" w:sz="4" w:color="D9D9D9"/>
            </w:tcBorders>
          </w:tcPr>
          <w:p>
            <w:pPr>
              <w:spacing w:after="100"/>
            </w:pPr>
            <w:r>
              <w:rPr>
                <w:sz w:val="20"/>
              </w:rPr>
              <w:t>File compatibility and publication freshness</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Load dedicated SQL tables</w:t>
            </w:r>
          </w:p>
        </w:tc>
        <w:tc>
          <w:tcPr>
            <w:tcW w:type="dxa" w:w="3312"/>
            <w:tcBorders>
              <w:top w:val="single" w:sz="4" w:color="D9D9D9"/>
              <w:left w:val="single" w:sz="4" w:color="D9D9D9"/>
              <w:bottom w:val="single" w:sz="4" w:color="D9D9D9"/>
              <w:right w:val="single" w:sz="4" w:color="D9D9D9"/>
            </w:tcBorders>
          </w:tcPr>
          <w:p>
            <w:pPr>
              <w:spacing w:after="100"/>
            </w:pPr>
            <w:r>
              <w:rPr>
                <w:sz w:val="20"/>
              </w:rPr>
              <w:t>Warehouse serving model</w:t>
            </w:r>
          </w:p>
        </w:tc>
        <w:tc>
          <w:tcPr>
            <w:tcW w:type="dxa" w:w="3312"/>
            <w:tcBorders>
              <w:top w:val="single" w:sz="4" w:color="D9D9D9"/>
              <w:left w:val="single" w:sz="4" w:color="D9D9D9"/>
              <w:bottom w:val="single" w:sz="4" w:color="D9D9D9"/>
              <w:right w:val="single" w:sz="4" w:color="D9D9D9"/>
            </w:tcBorders>
          </w:tcPr>
          <w:p>
            <w:pPr>
              <w:spacing w:after="100"/>
            </w:pPr>
            <w:r>
              <w:rPr>
                <w:sz w:val="20"/>
              </w:rPr>
              <w:t>Load process, refresh and extra storage</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Databricks SQL reporting</w:t>
            </w:r>
          </w:p>
        </w:tc>
        <w:tc>
          <w:tcPr>
            <w:tcW w:type="dxa" w:w="3312"/>
            <w:tcBorders>
              <w:top w:val="single" w:sz="4" w:color="D9D9D9"/>
              <w:left w:val="single" w:sz="4" w:color="D9D9D9"/>
              <w:bottom w:val="single" w:sz="4" w:color="D9D9D9"/>
              <w:right w:val="single" w:sz="4" w:color="D9D9D9"/>
            </w:tcBorders>
          </w:tcPr>
          <w:p>
            <w:pPr>
              <w:spacing w:after="100"/>
            </w:pPr>
            <w:r>
              <w:rPr>
                <w:sz w:val="20"/>
              </w:rPr>
              <w:t>Query governed Delta tables</w:t>
            </w:r>
          </w:p>
        </w:tc>
        <w:tc>
          <w:tcPr>
            <w:tcW w:type="dxa" w:w="3312"/>
            <w:tcBorders>
              <w:top w:val="single" w:sz="4" w:color="D9D9D9"/>
              <w:left w:val="single" w:sz="4" w:color="D9D9D9"/>
              <w:bottom w:val="single" w:sz="4" w:color="D9D9D9"/>
              <w:right w:val="single" w:sz="4" w:color="D9D9D9"/>
            </w:tcBorders>
          </w:tcPr>
          <w:p>
            <w:pPr>
              <w:spacing w:after="100"/>
            </w:pPr>
            <w:r>
              <w:rPr>
                <w:sz w:val="20"/>
              </w:rPr>
              <w:t>SQL compute and consumer permissions</w:t>
            </w:r>
          </w:p>
        </w:tc>
      </w:tr>
    </w:tbl>
    <w:p/>
    <w:p>
      <w:pPr>
        <w:pStyle w:val="Heading1"/>
      </w:pPr>
      <w:r>
        <w:t>Lab 11 Design for growth and resilience</w:t>
      </w:r>
    </w:p>
    <w:p>
      <w:r>
        <w:t>Exercise A: the source grows from four rows to four million. Identify at least three changes: ingest only new/changed data where appropriate, select useful columns, review file sizing and execution plans, and size compute from measured demand. Do not use collect() over large business data; the sample collects only two aggregate rows.</w:t>
      </w:r>
    </w:p>
    <w:p>
      <w:r>
        <w:t>Exercise B: a notebook fails after Silver is written but before the export completes. Explain why separate writes are not atomic together. A production design can write to a versioned run location, validate it, then update an approved publication pointer or view. Readers use only the published version.</w:t>
      </w:r>
    </w:p>
    <w:p>
      <w:r>
        <w:t>Exercise C: a file is resent. Choose a business key and an explicit update rule before designing MERGE. This notebook rejects duplicate sample keys and overwrites dedicated snapshot tables; it does not implement general change data capture.</w:t>
      </w:r>
    </w:p>
    <w:p>
      <w:r>
        <w:t>Record the required recovery time and acceptable data loss in business language. Retaining raw files enables replay; backups, retention and recovery must also cover the actual operational requirements.</w:t>
      </w:r>
    </w:p>
    <w:p>
      <w:pPr>
        <w:pStyle w:val="Heading1"/>
      </w:pPr>
      <w:r>
        <w:t>Lab 12 Governance and data management</w:t>
      </w:r>
    </w:p>
    <w:p>
      <w:r>
        <w:t>Create a small data register for Bronze, Silver and Gold. Record an owner, business purpose, definition, access group, source, quality rules and retention policy. Use synthetic values for the exercise; do not invent an actual company policy.</w:t>
      </w:r>
    </w:p>
    <w:p>
      <w:r>
        <w:t>Trace Bengaluru INR 400 to source orders 101 and 103. Explain that Unity Catalog can capture supported lineage within Databricks, while cross-service lineage needs integration or additional run metadata.</w:t>
      </w:r>
    </w:p>
    <w:p>
      <w:r>
        <w:t>Review grants for the student, ADF principal, storage Access Connector and Synapse caller. Distinguish Azure management roles, storage data roles and Unity Catalog/SQL privileges.</w:t>
      </w:r>
    </w:p>
    <w:p>
      <w:r>
        <w:t>Agree on the business meaning of revenue. The classroom rule excludes negative amounts; real retail returns may legitimately be negative and need a different agreed rule.</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Asset</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Example rule</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Example owner</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Source file</w:t>
            </w:r>
          </w:p>
        </w:tc>
        <w:tc>
          <w:tcPr>
            <w:tcW w:type="dxa" w:w="3312"/>
            <w:tcBorders>
              <w:top w:val="single" w:sz="4" w:color="D9D9D9"/>
              <w:left w:val="single" w:sz="4" w:color="D9D9D9"/>
              <w:bottom w:val="single" w:sz="4" w:color="D9D9D9"/>
              <w:right w:val="single" w:sz="4" w:color="D9D9D9"/>
            </w:tcBorders>
          </w:tcPr>
          <w:p>
            <w:pPr>
              <w:spacing w:after="100"/>
            </w:pPr>
            <w:r>
              <w:rPr>
                <w:sz w:val="20"/>
              </w:rPr>
              <w:t>Retain received content</w:t>
            </w:r>
          </w:p>
        </w:tc>
        <w:tc>
          <w:tcPr>
            <w:tcW w:type="dxa" w:w="3312"/>
            <w:tcBorders>
              <w:top w:val="single" w:sz="4" w:color="D9D9D9"/>
              <w:left w:val="single" w:sz="4" w:color="D9D9D9"/>
              <w:bottom w:val="single" w:sz="4" w:color="D9D9D9"/>
              <w:right w:val="single" w:sz="4" w:color="D9D9D9"/>
            </w:tcBorders>
          </w:tcPr>
          <w:p>
            <w:pPr>
              <w:spacing w:after="100"/>
            </w:pPr>
            <w:r>
              <w:rPr>
                <w:sz w:val="20"/>
              </w:rPr>
              <w:t>Source operations</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Silver orders</w:t>
            </w:r>
          </w:p>
        </w:tc>
        <w:tc>
          <w:tcPr>
            <w:tcW w:type="dxa" w:w="3312"/>
            <w:tcBorders>
              <w:top w:val="single" w:sz="4" w:color="D9D9D9"/>
              <w:left w:val="single" w:sz="4" w:color="D9D9D9"/>
              <w:bottom w:val="single" w:sz="4" w:color="D9D9D9"/>
              <w:right w:val="single" w:sz="4" w:color="D9D9D9"/>
            </w:tcBorders>
          </w:tcPr>
          <w:p>
            <w:pPr>
              <w:spacing w:after="100"/>
            </w:pPr>
            <w:r>
              <w:rPr>
                <w:sz w:val="20"/>
              </w:rPr>
              <w:t>Valid IDs and amounts</w:t>
            </w:r>
          </w:p>
        </w:tc>
        <w:tc>
          <w:tcPr>
            <w:tcW w:type="dxa" w:w="3312"/>
            <w:tcBorders>
              <w:top w:val="single" w:sz="4" w:color="D9D9D9"/>
              <w:left w:val="single" w:sz="4" w:color="D9D9D9"/>
              <w:bottom w:val="single" w:sz="4" w:color="D9D9D9"/>
              <w:right w:val="single" w:sz="4" w:color="D9D9D9"/>
            </w:tcBorders>
          </w:tcPr>
          <w:p>
            <w:pPr>
              <w:spacing w:after="100"/>
            </w:pPr>
            <w:r>
              <w:rPr>
                <w:sz w:val="20"/>
              </w:rPr>
              <w:t>Data engineering</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Gold city sales</w:t>
            </w:r>
          </w:p>
        </w:tc>
        <w:tc>
          <w:tcPr>
            <w:tcW w:type="dxa" w:w="3312"/>
            <w:tcBorders>
              <w:top w:val="single" w:sz="4" w:color="D9D9D9"/>
              <w:left w:val="single" w:sz="4" w:color="D9D9D9"/>
              <w:bottom w:val="single" w:sz="4" w:color="D9D9D9"/>
              <w:right w:val="single" w:sz="4" w:color="D9D9D9"/>
            </w:tcBorders>
          </w:tcPr>
          <w:p>
            <w:pPr>
              <w:spacing w:after="100"/>
            </w:pPr>
            <w:r>
              <w:rPr>
                <w:sz w:val="20"/>
              </w:rPr>
              <w:t>Sum accepted orders</w:t>
            </w:r>
          </w:p>
        </w:tc>
        <w:tc>
          <w:tcPr>
            <w:tcW w:type="dxa" w:w="3312"/>
            <w:tcBorders>
              <w:top w:val="single" w:sz="4" w:color="D9D9D9"/>
              <w:left w:val="single" w:sz="4" w:color="D9D9D9"/>
              <w:bottom w:val="single" w:sz="4" w:color="D9D9D9"/>
              <w:right w:val="single" w:sz="4" w:color="D9D9D9"/>
            </w:tcBorders>
          </w:tcPr>
          <w:p>
            <w:pPr>
              <w:spacing w:after="100"/>
            </w:pPr>
            <w:r>
              <w:rPr>
                <w:sz w:val="20"/>
              </w:rPr>
              <w:t>Sales analytics</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Reporting export</w:t>
            </w:r>
          </w:p>
        </w:tc>
        <w:tc>
          <w:tcPr>
            <w:tcW w:type="dxa" w:w="3312"/>
            <w:tcBorders>
              <w:top w:val="single" w:sz="4" w:color="D9D9D9"/>
              <w:left w:val="single" w:sz="4" w:color="D9D9D9"/>
              <w:bottom w:val="single" w:sz="4" w:color="D9D9D9"/>
              <w:right w:val="single" w:sz="4" w:color="D9D9D9"/>
            </w:tcBorders>
          </w:tcPr>
          <w:p>
            <w:pPr>
              <w:spacing w:after="100"/>
            </w:pPr>
            <w:r>
              <w:rPr>
                <w:sz w:val="20"/>
              </w:rPr>
              <w:t>Only successful run is published</w:t>
            </w:r>
          </w:p>
        </w:tc>
        <w:tc>
          <w:tcPr>
            <w:tcW w:type="dxa" w:w="3312"/>
            <w:tcBorders>
              <w:top w:val="single" w:sz="4" w:color="D9D9D9"/>
              <w:left w:val="single" w:sz="4" w:color="D9D9D9"/>
              <w:bottom w:val="single" w:sz="4" w:color="D9D9D9"/>
              <w:right w:val="single" w:sz="4" w:color="D9D9D9"/>
            </w:tcBorders>
          </w:tcPr>
          <w:p>
            <w:pPr>
              <w:spacing w:after="100"/>
            </w:pPr>
            <w:r>
              <w:rPr>
                <w:sz w:val="20"/>
              </w:rPr>
              <w:t>Reporting team</w:t>
            </w:r>
          </w:p>
        </w:tc>
      </w:tr>
    </w:tbl>
    <w:p/>
    <w:p>
      <w:pPr>
        <w:pStyle w:val="Heading1"/>
      </w:pPr>
      <w:r>
        <w:t>Troubleshooting</w:t>
      </w:r>
    </w:p>
    <w:p>
      <w:r>
        <w:t>Capture exact activity name, error, executing identity and path before changing configuration.</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Symptom</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Check</w:t>
            </w:r>
          </w:p>
        </w:tc>
        <w:tc>
          <w:tcPr>
            <w:tcW w:type="dxa" w:w="3312"/>
            <w:tcBorders>
              <w:top w:val="single" w:sz="4" w:color="D9D9D9"/>
              <w:left w:val="single" w:sz="4" w:color="D9D9D9"/>
              <w:bottom w:val="single" w:sz="4" w:color="D9D9D9"/>
              <w:right w:val="single" w:sz="4" w:color="D9D9D9"/>
            </w:tcBorders>
            <w:shd w:fill="DCEAF4"/>
          </w:tcPr>
          <w:p>
            <w:pPr>
              <w:spacing w:after="100"/>
            </w:pPr>
            <w:r>
              <w:rPr>
                <w:b/>
                <w:sz w:val="20"/>
              </w:rPr>
              <w:t>Next action</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ADF copy 403</w:t>
            </w:r>
          </w:p>
        </w:tc>
        <w:tc>
          <w:tcPr>
            <w:tcW w:type="dxa" w:w="3312"/>
            <w:tcBorders>
              <w:top w:val="single" w:sz="4" w:color="D9D9D9"/>
              <w:left w:val="single" w:sz="4" w:color="D9D9D9"/>
              <w:bottom w:val="single" w:sz="4" w:color="D9D9D9"/>
              <w:right w:val="single" w:sz="4" w:color="D9D9D9"/>
            </w:tcBorders>
          </w:tcPr>
          <w:p>
            <w:pPr>
              <w:spacing w:after="100"/>
            </w:pPr>
            <w:r>
              <w:rPr>
                <w:sz w:val="20"/>
              </w:rPr>
              <w:t>Factory identity, storage role, network</w:t>
            </w:r>
          </w:p>
        </w:tc>
        <w:tc>
          <w:tcPr>
            <w:tcW w:type="dxa" w:w="3312"/>
            <w:tcBorders>
              <w:top w:val="single" w:sz="4" w:color="D9D9D9"/>
              <w:left w:val="single" w:sz="4" w:color="D9D9D9"/>
              <w:bottom w:val="single" w:sz="4" w:color="D9D9D9"/>
              <w:right w:val="single" w:sz="4" w:color="D9D9D9"/>
            </w:tcBorders>
          </w:tcPr>
          <w:p>
            <w:pPr>
              <w:spacing w:after="100"/>
            </w:pPr>
            <w:r>
              <w:rPr>
                <w:sz w:val="20"/>
              </w:rPr>
              <w:t>Correct scoped access or route</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Notebook cannot start</w:t>
            </w:r>
          </w:p>
        </w:tc>
        <w:tc>
          <w:tcPr>
            <w:tcW w:type="dxa" w:w="3312"/>
            <w:tcBorders>
              <w:top w:val="single" w:sz="4" w:color="D9D9D9"/>
              <w:left w:val="single" w:sz="4" w:color="D9D9D9"/>
              <w:bottom w:val="single" w:sz="4" w:color="D9D9D9"/>
              <w:right w:val="single" w:sz="4" w:color="D9D9D9"/>
            </w:tcBorders>
          </w:tcPr>
          <w:p>
            <w:pPr>
              <w:spacing w:after="100"/>
            </w:pPr>
            <w:r>
              <w:rPr>
                <w:sz w:val="20"/>
              </w:rPr>
              <w:t>Linked service, principal, compute permission</w:t>
            </w:r>
          </w:p>
        </w:tc>
        <w:tc>
          <w:tcPr>
            <w:tcW w:type="dxa" w:w="3312"/>
            <w:tcBorders>
              <w:top w:val="single" w:sz="4" w:color="D9D9D9"/>
              <w:left w:val="single" w:sz="4" w:color="D9D9D9"/>
              <w:bottom w:val="single" w:sz="4" w:color="D9D9D9"/>
              <w:right w:val="single" w:sz="4" w:color="D9D9D9"/>
            </w:tcBorders>
          </w:tcPr>
          <w:p>
            <w:pPr>
              <w:spacing w:after="100"/>
            </w:pPr>
            <w:r>
              <w:rPr>
                <w:sz w:val="20"/>
              </w:rPr>
              <w:t>Verify automation onboarding</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Notebook storage 403</w:t>
            </w:r>
          </w:p>
        </w:tc>
        <w:tc>
          <w:tcPr>
            <w:tcW w:type="dxa" w:w="3312"/>
            <w:tcBorders>
              <w:top w:val="single" w:sz="4" w:color="D9D9D9"/>
              <w:left w:val="single" w:sz="4" w:color="D9D9D9"/>
              <w:bottom w:val="single" w:sz="4" w:color="D9D9D9"/>
              <w:right w:val="single" w:sz="4" w:color="D9D9D9"/>
            </w:tcBorders>
          </w:tcPr>
          <w:p>
            <w:pPr>
              <w:spacing w:after="100"/>
            </w:pPr>
            <w:r>
              <w:rPr>
                <w:sz w:val="20"/>
              </w:rPr>
              <w:t>UC grants and Access Connector role</w:t>
            </w:r>
          </w:p>
        </w:tc>
        <w:tc>
          <w:tcPr>
            <w:tcW w:type="dxa" w:w="3312"/>
            <w:tcBorders>
              <w:top w:val="single" w:sz="4" w:color="D9D9D9"/>
              <w:left w:val="single" w:sz="4" w:color="D9D9D9"/>
              <w:bottom w:val="single" w:sz="4" w:color="D9D9D9"/>
              <w:right w:val="single" w:sz="4" w:color="D9D9D9"/>
            </w:tcBorders>
          </w:tcPr>
          <w:p>
            <w:pPr>
              <w:spacing w:after="100"/>
            </w:pPr>
            <w:r>
              <w:rPr>
                <w:sz w:val="20"/>
              </w:rPr>
              <w:t>Check both authorization layers</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Overwrite denied</w:t>
            </w:r>
          </w:p>
        </w:tc>
        <w:tc>
          <w:tcPr>
            <w:tcW w:type="dxa" w:w="3312"/>
            <w:tcBorders>
              <w:top w:val="single" w:sz="4" w:color="D9D9D9"/>
              <w:left w:val="single" w:sz="4" w:color="D9D9D9"/>
              <w:bottom w:val="single" w:sz="4" w:color="D9D9D9"/>
              <w:right w:val="single" w:sz="4" w:color="D9D9D9"/>
            </w:tcBorders>
          </w:tcPr>
          <w:p>
            <w:pPr>
              <w:spacing w:after="100"/>
            </w:pPr>
            <w:r>
              <w:rPr>
                <w:sz w:val="20"/>
              </w:rPr>
              <w:t>Table owner and executing principal</w:t>
            </w:r>
          </w:p>
        </w:tc>
        <w:tc>
          <w:tcPr>
            <w:tcW w:type="dxa" w:w="3312"/>
            <w:tcBorders>
              <w:top w:val="single" w:sz="4" w:color="D9D9D9"/>
              <w:left w:val="single" w:sz="4" w:color="D9D9D9"/>
              <w:bottom w:val="single" w:sz="4" w:color="D9D9D9"/>
              <w:right w:val="single" w:sz="4" w:color="D9D9D9"/>
            </w:tcBorders>
          </w:tcPr>
          <w:p>
            <w:pPr>
              <w:spacing w:after="100"/>
            </w:pPr>
            <w:r>
              <w:rPr>
                <w:sz w:val="20"/>
              </w:rPr>
              <w:t>Resolve ownership for lab tables</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Source missing</w:t>
            </w:r>
          </w:p>
        </w:tc>
        <w:tc>
          <w:tcPr>
            <w:tcW w:type="dxa" w:w="3312"/>
            <w:tcBorders>
              <w:top w:val="single" w:sz="4" w:color="D9D9D9"/>
              <w:left w:val="single" w:sz="4" w:color="D9D9D9"/>
              <w:bottom w:val="single" w:sz="4" w:color="D9D9D9"/>
              <w:right w:val="single" w:sz="4" w:color="D9D9D9"/>
            </w:tcBorders>
          </w:tcPr>
          <w:p>
            <w:pPr>
              <w:spacing w:after="100"/>
            </w:pPr>
            <w:r>
              <w:rPr>
                <w:sz w:val="20"/>
              </w:rPr>
              <w:t>Dataset parameters and folder</w:t>
            </w:r>
          </w:p>
        </w:tc>
        <w:tc>
          <w:tcPr>
            <w:tcW w:type="dxa" w:w="3312"/>
            <w:tcBorders>
              <w:top w:val="single" w:sz="4" w:color="D9D9D9"/>
              <w:left w:val="single" w:sz="4" w:color="D9D9D9"/>
              <w:bottom w:val="single" w:sz="4" w:color="D9D9D9"/>
              <w:right w:val="single" w:sz="4" w:color="D9D9D9"/>
            </w:tcBorders>
          </w:tcPr>
          <w:p>
            <w:pPr>
              <w:spacing w:after="100"/>
            </w:pPr>
            <w:r>
              <w:rPr>
                <w:sz w:val="20"/>
              </w:rPr>
              <w:t>Compare exact source path</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Result check fails</w:t>
            </w:r>
          </w:p>
        </w:tc>
        <w:tc>
          <w:tcPr>
            <w:tcW w:type="dxa" w:w="3312"/>
            <w:tcBorders>
              <w:top w:val="single" w:sz="4" w:color="D9D9D9"/>
              <w:left w:val="single" w:sz="4" w:color="D9D9D9"/>
              <w:bottom w:val="single" w:sz="4" w:color="D9D9D9"/>
              <w:right w:val="single" w:sz="4" w:color="D9D9D9"/>
            </w:tcBorders>
          </w:tcPr>
          <w:p>
            <w:pPr>
              <w:spacing w:after="100"/>
            </w:pPr>
            <w:r>
              <w:rPr>
                <w:sz w:val="20"/>
              </w:rPr>
              <w:t>runOutput string and JSON status</w:t>
            </w:r>
          </w:p>
        </w:tc>
        <w:tc>
          <w:tcPr>
            <w:tcW w:type="dxa" w:w="3312"/>
            <w:tcBorders>
              <w:top w:val="single" w:sz="4" w:color="D9D9D9"/>
              <w:left w:val="single" w:sz="4" w:color="D9D9D9"/>
              <w:bottom w:val="single" w:sz="4" w:color="D9D9D9"/>
              <w:right w:val="single" w:sz="4" w:color="D9D9D9"/>
            </w:tcBorders>
          </w:tcPr>
          <w:p>
            <w:pPr>
              <w:spacing w:after="100"/>
            </w:pPr>
            <w:r>
              <w:rPr>
                <w:sz w:val="20"/>
              </w:rPr>
              <w:t>Read notebook exit output</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Synapse 403</w:t>
            </w:r>
          </w:p>
        </w:tc>
        <w:tc>
          <w:tcPr>
            <w:tcW w:type="dxa" w:w="3312"/>
            <w:tcBorders>
              <w:top w:val="single" w:sz="4" w:color="D9D9D9"/>
              <w:left w:val="single" w:sz="4" w:color="D9D9D9"/>
              <w:bottom w:val="single" w:sz="4" w:color="D9D9D9"/>
              <w:right w:val="single" w:sz="4" w:color="D9D9D9"/>
            </w:tcBorders>
          </w:tcPr>
          <w:p>
            <w:pPr>
              <w:spacing w:after="100"/>
            </w:pPr>
            <w:r>
              <w:rPr>
                <w:sz w:val="20"/>
              </w:rPr>
              <w:t>SQL caller and storage permission</w:t>
            </w:r>
          </w:p>
        </w:tc>
        <w:tc>
          <w:tcPr>
            <w:tcW w:type="dxa" w:w="3312"/>
            <w:tcBorders>
              <w:top w:val="single" w:sz="4" w:color="D9D9D9"/>
              <w:left w:val="single" w:sz="4" w:color="D9D9D9"/>
              <w:bottom w:val="single" w:sz="4" w:color="D9D9D9"/>
              <w:right w:val="single" w:sz="4" w:color="D9D9D9"/>
            </w:tcBorders>
          </w:tcPr>
          <w:p>
            <w:pPr>
              <w:spacing w:after="100"/>
            </w:pPr>
            <w:r>
              <w:rPr>
                <w:sz w:val="20"/>
              </w:rPr>
              <w:t>Fix intended read path</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Double revenue</w:t>
            </w:r>
          </w:p>
        </w:tc>
        <w:tc>
          <w:tcPr>
            <w:tcW w:type="dxa" w:w="3312"/>
            <w:tcBorders>
              <w:top w:val="single" w:sz="4" w:color="D9D9D9"/>
              <w:left w:val="single" w:sz="4" w:color="D9D9D9"/>
              <w:bottom w:val="single" w:sz="4" w:color="D9D9D9"/>
              <w:right w:val="single" w:sz="4" w:color="D9D9D9"/>
            </w:tcBorders>
          </w:tcPr>
          <w:p>
            <w:pPr>
              <w:spacing w:after="100"/>
            </w:pPr>
            <w:r>
              <w:rPr>
                <w:sz w:val="20"/>
              </w:rPr>
              <w:t>Wildcard includes multiple run folders</w:t>
            </w:r>
          </w:p>
        </w:tc>
        <w:tc>
          <w:tcPr>
            <w:tcW w:type="dxa" w:w="3312"/>
            <w:tcBorders>
              <w:top w:val="single" w:sz="4" w:color="D9D9D9"/>
              <w:left w:val="single" w:sz="4" w:color="D9D9D9"/>
              <w:bottom w:val="single" w:sz="4" w:color="D9D9D9"/>
              <w:right w:val="single" w:sz="4" w:color="D9D9D9"/>
            </w:tcBorders>
          </w:tcPr>
          <w:p>
            <w:pPr>
              <w:spacing w:after="100"/>
            </w:pPr>
            <w:r>
              <w:rPr>
                <w:sz w:val="20"/>
              </w:rPr>
              <w:t>Query one successful snapshot</w:t>
            </w:r>
          </w:p>
        </w:tc>
      </w:tr>
      <w:tr>
        <w:trPr>
          <w:cantSplit/>
        </w:trPr>
        <w:tc>
          <w:tcPr>
            <w:tcW w:type="dxa" w:w="3312"/>
            <w:tcBorders>
              <w:top w:val="single" w:sz="4" w:color="D9D9D9"/>
              <w:left w:val="single" w:sz="4" w:color="D9D9D9"/>
              <w:bottom w:val="single" w:sz="4" w:color="D9D9D9"/>
              <w:right w:val="single" w:sz="4" w:color="D9D9D9"/>
            </w:tcBorders>
          </w:tcPr>
          <w:p>
            <w:pPr>
              <w:spacing w:after="100"/>
            </w:pPr>
            <w:r>
              <w:rPr>
                <w:sz w:val="20"/>
              </w:rPr>
              <w:t>Old report after failure</w:t>
            </w:r>
          </w:p>
        </w:tc>
        <w:tc>
          <w:tcPr>
            <w:tcW w:type="dxa" w:w="3312"/>
            <w:tcBorders>
              <w:top w:val="single" w:sz="4" w:color="D9D9D9"/>
              <w:left w:val="single" w:sz="4" w:color="D9D9D9"/>
              <w:bottom w:val="single" w:sz="4" w:color="D9D9D9"/>
              <w:right w:val="single" w:sz="4" w:color="D9D9D9"/>
            </w:tcBorders>
          </w:tcPr>
          <w:p>
            <w:pPr>
              <w:spacing w:after="100"/>
            </w:pPr>
            <w:r>
              <w:rPr>
                <w:sz w:val="20"/>
              </w:rPr>
              <w:t>Published version and run status</w:t>
            </w:r>
          </w:p>
        </w:tc>
        <w:tc>
          <w:tcPr>
            <w:tcW w:type="dxa" w:w="3312"/>
            <w:tcBorders>
              <w:top w:val="single" w:sz="4" w:color="D9D9D9"/>
              <w:left w:val="single" w:sz="4" w:color="D9D9D9"/>
              <w:bottom w:val="single" w:sz="4" w:color="D9D9D9"/>
              <w:right w:val="single" w:sz="4" w:color="D9D9D9"/>
            </w:tcBorders>
          </w:tcPr>
          <w:p>
            <w:pPr>
              <w:spacing w:after="100"/>
            </w:pPr>
            <w:r>
              <w:rPr>
                <w:sz w:val="20"/>
              </w:rPr>
              <w:t>Publish only verified completion</w:t>
            </w:r>
          </w:p>
        </w:tc>
      </w:tr>
    </w:tbl>
    <w:p/>
    <w:p>
      <w:pPr>
        <w:pStyle w:val="Heading1"/>
      </w:pPr>
      <w:r>
        <w:t>Assessment and cleanup</w:t>
      </w:r>
    </w:p>
    <w:p>
      <w:r>
        <w:t>Submit the resource map, identity matrix, pipeline activity run evidence, notebook JSON result, counts 4/3/1, two-city totals, Synapse query and result, failure/recovery evidence and a data register.</w:t>
      </w:r>
    </w:p>
    <w:p>
      <w:r>
        <w:t>Suggested scoring: storage/security 20; ADF integration 30; transformation/results 20; Synapse 15; architecture/governance/recovery 15. Mark unexecuted cloud sections pending rather than claiming completion.</w:t>
      </w:r>
    </w:p>
    <w:p>
      <w:r>
        <w:t>Pause test triggers. Retain artifacts until assessment. Trainer stops shared compute only after all students finish. Remove dedicated Day21 resources only after checking dependencies and retention; preserve the existing workspace, managed resource group, Access Connector and shared storage.</w:t>
      </w:r>
    </w:p>
    <w:p>
      <w:r>
        <w:t>Costs can include Databricks compute, ADF operations, storage and Synapse serverless data scanned. A budget alert does not automatically shut these down.</w:t>
      </w:r>
    </w:p>
    <w:p>
      <w:pPr>
        <w:pStyle w:val="Heading1"/>
      </w:pPr>
      <w:r>
        <w:t>Official references</w:t>
      </w:r>
    </w:p>
    <w:p>
      <w:r>
        <w:t>ADF notebooks https://learn.microsoft.com/en-us/azure/data-factory/transform-data-databricks-notebook</w:t>
      </w:r>
    </w:p>
    <w:p>
      <w:r>
        <w:t>ADF linked services https://learn.microsoft.com/en-us/azure/data-factory/compute-linked-services</w:t>
      </w:r>
    </w:p>
    <w:p>
      <w:r>
        <w:t>ADLS connector https://learn.microsoft.com/en-us/azure/data-factory/connector-azure-data-lake-storage</w:t>
      </w:r>
    </w:p>
    <w:p>
      <w:r>
        <w:t>Managed identities https://learn.microsoft.com/en-us/azure/databricks/connect/unity-catalog/cloud-storage/azure-managed-identities</w:t>
      </w:r>
    </w:p>
    <w:p>
      <w:r>
        <w:t>Synapse storage access https://learn.microsoft.com/en-us/azure/synapse-analytics/sql/develop-storage-files-storage-access-control</w:t>
      </w:r>
    </w:p>
    <w:p>
      <w:r>
        <w:t>Synapse Delta limitations https://learn.microsoft.com/en-us/azure/synapse-analytics/sql/query-delta-lake-format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Day 21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21 Azure Databricks</dc:title>
  <dc:subject/>
  <dc:creator>Training materials</dc:creator>
  <cp:keywords/>
  <dc:description>generated by python-docx</dc:description>
  <cp:lastModifiedBy/>
  <cp:revision>1</cp:revision>
  <dcterms:created xsi:type="dcterms:W3CDTF">2013-12-23T23:15:00Z</dcterms:created>
  <dcterms:modified xsi:type="dcterms:W3CDTF">2013-12-23T23:15:00Z</dcterms:modified>
  <cp:category/>
</cp:coreProperties>
</file>