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22 Detailed Lab Guide</w:t>
      </w:r>
    </w:p>
    <w:p>
      <w:r>
        <w:t>Performance and optimization with advanced security and privacy in Azure Databricks. This lab builds on the Day 21 copied sales file and helps students prove correctness, measure work, inspect cost, and test access restrictions.</w:t>
      </w:r>
    </w:p>
    <w:p>
      <w:r>
        <w:t>Audience: 14 learners sharing a training environment. Estimated teaching time: 6 hours plus breaks. Use synthetic information only. Prepared 25 September 2026. Cloud execution must be piloted by the trainer before class.</w:t>
      </w:r>
    </w:p>
    <w:p>
      <w:r>
        <w:t>Outcome: each learner produces validated Delta tables, a measured tuning comparison, and privacy exercise evidence. The trainer demonstrates restricted views and cost visibility. Infrastructure changes affecting shared compute or networking remain trainer tasks.</w:t>
      </w:r>
    </w:p>
    <w:p>
      <w:pPr>
        <w:pStyle w:val="Heading1"/>
      </w:pPr>
      <w:r>
        <w:t>Coverage and session plan</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Schedule topic</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Exercise</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Minutes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Cluster configuration</w:t>
            </w:r>
          </w:p>
        </w:tc>
        <w:tc>
          <w:tcPr>
            <w:tcW w:type="dxa" w:w="3312"/>
            <w:tcBorders>
              <w:top w:val="single" w:sz="4" w:color="D9D9D9"/>
              <w:left w:val="single" w:sz="4" w:color="D9D9D9"/>
              <w:bottom w:val="single" w:sz="4" w:color="D9D9D9"/>
              <w:right w:val="single" w:sz="4" w:color="D9D9D9"/>
            </w:tcBorders>
          </w:tcPr>
          <w:p>
            <w:pPr>
              <w:spacing w:after="100"/>
            </w:pPr>
            <w:r>
              <w:rPr>
                <w:sz w:val="20"/>
              </w:rPr>
              <w:t>Lab 1 compute review</w:t>
            </w:r>
          </w:p>
        </w:tc>
        <w:tc>
          <w:tcPr>
            <w:tcW w:type="dxa" w:w="3312"/>
            <w:tcBorders>
              <w:top w:val="single" w:sz="4" w:color="D9D9D9"/>
              <w:left w:val="single" w:sz="4" w:color="D9D9D9"/>
              <w:bottom w:val="single" w:sz="4" w:color="D9D9D9"/>
              <w:right w:val="single" w:sz="4" w:color="D9D9D9"/>
            </w:tcBorders>
          </w:tcPr>
          <w:p>
            <w:pPr>
              <w:spacing w:after="100"/>
            </w:pPr>
            <w:r>
              <w:rPr>
                <w:sz w:val="20"/>
              </w:rPr>
              <w:t>30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Large scale performance tuning</w:t>
            </w:r>
          </w:p>
        </w:tc>
        <w:tc>
          <w:tcPr>
            <w:tcW w:type="dxa" w:w="3312"/>
            <w:tcBorders>
              <w:top w:val="single" w:sz="4" w:color="D9D9D9"/>
              <w:left w:val="single" w:sz="4" w:color="D9D9D9"/>
              <w:bottom w:val="single" w:sz="4" w:color="D9D9D9"/>
              <w:right w:val="single" w:sz="4" w:color="D9D9D9"/>
            </w:tcBorders>
          </w:tcPr>
          <w:p>
            <w:pPr>
              <w:spacing w:after="100"/>
            </w:pPr>
            <w:r>
              <w:rPr>
                <w:sz w:val="20"/>
              </w:rPr>
              <w:t>Labs 3 and 4 measurement and plans</w:t>
            </w:r>
          </w:p>
        </w:tc>
        <w:tc>
          <w:tcPr>
            <w:tcW w:type="dxa" w:w="3312"/>
            <w:tcBorders>
              <w:top w:val="single" w:sz="4" w:color="D9D9D9"/>
              <w:left w:val="single" w:sz="4" w:color="D9D9D9"/>
              <w:bottom w:val="single" w:sz="4" w:color="D9D9D9"/>
              <w:right w:val="single" w:sz="4" w:color="D9D9D9"/>
            </w:tcBorders>
          </w:tcPr>
          <w:p>
            <w:pPr>
              <w:spacing w:after="100"/>
            </w:pPr>
            <w:r>
              <w:rPr>
                <w:sz w:val="20"/>
              </w:rPr>
              <w:t>70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Databricks cost and Azure Cost Management</w:t>
            </w:r>
          </w:p>
        </w:tc>
        <w:tc>
          <w:tcPr>
            <w:tcW w:type="dxa" w:w="3312"/>
            <w:tcBorders>
              <w:top w:val="single" w:sz="4" w:color="D9D9D9"/>
              <w:left w:val="single" w:sz="4" w:color="D9D9D9"/>
              <w:bottom w:val="single" w:sz="4" w:color="D9D9D9"/>
              <w:right w:val="single" w:sz="4" w:color="D9D9D9"/>
            </w:tcBorders>
          </w:tcPr>
          <w:p>
            <w:pPr>
              <w:spacing w:after="100"/>
            </w:pPr>
            <w:r>
              <w:rPr>
                <w:sz w:val="20"/>
              </w:rPr>
              <w:t>Lab 5 cost investigation</w:t>
            </w:r>
          </w:p>
        </w:tc>
        <w:tc>
          <w:tcPr>
            <w:tcW w:type="dxa" w:w="3312"/>
            <w:tcBorders>
              <w:top w:val="single" w:sz="4" w:color="D9D9D9"/>
              <w:left w:val="single" w:sz="4" w:color="D9D9D9"/>
              <w:bottom w:val="single" w:sz="4" w:color="D9D9D9"/>
              <w:right w:val="single" w:sz="4" w:color="D9D9D9"/>
            </w:tcBorders>
          </w:tcPr>
          <w:p>
            <w:pPr>
              <w:spacing w:after="100"/>
            </w:pPr>
            <w:r>
              <w:rPr>
                <w:sz w:val="20"/>
              </w:rPr>
              <w:t>40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Advanced security features</w:t>
            </w:r>
          </w:p>
        </w:tc>
        <w:tc>
          <w:tcPr>
            <w:tcW w:type="dxa" w:w="3312"/>
            <w:tcBorders>
              <w:top w:val="single" w:sz="4" w:color="D9D9D9"/>
              <w:left w:val="single" w:sz="4" w:color="D9D9D9"/>
              <w:bottom w:val="single" w:sz="4" w:color="D9D9D9"/>
              <w:right w:val="single" w:sz="4" w:color="D9D9D9"/>
            </w:tcBorders>
          </w:tcPr>
          <w:p>
            <w:pPr>
              <w:spacing w:after="100"/>
            </w:pPr>
            <w:r>
              <w:rPr>
                <w:sz w:val="20"/>
              </w:rPr>
              <w:t>Labs 6 and 7 access and controls</w:t>
            </w:r>
          </w:p>
        </w:tc>
        <w:tc>
          <w:tcPr>
            <w:tcW w:type="dxa" w:w="3312"/>
            <w:tcBorders>
              <w:top w:val="single" w:sz="4" w:color="D9D9D9"/>
              <w:left w:val="single" w:sz="4" w:color="D9D9D9"/>
              <w:bottom w:val="single" w:sz="4" w:color="D9D9D9"/>
              <w:right w:val="single" w:sz="4" w:color="D9D9D9"/>
            </w:tcBorders>
          </w:tcPr>
          <w:p>
            <w:pPr>
              <w:spacing w:after="100"/>
            </w:pPr>
            <w:r>
              <w:rPr>
                <w:sz w:val="20"/>
              </w:rPr>
              <w:t>60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Anonymization and masking</w:t>
            </w:r>
          </w:p>
        </w:tc>
        <w:tc>
          <w:tcPr>
            <w:tcW w:type="dxa" w:w="3312"/>
            <w:tcBorders>
              <w:top w:val="single" w:sz="4" w:color="D9D9D9"/>
              <w:left w:val="single" w:sz="4" w:color="D9D9D9"/>
              <w:bottom w:val="single" w:sz="4" w:color="D9D9D9"/>
              <w:right w:val="single" w:sz="4" w:color="D9D9D9"/>
            </w:tcBorders>
          </w:tcPr>
          <w:p>
            <w:pPr>
              <w:spacing w:after="100"/>
            </w:pPr>
            <w:r>
              <w:rPr>
                <w:sz w:val="20"/>
              </w:rPr>
              <w:t>Lab 8 privacy transformations</w:t>
            </w:r>
          </w:p>
        </w:tc>
        <w:tc>
          <w:tcPr>
            <w:tcW w:type="dxa" w:w="3312"/>
            <w:tcBorders>
              <w:top w:val="single" w:sz="4" w:color="D9D9D9"/>
              <w:left w:val="single" w:sz="4" w:color="D9D9D9"/>
              <w:bottom w:val="single" w:sz="4" w:color="D9D9D9"/>
              <w:right w:val="single" w:sz="4" w:color="D9D9D9"/>
            </w:tcBorders>
          </w:tcPr>
          <w:p>
            <w:pPr>
              <w:spacing w:after="100"/>
            </w:pPr>
            <w:r>
              <w:rPr>
                <w:sz w:val="20"/>
              </w:rPr>
              <w:t>35</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GDPR and CCPA concepts</w:t>
            </w:r>
          </w:p>
        </w:tc>
        <w:tc>
          <w:tcPr>
            <w:tcW w:type="dxa" w:w="3312"/>
            <w:tcBorders>
              <w:top w:val="single" w:sz="4" w:color="D9D9D9"/>
              <w:left w:val="single" w:sz="4" w:color="D9D9D9"/>
              <w:bottom w:val="single" w:sz="4" w:color="D9D9D9"/>
              <w:right w:val="single" w:sz="4" w:color="D9D9D9"/>
            </w:tcBorders>
          </w:tcPr>
          <w:p>
            <w:pPr>
              <w:spacing w:after="100"/>
            </w:pPr>
            <w:r>
              <w:rPr>
                <w:sz w:val="20"/>
              </w:rPr>
              <w:t>Lab 9 request handling</w:t>
            </w:r>
          </w:p>
        </w:tc>
        <w:tc>
          <w:tcPr>
            <w:tcW w:type="dxa" w:w="3312"/>
            <w:tcBorders>
              <w:top w:val="single" w:sz="4" w:color="D9D9D9"/>
              <w:left w:val="single" w:sz="4" w:color="D9D9D9"/>
              <w:bottom w:val="single" w:sz="4" w:color="D9D9D9"/>
              <w:right w:val="single" w:sz="4" w:color="D9D9D9"/>
            </w:tcBorders>
          </w:tcPr>
          <w:p>
            <w:pPr>
              <w:spacing w:after="100"/>
            </w:pPr>
            <w:r>
              <w:rPr>
                <w:sz w:val="20"/>
              </w:rPr>
              <w:t>30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ETL and ELT on Day 21 data</w:t>
            </w:r>
          </w:p>
        </w:tc>
        <w:tc>
          <w:tcPr>
            <w:tcW w:type="dxa" w:w="3312"/>
            <w:tcBorders>
              <w:top w:val="single" w:sz="4" w:color="D9D9D9"/>
              <w:left w:val="single" w:sz="4" w:color="D9D9D9"/>
              <w:bottom w:val="single" w:sz="4" w:color="D9D9D9"/>
              <w:right w:val="single" w:sz="4" w:color="D9D9D9"/>
            </w:tcBorders>
          </w:tcPr>
          <w:p>
            <w:pPr>
              <w:spacing w:after="100"/>
            </w:pPr>
            <w:r>
              <w:rPr>
                <w:sz w:val="20"/>
              </w:rPr>
              <w:t>Lab 2 and Lab 10 pipeline rerun</w:t>
            </w:r>
          </w:p>
        </w:tc>
        <w:tc>
          <w:tcPr>
            <w:tcW w:type="dxa" w:w="3312"/>
            <w:tcBorders>
              <w:top w:val="single" w:sz="4" w:color="D9D9D9"/>
              <w:left w:val="single" w:sz="4" w:color="D9D9D9"/>
              <w:bottom w:val="single" w:sz="4" w:color="D9D9D9"/>
              <w:right w:val="single" w:sz="4" w:color="D9D9D9"/>
            </w:tcBorders>
          </w:tcPr>
          <w:p>
            <w:pPr>
              <w:spacing w:after="100"/>
            </w:pPr>
            <w:r>
              <w:rPr>
                <w:sz w:val="20"/>
              </w:rPr>
              <w:t>70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Evidence and review</w:t>
            </w:r>
          </w:p>
        </w:tc>
        <w:tc>
          <w:tcPr>
            <w:tcW w:type="dxa" w:w="3312"/>
            <w:tcBorders>
              <w:top w:val="single" w:sz="4" w:color="D9D9D9"/>
              <w:left w:val="single" w:sz="4" w:color="D9D9D9"/>
              <w:bottom w:val="single" w:sz="4" w:color="D9D9D9"/>
              <w:right w:val="single" w:sz="4" w:color="D9D9D9"/>
            </w:tcBorders>
          </w:tcPr>
          <w:p>
            <w:pPr>
              <w:spacing w:after="100"/>
            </w:pPr>
            <w:r>
              <w:rPr>
                <w:sz w:val="20"/>
              </w:rPr>
              <w:t>Assessment and cleanup</w:t>
            </w:r>
          </w:p>
        </w:tc>
        <w:tc>
          <w:tcPr>
            <w:tcW w:type="dxa" w:w="3312"/>
            <w:tcBorders>
              <w:top w:val="single" w:sz="4" w:color="D9D9D9"/>
              <w:left w:val="single" w:sz="4" w:color="D9D9D9"/>
              <w:bottom w:val="single" w:sz="4" w:color="D9D9D9"/>
              <w:right w:val="single" w:sz="4" w:color="D9D9D9"/>
            </w:tcBorders>
          </w:tcPr>
          <w:p>
            <w:pPr>
              <w:spacing w:after="100"/>
            </w:pPr>
            <w:r>
              <w:rPr>
                <w:sz w:val="20"/>
              </w:rPr>
              <w:t>25</w:t>
            </w:r>
          </w:p>
        </w:tc>
      </w:tr>
    </w:tbl>
    <w:p/>
    <w:p>
      <w:pPr>
        <w:pStyle w:val="Heading1"/>
      </w:pPr>
      <w:r>
        <w:t>Prerequisites and trainer preparation</w:t>
      </w:r>
    </w:p>
    <w:p>
      <w:r>
        <w:t>1. Confirm Day 21 ran successfully. Record the real writable catalog, student schema, volume name, and processing date. training_lab_classic is a suggested placeholder, not a verified resource in your account.</w:t>
      </w:r>
    </w:p>
    <w:p>
      <w:r>
        <w:t>2. Reuse dbw-cdg-training-hybrid and training-shared-compute only if they are healthy and authorized. Use Unity Catalog compatible Standard compute and a supported runtime tested by the trainer, such as the existing 15.4 LTS lab configuration. SQL warehouse is an alternative for the security SQL demonstration.</w:t>
      </w:r>
    </w:p>
    <w:p>
      <w:r>
        <w:t>3. Learners need workspace access, CAN ATTACH TO on shared compute, USE CATALOG, USE SCHEMA, CREATE TABLE in their own schema, and READ VOLUME on day21_exchange. Writing exported files would additionally require WRITE VOLUME. Avoid catalog-wide student SELECT grants.</w:t>
      </w:r>
    </w:p>
    <w:p>
      <w:r>
        <w:t>4. The trainer needs privileges to create a dedicated security schema, create account groups or work with an account administrator, manage grants, and view costs. System billing and audit queries are conditional on permissions and availability. Do not give learners account-wide audit access.</w:t>
      </w:r>
    </w:p>
    <w:p>
      <w:r>
        <w:t>5. Prepare two non-admin test users: one in d22_analysts and one in d22_privileged. Account-level groups must be assigned to the workspace. Neither test user should own the private table or inherit direct SELECT on it.</w:t>
      </w:r>
    </w:p>
    <w:p>
      <w:r>
        <w:t>6. Import the three numbered notebooks from the code ZIP using Workspace &gt; your folder &gt; Import. The .ipynb and .py files are alternative formats of the same notebooks. Import only one format. Run notebooks in order. Keep the trainer SQL files separate.</w:t>
      </w:r>
    </w:p>
    <w:p>
      <w:pPr>
        <w:pStyle w:val="Heading1"/>
      </w:pPr>
      <w:r>
        <w:t>Resource and data map</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Object</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Purpose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day21_exchange/landing/DATE/orders.csv</w:t>
            </w:r>
          </w:p>
        </w:tc>
        <w:tc>
          <w:tcPr>
            <w:tcW w:type="dxa" w:w="4968"/>
            <w:tcBorders>
              <w:top w:val="single" w:sz="4" w:color="D9D9D9"/>
              <w:left w:val="single" w:sz="4" w:color="D9D9D9"/>
              <w:bottom w:val="single" w:sz="4" w:color="D9D9D9"/>
              <w:right w:val="single" w:sz="4" w:color="D9D9D9"/>
            </w:tcBorders>
          </w:tcPr>
          <w:p>
            <w:pPr>
              <w:spacing w:after="100"/>
            </w:pPr>
            <w:r>
              <w:rPr>
                <w:sz w:val="20"/>
              </w:rPr>
              <w:t>Existing copied input in a UC volume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day22_bronze</w:t>
            </w:r>
          </w:p>
        </w:tc>
        <w:tc>
          <w:tcPr>
            <w:tcW w:type="dxa" w:w="4968"/>
            <w:tcBorders>
              <w:top w:val="single" w:sz="4" w:color="D9D9D9"/>
              <w:left w:val="single" w:sz="4" w:color="D9D9D9"/>
              <w:bottom w:val="single" w:sz="4" w:color="D9D9D9"/>
              <w:right w:val="single" w:sz="4" w:color="D9D9D9"/>
            </w:tcBorders>
          </w:tcPr>
          <w:p>
            <w:pPr>
              <w:spacing w:after="100"/>
            </w:pPr>
            <w:r>
              <w:rPr>
                <w:sz w:val="20"/>
              </w:rPr>
              <w:t>Raw four-row Delta table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day22_silver and day22_quarantine</w:t>
            </w:r>
          </w:p>
        </w:tc>
        <w:tc>
          <w:tcPr>
            <w:tcW w:type="dxa" w:w="4968"/>
            <w:tcBorders>
              <w:top w:val="single" w:sz="4" w:color="D9D9D9"/>
              <w:left w:val="single" w:sz="4" w:color="D9D9D9"/>
              <w:bottom w:val="single" w:sz="4" w:color="D9D9D9"/>
              <w:right w:val="single" w:sz="4" w:color="D9D9D9"/>
            </w:tcBorders>
          </w:tcPr>
          <w:p>
            <w:pPr>
              <w:spacing w:after="100"/>
            </w:pPr>
            <w:r>
              <w:rPr>
                <w:sz w:val="20"/>
              </w:rPr>
              <w:t>Valid and rejected records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day22_gold and day22_gold_sql</w:t>
            </w:r>
          </w:p>
        </w:tc>
        <w:tc>
          <w:tcPr>
            <w:tcW w:type="dxa" w:w="4968"/>
            <w:tcBorders>
              <w:top w:val="single" w:sz="4" w:color="D9D9D9"/>
              <w:left w:val="single" w:sz="4" w:color="D9D9D9"/>
              <w:bottom w:val="single" w:sz="4" w:color="D9D9D9"/>
              <w:right w:val="single" w:sz="4" w:color="D9D9D9"/>
            </w:tcBorders>
          </w:tcPr>
          <w:p>
            <w:pPr>
              <w:spacing w:after="100"/>
            </w:pPr>
            <w:r>
              <w:rPr>
                <w:sz w:val="20"/>
              </w:rPr>
              <w:t>Two equivalent city summaries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day22_perf_orders</w:t>
            </w:r>
          </w:p>
        </w:tc>
        <w:tc>
          <w:tcPr>
            <w:tcW w:type="dxa" w:w="4968"/>
            <w:tcBorders>
              <w:top w:val="single" w:sz="4" w:color="D9D9D9"/>
              <w:left w:val="single" w:sz="4" w:color="D9D9D9"/>
              <w:bottom w:val="single" w:sz="4" w:color="D9D9D9"/>
              <w:right w:val="single" w:sz="4" w:color="D9D9D9"/>
            </w:tcBorders>
          </w:tcPr>
          <w:p>
            <w:pPr>
              <w:spacing w:after="100"/>
            </w:pPr>
            <w:r>
              <w:rPr>
                <w:sz w:val="20"/>
              </w:rPr>
              <w:t>Synthetic benchmark table in each student schema</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day22_customers_demo and day22_erasure_demo</w:t>
            </w:r>
          </w:p>
        </w:tc>
        <w:tc>
          <w:tcPr>
            <w:tcW w:type="dxa" w:w="4968"/>
            <w:tcBorders>
              <w:top w:val="single" w:sz="4" w:color="D9D9D9"/>
              <w:left w:val="single" w:sz="4" w:color="D9D9D9"/>
              <w:bottom w:val="single" w:sz="4" w:color="D9D9D9"/>
              <w:right w:val="single" w:sz="4" w:color="D9D9D9"/>
            </w:tcBorders>
          </w:tcPr>
          <w:p>
            <w:pPr>
              <w:spacing w:after="100"/>
            </w:pPr>
            <w:r>
              <w:rPr>
                <w:sz w:val="20"/>
              </w:rPr>
              <w:t>Fake privacy data and disposable deletion copy</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day22_security.customers_private</w:t>
            </w:r>
          </w:p>
        </w:tc>
        <w:tc>
          <w:tcPr>
            <w:tcW w:type="dxa" w:w="4968"/>
            <w:tcBorders>
              <w:top w:val="single" w:sz="4" w:color="D9D9D9"/>
              <w:left w:val="single" w:sz="4" w:color="D9D9D9"/>
              <w:bottom w:val="single" w:sz="4" w:color="D9D9D9"/>
              <w:right w:val="single" w:sz="4" w:color="D9D9D9"/>
            </w:tcBorders>
          </w:tcPr>
          <w:p>
            <w:pPr>
              <w:spacing w:after="100"/>
            </w:pPr>
            <w:r>
              <w:rPr>
                <w:sz w:val="20"/>
              </w:rPr>
              <w:t>Trainer-owned protected table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day22_security.customers_masked</w:t>
            </w:r>
          </w:p>
        </w:tc>
        <w:tc>
          <w:tcPr>
            <w:tcW w:type="dxa" w:w="4968"/>
            <w:tcBorders>
              <w:top w:val="single" w:sz="4" w:color="D9D9D9"/>
              <w:left w:val="single" w:sz="4" w:color="D9D9D9"/>
              <w:bottom w:val="single" w:sz="4" w:color="D9D9D9"/>
              <w:right w:val="single" w:sz="4" w:color="D9D9D9"/>
            </w:tcBorders>
          </w:tcPr>
          <w:p>
            <w:pPr>
              <w:spacing w:after="100"/>
            </w:pPr>
            <w:r>
              <w:rPr>
                <w:sz w:val="20"/>
              </w:rPr>
              <w:t>Restricted view for two-user demonstration</w:t>
            </w:r>
          </w:p>
        </w:tc>
      </w:tr>
    </w:tbl>
    <w:p/>
    <w:p>
      <w:pPr>
        <w:pStyle w:val="Heading1"/>
      </w:pPr>
      <w:r>
        <w:t>Lab 1 Inspect the compute configuration</w:t>
      </w:r>
    </w:p>
    <w:p>
      <w:r>
        <w:t>Purpose: relate worker size and worker count to the work performed. A larger cluster is useful only when a bottleneck can benefit from the extra resources.</w:t>
      </w:r>
    </w:p>
    <w:p>
      <w:r>
        <w:t>1. Open Compute &gt; training-shared-compute &gt; Configuration. Record runtime, access mode, worker type, driver type, worker count or autoscaling bounds, Photon setting, and inactivity termination. Learners record settings without editing the shared cluster.</w:t>
      </w:r>
    </w:p>
    <w:p>
      <w:r>
        <w:t>2. Count driver and worker cores separately. With one four-core driver and one four-core worker, total allocation is eight vCPUs. The earlier ten-vCPU quota therefore leaves little headroom for a second cluster. Confirm current regional and VM-family quota before any trainer resize.</w:t>
      </w:r>
    </w:p>
    <w:p>
      <w:r>
        <w:t>3. Open Metrics and Spark UI if available. Note active tasks, CPU use, memory pressure, and long tasks. Four CSV rows cannot demonstrate large-scale tuning. Use the separate synthetic exercise.</w:t>
      </w:r>
    </w:p>
    <w:p>
      <w:r>
        <w:t>4. Trainer discussion: fixed-size compute gives a more stable comparison; autoscaling can help variable loads but may change benchmark conditions. Job compute suits scheduled work, while shared interactive compute suits this constrained class. Serverless is a separate option with different controls and billing.</w:t>
      </w:r>
    </w:p>
    <w:p>
      <w:r>
        <w:t>Expected evidence: a configuration screenshot and one proposed change linked to an observed bottleneck. Do not claim that doubling workers halves runtime. [Compute]</w:t>
      </w:r>
    </w:p>
    <w:p>
      <w:pPr>
        <w:pStyle w:val="Heading1"/>
      </w:pPr>
      <w:r>
        <w:t>Lab 2 Read the copied Day 21 file</w:t>
      </w:r>
    </w:p>
    <w:p>
      <w:r>
        <w:t>Purpose: perform the practical ETL and ELT exercise required in the schedule. Open 01_day22_etl.</w:t>
      </w:r>
    </w:p>
    <w:p>
      <w:r>
        <w:t>1. Attach to authorized compute. Run the configuration cell and set catalog, schema, and processing_date to the Day 21 values. The printed identity must match the intended student account.</w:t>
      </w:r>
    </w:p>
    <w:p>
      <w:r>
        <w:t>2. Inspect the source path. It should be /Volumes/CATALOG/student_01/day21_exchange/landing/DATE/orders.csv for student_01. Run the read cell. The supplied fixture expects exactly four unique orders.</w:t>
      </w:r>
    </w:p>
    <w:p>
      <w:r>
        <w:t>3. If Day 21 used a different dataset, adapt the validation expectations deliberately. If the file is missing, first rerun Day 21 Copy activity. For an independent recovery exercise, upload orders_fallback.csv as orders.csv into a dedicated agreed landing date under your volume, then select that date. Record that the input is a fallback.</w:t>
      </w:r>
    </w:p>
    <w:p>
      <w:r>
        <w:t>4. Use DECIMAL for this money example. FAILFAST detects malformed parsing, while our business rule separately rejects negative sales amounts. In a returns system, negative amounts might be valid.</w:t>
      </w:r>
    </w:p>
    <w:p>
      <w:r>
        <w:t>Expected input:</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order_id</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city</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amount</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101</w:t>
            </w:r>
          </w:p>
        </w:tc>
        <w:tc>
          <w:tcPr>
            <w:tcW w:type="dxa" w:w="3312"/>
            <w:tcBorders>
              <w:top w:val="single" w:sz="4" w:color="D9D9D9"/>
              <w:left w:val="single" w:sz="4" w:color="D9D9D9"/>
              <w:bottom w:val="single" w:sz="4" w:color="D9D9D9"/>
              <w:right w:val="single" w:sz="4" w:color="D9D9D9"/>
            </w:tcBorders>
          </w:tcPr>
          <w:p>
            <w:pPr>
              <w:spacing w:after="100"/>
            </w:pPr>
            <w:r>
              <w:rPr>
                <w:sz w:val="20"/>
              </w:rPr>
              <w:t>Bengaluru</w:t>
            </w:r>
          </w:p>
        </w:tc>
        <w:tc>
          <w:tcPr>
            <w:tcW w:type="dxa" w:w="3312"/>
            <w:tcBorders>
              <w:top w:val="single" w:sz="4" w:color="D9D9D9"/>
              <w:left w:val="single" w:sz="4" w:color="D9D9D9"/>
              <w:bottom w:val="single" w:sz="4" w:color="D9D9D9"/>
              <w:right w:val="single" w:sz="4" w:color="D9D9D9"/>
            </w:tcBorders>
          </w:tcPr>
          <w:p>
            <w:pPr>
              <w:spacing w:after="100"/>
            </w:pPr>
            <w:r>
              <w:rPr>
                <w:sz w:val="20"/>
              </w:rPr>
              <w:t>100.00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102</w:t>
            </w:r>
          </w:p>
        </w:tc>
        <w:tc>
          <w:tcPr>
            <w:tcW w:type="dxa" w:w="3312"/>
            <w:tcBorders>
              <w:top w:val="single" w:sz="4" w:color="D9D9D9"/>
              <w:left w:val="single" w:sz="4" w:color="D9D9D9"/>
              <w:bottom w:val="single" w:sz="4" w:color="D9D9D9"/>
              <w:right w:val="single" w:sz="4" w:color="D9D9D9"/>
            </w:tcBorders>
          </w:tcPr>
          <w:p>
            <w:pPr>
              <w:spacing w:after="100"/>
            </w:pPr>
            <w:r>
              <w:rPr>
                <w:sz w:val="20"/>
              </w:rPr>
              <w:t>Pune</w:t>
            </w:r>
          </w:p>
        </w:tc>
        <w:tc>
          <w:tcPr>
            <w:tcW w:type="dxa" w:w="3312"/>
            <w:tcBorders>
              <w:top w:val="single" w:sz="4" w:color="D9D9D9"/>
              <w:left w:val="single" w:sz="4" w:color="D9D9D9"/>
              <w:bottom w:val="single" w:sz="4" w:color="D9D9D9"/>
              <w:right w:val="single" w:sz="4" w:color="D9D9D9"/>
            </w:tcBorders>
          </w:tcPr>
          <w:p>
            <w:pPr>
              <w:spacing w:after="100"/>
            </w:pPr>
            <w:r>
              <w:rPr>
                <w:sz w:val="20"/>
              </w:rPr>
              <w:t>200.00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103</w:t>
            </w:r>
          </w:p>
        </w:tc>
        <w:tc>
          <w:tcPr>
            <w:tcW w:type="dxa" w:w="3312"/>
            <w:tcBorders>
              <w:top w:val="single" w:sz="4" w:color="D9D9D9"/>
              <w:left w:val="single" w:sz="4" w:color="D9D9D9"/>
              <w:bottom w:val="single" w:sz="4" w:color="D9D9D9"/>
              <w:right w:val="single" w:sz="4" w:color="D9D9D9"/>
            </w:tcBorders>
          </w:tcPr>
          <w:p>
            <w:pPr>
              <w:spacing w:after="100"/>
            </w:pPr>
            <w:r>
              <w:rPr>
                <w:sz w:val="20"/>
              </w:rPr>
              <w:t>Bengaluru</w:t>
            </w:r>
          </w:p>
        </w:tc>
        <w:tc>
          <w:tcPr>
            <w:tcW w:type="dxa" w:w="3312"/>
            <w:tcBorders>
              <w:top w:val="single" w:sz="4" w:color="D9D9D9"/>
              <w:left w:val="single" w:sz="4" w:color="D9D9D9"/>
              <w:bottom w:val="single" w:sz="4" w:color="D9D9D9"/>
              <w:right w:val="single" w:sz="4" w:color="D9D9D9"/>
            </w:tcBorders>
          </w:tcPr>
          <w:p>
            <w:pPr>
              <w:spacing w:after="100"/>
            </w:pPr>
            <w:r>
              <w:rPr>
                <w:sz w:val="20"/>
              </w:rPr>
              <w:t>300.00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104</w:t>
            </w:r>
          </w:p>
        </w:tc>
        <w:tc>
          <w:tcPr>
            <w:tcW w:type="dxa" w:w="3312"/>
            <w:tcBorders>
              <w:top w:val="single" w:sz="4" w:color="D9D9D9"/>
              <w:left w:val="single" w:sz="4" w:color="D9D9D9"/>
              <w:bottom w:val="single" w:sz="4" w:color="D9D9D9"/>
              <w:right w:val="single" w:sz="4" w:color="D9D9D9"/>
            </w:tcBorders>
          </w:tcPr>
          <w:p>
            <w:pPr>
              <w:spacing w:after="100"/>
            </w:pPr>
            <w:r>
              <w:rPr>
                <w:sz w:val="20"/>
              </w:rPr>
              <w:t>Pune</w:t>
            </w:r>
          </w:p>
        </w:tc>
        <w:tc>
          <w:tcPr>
            <w:tcW w:type="dxa" w:w="3312"/>
            <w:tcBorders>
              <w:top w:val="single" w:sz="4" w:color="D9D9D9"/>
              <w:left w:val="single" w:sz="4" w:color="D9D9D9"/>
              <w:bottom w:val="single" w:sz="4" w:color="D9D9D9"/>
              <w:right w:val="single" w:sz="4" w:color="D9D9D9"/>
            </w:tcBorders>
          </w:tcPr>
          <w:p>
            <w:pPr>
              <w:spacing w:after="100"/>
            </w:pPr>
            <w:r>
              <w:rPr>
                <w:sz w:val="20"/>
              </w:rPr>
              <w:t>-50.00</w:t>
            </w:r>
          </w:p>
        </w:tc>
      </w:tr>
    </w:tbl>
    <w:p/>
    <w:p>
      <w:pPr>
        <w:pStyle w:val="Heading1"/>
      </w:pPr>
      <w:r>
        <w:t>Lab 2 Transform and validate</w:t>
      </w:r>
    </w:p>
    <w:p>
      <w:r>
        <w:t>5. Run the cleaning cell. The predicate checks required fields, a nonempty city, and nonnegative amount. Null validity results become false so they enter quarantine.</w:t>
      </w:r>
    </w:p>
    <w:p>
      <w:r>
        <w:t>6. Write only the dedicated day22 tables. The notebook overwrites these lab outputs to make reruns reproducible. Do not replace Day 21 tables or change their ownership.</w:t>
      </w:r>
    </w:p>
    <w:p>
      <w:r>
        <w:t>7. Inspect Silver, quarantine, and Gold. Assert that raw count equals valid plus rejected count. Investigate failures before continuing.</w:t>
      </w:r>
    </w:p>
    <w:p>
      <w:r>
        <w:t>8. Run the SQL CTAS cell. It transforms loaded Silver records into day22_gold_sql. Compare both directions using exceptAll so duplicates and missing rows cannot hide.</w:t>
      </w:r>
    </w:p>
    <w:p>
      <w:r>
        <w:t>Expected evidence: PASS message and Gold output below. A successful notebook status alone is insufficient.</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city</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orders</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total_sales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Bengaluru</w:t>
            </w:r>
          </w:p>
        </w:tc>
        <w:tc>
          <w:tcPr>
            <w:tcW w:type="dxa" w:w="3312"/>
            <w:tcBorders>
              <w:top w:val="single" w:sz="4" w:color="D9D9D9"/>
              <w:left w:val="single" w:sz="4" w:color="D9D9D9"/>
              <w:bottom w:val="single" w:sz="4" w:color="D9D9D9"/>
              <w:right w:val="single" w:sz="4" w:color="D9D9D9"/>
            </w:tcBorders>
          </w:tcPr>
          <w:p>
            <w:pPr>
              <w:spacing w:after="100"/>
            </w:pPr>
            <w:r>
              <w:rPr>
                <w:sz w:val="20"/>
              </w:rPr>
              <w:t>2</w:t>
            </w:r>
          </w:p>
        </w:tc>
        <w:tc>
          <w:tcPr>
            <w:tcW w:type="dxa" w:w="3312"/>
            <w:tcBorders>
              <w:top w:val="single" w:sz="4" w:color="D9D9D9"/>
              <w:left w:val="single" w:sz="4" w:color="D9D9D9"/>
              <w:bottom w:val="single" w:sz="4" w:color="D9D9D9"/>
              <w:right w:val="single" w:sz="4" w:color="D9D9D9"/>
            </w:tcBorders>
          </w:tcPr>
          <w:p>
            <w:pPr>
              <w:spacing w:after="100"/>
            </w:pPr>
            <w:r>
              <w:rPr>
                <w:sz w:val="20"/>
              </w:rPr>
              <w:t>400.00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Pune</w:t>
            </w:r>
          </w:p>
        </w:tc>
        <w:tc>
          <w:tcPr>
            <w:tcW w:type="dxa" w:w="3312"/>
            <w:tcBorders>
              <w:top w:val="single" w:sz="4" w:color="D9D9D9"/>
              <w:left w:val="single" w:sz="4" w:color="D9D9D9"/>
              <w:bottom w:val="single" w:sz="4" w:color="D9D9D9"/>
              <w:right w:val="single" w:sz="4" w:color="D9D9D9"/>
            </w:tcBorders>
          </w:tcPr>
          <w:p>
            <w:pPr>
              <w:spacing w:after="100"/>
            </w:pPr>
            <w:r>
              <w:rPr>
                <w:sz w:val="20"/>
              </w:rPr>
              <w:t>1</w:t>
            </w:r>
          </w:p>
        </w:tc>
        <w:tc>
          <w:tcPr>
            <w:tcW w:type="dxa" w:w="3312"/>
            <w:tcBorders>
              <w:top w:val="single" w:sz="4" w:color="D9D9D9"/>
              <w:left w:val="single" w:sz="4" w:color="D9D9D9"/>
              <w:bottom w:val="single" w:sz="4" w:color="D9D9D9"/>
              <w:right w:val="single" w:sz="4" w:color="D9D9D9"/>
            </w:tcBorders>
          </w:tcPr>
          <w:p>
            <w:pPr>
              <w:spacing w:after="100"/>
            </w:pPr>
            <w:r>
              <w:rPr>
                <w:sz w:val="20"/>
              </w:rPr>
              <w:t>200.00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Total</w:t>
            </w:r>
          </w:p>
        </w:tc>
        <w:tc>
          <w:tcPr>
            <w:tcW w:type="dxa" w:w="3312"/>
            <w:tcBorders>
              <w:top w:val="single" w:sz="4" w:color="D9D9D9"/>
              <w:left w:val="single" w:sz="4" w:color="D9D9D9"/>
              <w:bottom w:val="single" w:sz="4" w:color="D9D9D9"/>
              <w:right w:val="single" w:sz="4" w:color="D9D9D9"/>
            </w:tcBorders>
          </w:tcPr>
          <w:p>
            <w:pPr>
              <w:spacing w:after="100"/>
            </w:pPr>
            <w:r>
              <w:rPr>
                <w:sz w:val="20"/>
              </w:rPr>
              <w:t>3</w:t>
            </w:r>
          </w:p>
        </w:tc>
        <w:tc>
          <w:tcPr>
            <w:tcW w:type="dxa" w:w="3312"/>
            <w:tcBorders>
              <w:top w:val="single" w:sz="4" w:color="D9D9D9"/>
              <w:left w:val="single" w:sz="4" w:color="D9D9D9"/>
              <w:bottom w:val="single" w:sz="4" w:color="D9D9D9"/>
              <w:right w:val="single" w:sz="4" w:color="D9D9D9"/>
            </w:tcBorders>
          </w:tcPr>
          <w:p>
            <w:pPr>
              <w:spacing w:after="100"/>
            </w:pPr>
            <w:r>
              <w:rPr>
                <w:sz w:val="20"/>
              </w:rPr>
              <w:t>600.00</w:t>
            </w:r>
          </w:p>
        </w:tc>
      </w:tr>
    </w:tbl>
    <w:p/>
    <w:p>
      <w:pPr>
        <w:keepNext w:val="0"/>
        <w:spacing w:after="0" w:line="240" w:lineRule="auto"/>
      </w:pPr>
      <w:r>
        <w:rPr>
          <w:rFonts w:ascii="Liberation Mono" w:hAnsi="Liberation Mono"/>
          <w:sz w:val="17"/>
        </w:rPr>
        <w:t>SELECT * FROM YOUR_CATALOG.student_01.day22_gold;</w:t>
      </w:r>
    </w:p>
    <w:p/>
    <w:p>
      <w:pPr>
        <w:pStyle w:val="Heading1"/>
      </w:pPr>
      <w:r>
        <w:t>ETL and ELT interpretation</w:t>
      </w:r>
    </w:p>
    <w:p>
      <w:r>
        <w:t>ETL means extract, transform, then load into the chosen target. Our notebook reads the CSV, filters records, and writes a clean Silver target.</w:t>
      </w:r>
    </w:p>
    <w:p>
      <w:r>
        <w:t>ELT means extract, load, then transform inside the processing platform. We load Bronze first and can use SQL to create derived tables afterward. The same complete architecture can contain both patterns.</w:t>
      </w:r>
    </w:p>
    <w:p>
      <w:r>
        <w:t>ADLS stores bytes. Delta supplies table semantics. Databricks compute executes SQL or Spark. Unity Catalog governs registered objects. ADF coordinates the surrounding workflow. We continue to access managed tables through their names and leave their internal directories to Databricks.</w:t>
      </w:r>
    </w:p>
    <w:p>
      <w:pPr>
        <w:pStyle w:val="Heading1"/>
      </w:pPr>
      <w:r>
        <w:t>Lab 3 Build a measurable workload</w:t>
      </w:r>
    </w:p>
    <w:p>
      <w:r>
        <w:t>1. Open 02_day22_performance. Set the same catalog and schema. Start with 100000 rows. Raise to 1000000 only for a trainer-approved single-user demonstration.</w:t>
      </w:r>
    </w:p>
    <w:p>
      <w:r>
        <w:t>2. Run the synthetic data cell. The table contains deterministic order identifiers, 100 customer identifiers, four city identifiers, and amounts from 1 to 100. It does not expand or overwrite the Day 21 file.</w:t>
      </w:r>
    </w:p>
    <w:p>
      <w:r>
        <w:t>3. Run one learner at a time or in staggered groups. Simultaneous activity by 14 learners changes timings. Record who was sharing compute during measurement.</w:t>
      </w:r>
    </w:p>
    <w:p>
      <w:r>
        <w:t>4. Run query(False).explain("formatted") and query(True).explain("formatted"). Locate the scan, filter, join and aggregation. Look for Exchange and BroadcastHashJoin. AQE may change the executed plan after statistics become available.</w:t>
      </w:r>
    </w:p>
    <w:p>
      <w:r>
        <w:t>Expected evidence: a saved plan excerpt and an explanation of one operation. A plan describes how work may execute; the Spark UI supplies runtime evidence. [Adaptive execution]</w:t>
      </w:r>
    </w:p>
    <w:p>
      <w:pPr>
        <w:pStyle w:val="Heading1"/>
      </w:pPr>
      <w:r>
        <w:t>Lab 3 Compare automatic and broadcast joins</w:t>
      </w:r>
    </w:p>
    <w:p>
      <w:r>
        <w:t>5. Run the timing cell. It warms both variants, then collects three trials in alternating order. collect triggers execution, and it is safe here because each result has only four city summaries. Do not collect a large source table onto the driver.</w:t>
      </w:r>
    </w:p>
    <w:p>
      <w:r>
        <w:t>6. Compare the automatic join with an explicit broadcast of the four-row city table. The optimizer may already choose broadcast, so both plans and timings can be similar.</w:t>
      </w:r>
    </w:p>
    <w:p>
      <w:r>
        <w:t>7. Verify identical sorted results. Record all trials and the median. Calculate baseline median divided by candidate median only when conditions and query results are comparable.</w:t>
      </w:r>
    </w:p>
    <w:p>
      <w:r>
        <w:t>8. Inspect the executed query in Spark UI. Record shuffle read/write, spill, and task imbalance if shown. A single slow task can indicate skew. Smaller data movement often helps more than adding workers.</w:t>
      </w:r>
    </w:p>
    <w:p>
      <w:r>
        <w:t>Expected evidence: measurements without an invented speedup. If automatic execution is faster or identical, report that result and explain the plan. [Joins]</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tcBorders>
              <w:top w:val="single" w:sz="4" w:color="D9D9D9"/>
              <w:left w:val="single" w:sz="4" w:color="D9D9D9"/>
              <w:bottom w:val="single" w:sz="4" w:color="D9D9D9"/>
              <w:right w:val="single" w:sz="4" w:color="D9D9D9"/>
            </w:tcBorders>
            <w:shd w:fill="DCEAF4"/>
          </w:tcPr>
          <w:p>
            <w:pPr>
              <w:spacing w:after="100"/>
            </w:pPr>
            <w:r>
              <w:rPr>
                <w:b/>
                <w:sz w:val="20"/>
              </w:rPr>
              <w:t>Variant</w:t>
            </w:r>
          </w:p>
        </w:tc>
        <w:tc>
          <w:tcPr>
            <w:tcW w:type="dxa" w:w="1987"/>
            <w:tcBorders>
              <w:top w:val="single" w:sz="4" w:color="D9D9D9"/>
              <w:left w:val="single" w:sz="4" w:color="D9D9D9"/>
              <w:bottom w:val="single" w:sz="4" w:color="D9D9D9"/>
              <w:right w:val="single" w:sz="4" w:color="D9D9D9"/>
            </w:tcBorders>
            <w:shd w:fill="DCEAF4"/>
          </w:tcPr>
          <w:p>
            <w:pPr>
              <w:spacing w:after="100"/>
            </w:pPr>
            <w:r>
              <w:rPr>
                <w:b/>
                <w:sz w:val="20"/>
              </w:rPr>
              <w:t>Trial 1 s</w:t>
            </w:r>
          </w:p>
        </w:tc>
        <w:tc>
          <w:tcPr>
            <w:tcW w:type="dxa" w:w="1987"/>
            <w:tcBorders>
              <w:top w:val="single" w:sz="4" w:color="D9D9D9"/>
              <w:left w:val="single" w:sz="4" w:color="D9D9D9"/>
              <w:bottom w:val="single" w:sz="4" w:color="D9D9D9"/>
              <w:right w:val="single" w:sz="4" w:color="D9D9D9"/>
            </w:tcBorders>
            <w:shd w:fill="DCEAF4"/>
          </w:tcPr>
          <w:p>
            <w:pPr>
              <w:spacing w:after="100"/>
            </w:pPr>
            <w:r>
              <w:rPr>
                <w:b/>
                <w:sz w:val="20"/>
              </w:rPr>
              <w:t>Trial 2 s</w:t>
            </w:r>
          </w:p>
        </w:tc>
        <w:tc>
          <w:tcPr>
            <w:tcW w:type="dxa" w:w="1987"/>
            <w:tcBorders>
              <w:top w:val="single" w:sz="4" w:color="D9D9D9"/>
              <w:left w:val="single" w:sz="4" w:color="D9D9D9"/>
              <w:bottom w:val="single" w:sz="4" w:color="D9D9D9"/>
              <w:right w:val="single" w:sz="4" w:color="D9D9D9"/>
            </w:tcBorders>
            <w:shd w:fill="DCEAF4"/>
          </w:tcPr>
          <w:p>
            <w:pPr>
              <w:spacing w:after="100"/>
            </w:pPr>
            <w:r>
              <w:rPr>
                <w:b/>
                <w:sz w:val="20"/>
              </w:rPr>
              <w:t>Trial 3 s</w:t>
            </w:r>
          </w:p>
        </w:tc>
        <w:tc>
          <w:tcPr>
            <w:tcW w:type="dxa" w:w="1987"/>
            <w:tcBorders>
              <w:top w:val="single" w:sz="4" w:color="D9D9D9"/>
              <w:left w:val="single" w:sz="4" w:color="D9D9D9"/>
              <w:bottom w:val="single" w:sz="4" w:color="D9D9D9"/>
              <w:right w:val="single" w:sz="4" w:color="D9D9D9"/>
            </w:tcBorders>
            <w:shd w:fill="DCEAF4"/>
          </w:tcPr>
          <w:p>
            <w:pPr>
              <w:spacing w:after="100"/>
            </w:pPr>
            <w:r>
              <w:rPr>
                <w:b/>
                <w:sz w:val="20"/>
              </w:rPr>
              <w:t>Median s</w:t>
            </w:r>
          </w:p>
        </w:tc>
      </w:tr>
      <w:tr>
        <w:trPr>
          <w:cantSplit/>
        </w:trPr>
        <w:tc>
          <w:tcPr>
            <w:tcW w:type="dxa" w:w="1987"/>
            <w:tcBorders>
              <w:top w:val="single" w:sz="4" w:color="D9D9D9"/>
              <w:left w:val="single" w:sz="4" w:color="D9D9D9"/>
              <w:bottom w:val="single" w:sz="4" w:color="D9D9D9"/>
              <w:right w:val="single" w:sz="4" w:color="D9D9D9"/>
            </w:tcBorders>
          </w:tcPr>
          <w:p>
            <w:pPr>
              <w:spacing w:after="100"/>
            </w:pPr>
            <w:r>
              <w:rPr>
                <w:sz w:val="20"/>
              </w:rPr>
              <w:t>Automatic</w:t>
            </w:r>
          </w:p>
        </w:tc>
        <w:tc>
          <w:tcPr>
            <w:tcW w:type="dxa" w:w="1987"/>
            <w:tcBorders>
              <w:top w:val="single" w:sz="4" w:color="D9D9D9"/>
              <w:left w:val="single" w:sz="4" w:color="D9D9D9"/>
              <w:bottom w:val="single" w:sz="4" w:color="D9D9D9"/>
              <w:right w:val="single" w:sz="4" w:color="D9D9D9"/>
            </w:tcBorders>
          </w:tcPr>
          <w:p>
            <w:pPr>
              <w:spacing w:after="100"/>
            </w:pPr>
            <w:r>
              <w:rPr>
                <w:sz w:val="20"/>
              </w:rPr>
              <w:t>Record</w:t>
            </w:r>
          </w:p>
        </w:tc>
        <w:tc>
          <w:tcPr>
            <w:tcW w:type="dxa" w:w="1987"/>
            <w:tcBorders>
              <w:top w:val="single" w:sz="4" w:color="D9D9D9"/>
              <w:left w:val="single" w:sz="4" w:color="D9D9D9"/>
              <w:bottom w:val="single" w:sz="4" w:color="D9D9D9"/>
              <w:right w:val="single" w:sz="4" w:color="D9D9D9"/>
            </w:tcBorders>
          </w:tcPr>
          <w:p>
            <w:pPr>
              <w:spacing w:after="100"/>
            </w:pPr>
            <w:r>
              <w:rPr>
                <w:sz w:val="20"/>
              </w:rPr>
              <w:t>Record</w:t>
            </w:r>
          </w:p>
        </w:tc>
        <w:tc>
          <w:tcPr>
            <w:tcW w:type="dxa" w:w="1987"/>
            <w:tcBorders>
              <w:top w:val="single" w:sz="4" w:color="D9D9D9"/>
              <w:left w:val="single" w:sz="4" w:color="D9D9D9"/>
              <w:bottom w:val="single" w:sz="4" w:color="D9D9D9"/>
              <w:right w:val="single" w:sz="4" w:color="D9D9D9"/>
            </w:tcBorders>
          </w:tcPr>
          <w:p>
            <w:pPr>
              <w:spacing w:after="100"/>
            </w:pPr>
            <w:r>
              <w:rPr>
                <w:sz w:val="20"/>
              </w:rPr>
              <w:t>Record</w:t>
            </w:r>
          </w:p>
        </w:tc>
        <w:tc>
          <w:tcPr>
            <w:tcW w:type="dxa" w:w="1987"/>
            <w:tcBorders>
              <w:top w:val="single" w:sz="4" w:color="D9D9D9"/>
              <w:left w:val="single" w:sz="4" w:color="D9D9D9"/>
              <w:bottom w:val="single" w:sz="4" w:color="D9D9D9"/>
              <w:right w:val="single" w:sz="4" w:color="D9D9D9"/>
            </w:tcBorders>
          </w:tcPr>
          <w:p>
            <w:pPr>
              <w:spacing w:after="100"/>
            </w:pPr>
            <w:r>
              <w:rPr>
                <w:sz w:val="20"/>
              </w:rPr>
              <w:t>Calculate</w:t>
            </w:r>
          </w:p>
        </w:tc>
      </w:tr>
      <w:tr>
        <w:trPr>
          <w:cantSplit/>
        </w:trPr>
        <w:tc>
          <w:tcPr>
            <w:tcW w:type="dxa" w:w="1987"/>
            <w:tcBorders>
              <w:top w:val="single" w:sz="4" w:color="D9D9D9"/>
              <w:left w:val="single" w:sz="4" w:color="D9D9D9"/>
              <w:bottom w:val="single" w:sz="4" w:color="D9D9D9"/>
              <w:right w:val="single" w:sz="4" w:color="D9D9D9"/>
            </w:tcBorders>
          </w:tcPr>
          <w:p>
            <w:pPr>
              <w:spacing w:after="100"/>
            </w:pPr>
            <w:r>
              <w:rPr>
                <w:sz w:val="20"/>
              </w:rPr>
              <w:t>Broadcast</w:t>
            </w:r>
          </w:p>
        </w:tc>
        <w:tc>
          <w:tcPr>
            <w:tcW w:type="dxa" w:w="1987"/>
            <w:tcBorders>
              <w:top w:val="single" w:sz="4" w:color="D9D9D9"/>
              <w:left w:val="single" w:sz="4" w:color="D9D9D9"/>
              <w:bottom w:val="single" w:sz="4" w:color="D9D9D9"/>
              <w:right w:val="single" w:sz="4" w:color="D9D9D9"/>
            </w:tcBorders>
          </w:tcPr>
          <w:p>
            <w:pPr>
              <w:spacing w:after="100"/>
            </w:pPr>
            <w:r>
              <w:rPr>
                <w:sz w:val="20"/>
              </w:rPr>
              <w:t>Record</w:t>
            </w:r>
          </w:p>
        </w:tc>
        <w:tc>
          <w:tcPr>
            <w:tcW w:type="dxa" w:w="1987"/>
            <w:tcBorders>
              <w:top w:val="single" w:sz="4" w:color="D9D9D9"/>
              <w:left w:val="single" w:sz="4" w:color="D9D9D9"/>
              <w:bottom w:val="single" w:sz="4" w:color="D9D9D9"/>
              <w:right w:val="single" w:sz="4" w:color="D9D9D9"/>
            </w:tcBorders>
          </w:tcPr>
          <w:p>
            <w:pPr>
              <w:spacing w:after="100"/>
            </w:pPr>
            <w:r>
              <w:rPr>
                <w:sz w:val="20"/>
              </w:rPr>
              <w:t>Record</w:t>
            </w:r>
          </w:p>
        </w:tc>
        <w:tc>
          <w:tcPr>
            <w:tcW w:type="dxa" w:w="1987"/>
            <w:tcBorders>
              <w:top w:val="single" w:sz="4" w:color="D9D9D9"/>
              <w:left w:val="single" w:sz="4" w:color="D9D9D9"/>
              <w:bottom w:val="single" w:sz="4" w:color="D9D9D9"/>
              <w:right w:val="single" w:sz="4" w:color="D9D9D9"/>
            </w:tcBorders>
          </w:tcPr>
          <w:p>
            <w:pPr>
              <w:spacing w:after="100"/>
            </w:pPr>
            <w:r>
              <w:rPr>
                <w:sz w:val="20"/>
              </w:rPr>
              <w:t>Record</w:t>
            </w:r>
          </w:p>
        </w:tc>
        <w:tc>
          <w:tcPr>
            <w:tcW w:type="dxa" w:w="1987"/>
            <w:tcBorders>
              <w:top w:val="single" w:sz="4" w:color="D9D9D9"/>
              <w:left w:val="single" w:sz="4" w:color="D9D9D9"/>
              <w:bottom w:val="single" w:sz="4" w:color="D9D9D9"/>
              <w:right w:val="single" w:sz="4" w:color="D9D9D9"/>
            </w:tcBorders>
          </w:tcPr>
          <w:p>
            <w:pPr>
              <w:spacing w:after="100"/>
            </w:pPr>
            <w:r>
              <w:rPr>
                <w:sz w:val="20"/>
              </w:rPr>
              <w:t>Calculate</w:t>
            </w:r>
          </w:p>
        </w:tc>
      </w:tr>
    </w:tbl>
    <w:p/>
    <w:p>
      <w:pPr>
        <w:pStyle w:val="Heading1"/>
      </w:pPr>
      <w:r>
        <w:t>Lab 4 Caching and table maintenance</w:t>
      </w:r>
    </w:p>
    <w:p>
      <w:r>
        <w:t>1. Run the caching cell. count populates the selected DataFrame cache. The following aggregation can reuse it. The code always unpersists afterward to release shared memory.</w:t>
      </w:r>
    </w:p>
    <w:p>
      <w:r>
        <w:t>2. Record population cost separately. The two printed times represent different actions and must not be presented as an A/B speedup. A one-use dataset may cost more to cache than it saves.</w:t>
      </w:r>
    </w:p>
    <w:p>
      <w:r>
        <w:t>3. Run DESCRIBE DETAIL on your day22_perf_orders table. Record numFiles and sizeInBytes. Run ANALYZE TABLE to refresh planner statistics.</w:t>
      </w:r>
    </w:p>
    <w:p>
      <w:r>
        <w:t>4. Optionally run OPTIMIZE on this dedicated table and compare metadata. On a tiny or already optimized table, file count may not change. Automatic maintenance can also influence the result. Verify the row count again.</w:t>
      </w:r>
    </w:p>
    <w:p>
      <w:r>
        <w:t>5. Discuss partitions and layout: avoid partitioning a tiny table or partitioning by a unique order ID. Choose layout from scale and common filters. Liquid clustering and ZORDER require their own compatibility and workload review; this lab does not combine them.</w:t>
      </w:r>
    </w:p>
    <w:p>
      <w:r>
        <w:t>Expected evidence: cache lifecycle explanation and before/after metadata, with no manual file deletion. Detailed Spark tuning and layout design continue in Day 23.</w:t>
      </w:r>
    </w:p>
    <w:p>
      <w:pPr>
        <w:pStyle w:val="Heading1"/>
      </w:pPr>
      <w:r>
        <w:t>Lab 5 Inspect Azure costs</w:t>
      </w:r>
    </w:p>
    <w:p>
      <w:r>
        <w:t>Trainer demonstration. Cost data can arrive later than the job run. A zero result immediately after a run does not prove it was free.</w:t>
      </w:r>
    </w:p>
    <w:p>
      <w:r>
        <w:t>1. In Azure Portal, search Cost Management + Billing. Select the correct subscription scope, then Cost analysis. If your role cannot see costs, use a trainer-owned export or screenshot.</w:t>
      </w:r>
    </w:p>
    <w:p>
      <w:r>
        <w:t>2. Select a recent date range and Actual cost. Group by Service name, then investigate Resource group and Resource. Include the Databricks workspace managed resource group when assessing classic VM costs.</w:t>
      </w:r>
    </w:p>
    <w:p>
      <w:r>
        <w:t>3. Identify Databricks usage, virtual machines when separately billed, storage, and applicable network costs. Some services bundle infrastructure differently, so reconcile the meters for your compute type rather than adding assumed VM charges.</w:t>
      </w:r>
    </w:p>
    <w:p>
      <w:r>
        <w:t>4. Record currency, scope, date range, and filters with your screenshot. Avoid comparing a whole-subscription total against one job.</w:t>
      </w:r>
    </w:p>
    <w:p>
      <w:r>
        <w:t>5. Add suitable owner/course/environment tags through authorized resource or compute configuration. Tags help allocation but may not appear on every meter or historical charge.</w:t>
      </w:r>
    </w:p>
    <w:p>
      <w:r>
        <w:t>Expected evidence: one cost driver and an action such as reducing idle time, scheduling work, or changing an inefficient query. No actual cost amount is supplied by this guide.</w:t>
      </w:r>
    </w:p>
    <w:p>
      <w:pPr>
        <w:pStyle w:val="Heading1"/>
      </w:pPr>
      <w:r>
        <w:t>Lab 5 Configure an illustrative budget</w:t>
      </w:r>
    </w:p>
    <w:p>
      <w:r>
        <w:t>1. Trainer opens Cost Management &gt; Budgets &gt; Add at the agreed scope. Use a monthly amount approved for the course in the subscription currency. For teaching only, 1000 currency units illustrates the calculation.</w:t>
      </w:r>
    </w:p>
    <w:p>
      <w:r>
        <w:t>2. Set actual-cost thresholds of 50 percent and 80 percent and a forecast threshold if available. Use only an agreed recipient. Review the period and filters before saving.</w:t>
      </w:r>
    </w:p>
    <w:p>
      <w:r>
        <w:t>3. Explain that 80 percent of 1000 is 800. A budget alert alone does not stop resources or enforce a spending cap. Automated shutdown requires a separately designed action and appropriate safeguards.</w:t>
      </w:r>
    </w:p>
    <w:p>
      <w:r>
        <w:t>4. Review shared compute inactivity termination. Only the trainer changes it, and the class must understand that active work can keep compute running. Do not stop a shared cluster while other learners are using it.</w:t>
      </w:r>
    </w:p>
    <w:p>
      <w:r>
        <w:t>Expected evidence: budget settings or a completed worksheet if creation is unavailable. Budgets and cost evaluation are not instantaneous. [Budgets]</w:t>
      </w:r>
    </w:p>
    <w:p>
      <w:pPr>
        <w:pStyle w:val="Heading1"/>
      </w:pPr>
      <w:r>
        <w:t>Lab 5 Inspect Databricks usage</w:t>
      </w:r>
    </w:p>
    <w:p>
      <w:r>
        <w:t>Use 05_trainer_observability.sql only when the system tables are enabled and the trainer has access. Replace YOUR_WORKSPACE_ID with the current workspace ID.</w:t>
      </w:r>
    </w:p>
    <w:p>
      <w:r>
        <w:t>The query groups billable quantity by date, SKU and unit. Quantity is not money. Different units cannot be added meaningfully, and DBUs alone exclude some other Azure charges.</w:t>
      </w:r>
    </w:p>
    <w:p>
      <w:r>
        <w:t>Use published pricing or authorized account cost data for monetary estimates. A list-price estimate can differ from the invoice because of contract rates and adjustments. Preserve corrections in billing records rather than removing negative quantities. [Usage]</w:t>
      </w:r>
    </w:p>
    <w:p>
      <w:r>
        <w:t>Classroom example using hypothetical rates: configuration A at 10 currency units per hour for 30 minutes costs 5. Configuration B at 15 per hour for 15 minutes costs 3.75. Faster can be cheaper, but actual results must be measured.</w:t>
      </w:r>
    </w:p>
    <w:p>
      <w:pPr>
        <w:pStyle w:val="Heading1"/>
      </w:pPr>
      <w:r>
        <w:t>Lab 6 Prepare a security boundary</w:t>
      </w:r>
    </w:p>
    <w:p>
      <w:r>
        <w:t>Purpose: prove that an analyst can query an approved view while direct private-table access is denied. This differs from simply displaying REDACTED in a notebook.</w:t>
      </w:r>
    </w:p>
    <w:p>
      <w:r>
        <w:t>1. Trainer creates or requests account-level groups d22_analysts and d22_privileged, assigns them to the workspace, and places separate non-admin test users in them. Give each access to the chosen compute.</w:t>
      </w:r>
    </w:p>
    <w:p>
      <w:r>
        <w:t>2. Select a catalog without inherited learner SELECT on all tables. Inspect catalog and schema grants before proceeding. A new schema inside a broadly granted catalog is not automatically isolated. Use a separate dedicated catalog if necessary.</w:t>
      </w:r>
    </w:p>
    <w:p>
      <w:r>
        <w:t>3. Open 04_trainer_security.sql and replace TRAINING_CATALOG consistently. Create a new trainer-owned day22_security schema. If it already exists, inspect it and choose a new name rather than overwriting existing objects.</w:t>
      </w:r>
    </w:p>
    <w:p>
      <w:r>
        <w:t>4. Execute the table, insert, view and grant statements. The owner retains the necessary access to the base table. The two groups receive SELECT only on the view plus parent usage privileges.</w:t>
      </w:r>
    </w:p>
    <w:p>
      <w:r>
        <w:t>Expected evidence: view definition, intended group membership, and grant review. Learners must not own the private table used for their denial test. [Dynamic views]</w:t>
      </w:r>
    </w:p>
    <w:p>
      <w:pPr>
        <w:pStyle w:val="Heading1"/>
      </w:pPr>
      <w:r>
        <w:t>Lab 6 Test masking and row filtering</w:t>
      </w:r>
    </w:p>
    <w:p>
      <w:r>
        <w:t>5. Sign in as the analyst test user in a separate browser session. Run current_user() and is_account_group_member() to verify the identity. Query customers_masked. Expect only C001 and C003, both with email REDACTED.</w:t>
      </w:r>
    </w:p>
    <w:p>
      <w:r>
        <w:t>6. In the privileged test user session, query the same view. Expect all three fake records with their original emails. Group names are examples and must match the account groups you created.</w:t>
      </w:r>
    </w:p>
    <w:p>
      <w:r>
        <w:t>7. As each non-owner test user, query customers_private directly. Expect PERMISSION_DENIED. If it succeeds, inspect inherited grants, group membership and ownership. Do not claim the view protects data until this bypass test fails as intended.</w:t>
      </w:r>
    </w:p>
    <w:p>
      <w:r>
        <w:t>8. Review cloud access too. Direct Blob Data Reader/Contributor or storage keys can allow access outside Unity Catalog. A Databricks SELECT denial does not revoke Azure storage permissions.</w:t>
      </w:r>
    </w:p>
    <w:p>
      <w:r>
        <w:t>9. Table-level row filters and column masks can enforce query-time policies on base tables, while ABAC can apply policies across governed objects. Their compute, runtime and operation requirements vary. This lab uses a dynamic view for a controlled beginner demonstration. [Masks]</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Borders>
              <w:top w:val="single" w:sz="4" w:color="D9D9D9"/>
              <w:left w:val="single" w:sz="4" w:color="D9D9D9"/>
              <w:bottom w:val="single" w:sz="4" w:color="D9D9D9"/>
              <w:right w:val="single" w:sz="4" w:color="D9D9D9"/>
            </w:tcBorders>
            <w:shd w:fill="DCEAF4"/>
          </w:tcPr>
          <w:p>
            <w:pPr>
              <w:spacing w:after="100"/>
            </w:pPr>
            <w:r>
              <w:rPr>
                <w:b/>
                <w:sz w:val="20"/>
              </w:rPr>
              <w:t>Test identity</w:t>
            </w:r>
          </w:p>
        </w:tc>
        <w:tc>
          <w:tcPr>
            <w:tcW w:type="dxa" w:w="2484"/>
            <w:tcBorders>
              <w:top w:val="single" w:sz="4" w:color="D9D9D9"/>
              <w:left w:val="single" w:sz="4" w:color="D9D9D9"/>
              <w:bottom w:val="single" w:sz="4" w:color="D9D9D9"/>
              <w:right w:val="single" w:sz="4" w:color="D9D9D9"/>
            </w:tcBorders>
            <w:shd w:fill="DCEAF4"/>
          </w:tcPr>
          <w:p>
            <w:pPr>
              <w:spacing w:after="100"/>
            </w:pPr>
            <w:r>
              <w:rPr>
                <w:b/>
                <w:sz w:val="20"/>
              </w:rPr>
              <w:t>View rows</w:t>
            </w:r>
          </w:p>
        </w:tc>
        <w:tc>
          <w:tcPr>
            <w:tcW w:type="dxa" w:w="2484"/>
            <w:tcBorders>
              <w:top w:val="single" w:sz="4" w:color="D9D9D9"/>
              <w:left w:val="single" w:sz="4" w:color="D9D9D9"/>
              <w:bottom w:val="single" w:sz="4" w:color="D9D9D9"/>
              <w:right w:val="single" w:sz="4" w:color="D9D9D9"/>
            </w:tcBorders>
            <w:shd w:fill="DCEAF4"/>
          </w:tcPr>
          <w:p>
            <w:pPr>
              <w:spacing w:after="100"/>
            </w:pPr>
            <w:r>
              <w:rPr>
                <w:b/>
                <w:sz w:val="20"/>
              </w:rPr>
              <w:t>Email result</w:t>
            </w:r>
          </w:p>
        </w:tc>
        <w:tc>
          <w:tcPr>
            <w:tcW w:type="dxa" w:w="2484"/>
            <w:tcBorders>
              <w:top w:val="single" w:sz="4" w:color="D9D9D9"/>
              <w:left w:val="single" w:sz="4" w:color="D9D9D9"/>
              <w:bottom w:val="single" w:sz="4" w:color="D9D9D9"/>
              <w:right w:val="single" w:sz="4" w:color="D9D9D9"/>
            </w:tcBorders>
            <w:shd w:fill="DCEAF4"/>
          </w:tcPr>
          <w:p>
            <w:pPr>
              <w:spacing w:after="100"/>
            </w:pPr>
            <w:r>
              <w:rPr>
                <w:b/>
                <w:sz w:val="20"/>
              </w:rPr>
              <w:t>Private table</w:t>
            </w:r>
          </w:p>
        </w:tc>
      </w:tr>
      <w:tr>
        <w:trPr>
          <w:cantSplit/>
        </w:trPr>
        <w:tc>
          <w:tcPr>
            <w:tcW w:type="dxa" w:w="2484"/>
            <w:tcBorders>
              <w:top w:val="single" w:sz="4" w:color="D9D9D9"/>
              <w:left w:val="single" w:sz="4" w:color="D9D9D9"/>
              <w:bottom w:val="single" w:sz="4" w:color="D9D9D9"/>
              <w:right w:val="single" w:sz="4" w:color="D9D9D9"/>
            </w:tcBorders>
          </w:tcPr>
          <w:p>
            <w:pPr>
              <w:spacing w:after="100"/>
            </w:pPr>
            <w:r>
              <w:rPr>
                <w:sz w:val="20"/>
              </w:rPr>
              <w:t>Analyst</w:t>
            </w:r>
          </w:p>
        </w:tc>
        <w:tc>
          <w:tcPr>
            <w:tcW w:type="dxa" w:w="2484"/>
            <w:tcBorders>
              <w:top w:val="single" w:sz="4" w:color="D9D9D9"/>
              <w:left w:val="single" w:sz="4" w:color="D9D9D9"/>
              <w:bottom w:val="single" w:sz="4" w:color="D9D9D9"/>
              <w:right w:val="single" w:sz="4" w:color="D9D9D9"/>
            </w:tcBorders>
          </w:tcPr>
          <w:p>
            <w:pPr>
              <w:spacing w:after="100"/>
            </w:pPr>
            <w:r>
              <w:rPr>
                <w:sz w:val="20"/>
              </w:rPr>
              <w:t>2 South rows</w:t>
            </w:r>
          </w:p>
        </w:tc>
        <w:tc>
          <w:tcPr>
            <w:tcW w:type="dxa" w:w="2484"/>
            <w:tcBorders>
              <w:top w:val="single" w:sz="4" w:color="D9D9D9"/>
              <w:left w:val="single" w:sz="4" w:color="D9D9D9"/>
              <w:bottom w:val="single" w:sz="4" w:color="D9D9D9"/>
              <w:right w:val="single" w:sz="4" w:color="D9D9D9"/>
            </w:tcBorders>
          </w:tcPr>
          <w:p>
            <w:pPr>
              <w:spacing w:after="100"/>
            </w:pPr>
            <w:r>
              <w:rPr>
                <w:sz w:val="20"/>
              </w:rPr>
              <w:t>REDACTED</w:t>
            </w:r>
          </w:p>
        </w:tc>
        <w:tc>
          <w:tcPr>
            <w:tcW w:type="dxa" w:w="2484"/>
            <w:tcBorders>
              <w:top w:val="single" w:sz="4" w:color="D9D9D9"/>
              <w:left w:val="single" w:sz="4" w:color="D9D9D9"/>
              <w:bottom w:val="single" w:sz="4" w:color="D9D9D9"/>
              <w:right w:val="single" w:sz="4" w:color="D9D9D9"/>
            </w:tcBorders>
          </w:tcPr>
          <w:p>
            <w:pPr>
              <w:spacing w:after="100"/>
            </w:pPr>
            <w:r>
              <w:rPr>
                <w:sz w:val="20"/>
              </w:rPr>
              <w:t>Denied</w:t>
            </w:r>
          </w:p>
        </w:tc>
      </w:tr>
      <w:tr>
        <w:trPr>
          <w:cantSplit/>
        </w:trPr>
        <w:tc>
          <w:tcPr>
            <w:tcW w:type="dxa" w:w="2484"/>
            <w:tcBorders>
              <w:top w:val="single" w:sz="4" w:color="D9D9D9"/>
              <w:left w:val="single" w:sz="4" w:color="D9D9D9"/>
              <w:bottom w:val="single" w:sz="4" w:color="D9D9D9"/>
              <w:right w:val="single" w:sz="4" w:color="D9D9D9"/>
            </w:tcBorders>
          </w:tcPr>
          <w:p>
            <w:pPr>
              <w:spacing w:after="100"/>
            </w:pPr>
            <w:r>
              <w:rPr>
                <w:sz w:val="20"/>
              </w:rPr>
              <w:t>Privileged non-owner</w:t>
            </w:r>
          </w:p>
        </w:tc>
        <w:tc>
          <w:tcPr>
            <w:tcW w:type="dxa" w:w="2484"/>
            <w:tcBorders>
              <w:top w:val="single" w:sz="4" w:color="D9D9D9"/>
              <w:left w:val="single" w:sz="4" w:color="D9D9D9"/>
              <w:bottom w:val="single" w:sz="4" w:color="D9D9D9"/>
              <w:right w:val="single" w:sz="4" w:color="D9D9D9"/>
            </w:tcBorders>
          </w:tcPr>
          <w:p>
            <w:pPr>
              <w:spacing w:after="100"/>
            </w:pPr>
            <w:r>
              <w:rPr>
                <w:sz w:val="20"/>
              </w:rPr>
              <w:t>3 rows</w:t>
            </w:r>
          </w:p>
        </w:tc>
        <w:tc>
          <w:tcPr>
            <w:tcW w:type="dxa" w:w="2484"/>
            <w:tcBorders>
              <w:top w:val="single" w:sz="4" w:color="D9D9D9"/>
              <w:left w:val="single" w:sz="4" w:color="D9D9D9"/>
              <w:bottom w:val="single" w:sz="4" w:color="D9D9D9"/>
              <w:right w:val="single" w:sz="4" w:color="D9D9D9"/>
            </w:tcBorders>
          </w:tcPr>
          <w:p>
            <w:pPr>
              <w:spacing w:after="100"/>
            </w:pPr>
            <w:r>
              <w:rPr>
                <w:sz w:val="20"/>
              </w:rPr>
              <w:t>Fake original emails</w:t>
            </w:r>
          </w:p>
        </w:tc>
        <w:tc>
          <w:tcPr>
            <w:tcW w:type="dxa" w:w="2484"/>
            <w:tcBorders>
              <w:top w:val="single" w:sz="4" w:color="D9D9D9"/>
              <w:left w:val="single" w:sz="4" w:color="D9D9D9"/>
              <w:bottom w:val="single" w:sz="4" w:color="D9D9D9"/>
              <w:right w:val="single" w:sz="4" w:color="D9D9D9"/>
            </w:tcBorders>
          </w:tcPr>
          <w:p>
            <w:pPr>
              <w:spacing w:after="100"/>
            </w:pPr>
            <w:r>
              <w:rPr>
                <w:sz w:val="20"/>
              </w:rPr>
              <w:t>Denied</w:t>
            </w:r>
          </w:p>
        </w:tc>
      </w:tr>
      <w:tr>
        <w:trPr>
          <w:cantSplit/>
        </w:trPr>
        <w:tc>
          <w:tcPr>
            <w:tcW w:type="dxa" w:w="2484"/>
            <w:tcBorders>
              <w:top w:val="single" w:sz="4" w:color="D9D9D9"/>
              <w:left w:val="single" w:sz="4" w:color="D9D9D9"/>
              <w:bottom w:val="single" w:sz="4" w:color="D9D9D9"/>
              <w:right w:val="single" w:sz="4" w:color="D9D9D9"/>
            </w:tcBorders>
          </w:tcPr>
          <w:p>
            <w:pPr>
              <w:spacing w:after="100"/>
            </w:pPr>
            <w:r>
              <w:rPr>
                <w:sz w:val="20"/>
              </w:rPr>
              <w:t>Trainer owner</w:t>
            </w:r>
          </w:p>
        </w:tc>
        <w:tc>
          <w:tcPr>
            <w:tcW w:type="dxa" w:w="2484"/>
            <w:tcBorders>
              <w:top w:val="single" w:sz="4" w:color="D9D9D9"/>
              <w:left w:val="single" w:sz="4" w:color="D9D9D9"/>
              <w:bottom w:val="single" w:sz="4" w:color="D9D9D9"/>
              <w:right w:val="single" w:sz="4" w:color="D9D9D9"/>
            </w:tcBorders>
          </w:tcPr>
          <w:p>
            <w:pPr>
              <w:spacing w:after="100"/>
            </w:pPr>
            <w:r>
              <w:rPr>
                <w:sz w:val="20"/>
              </w:rPr>
              <w:t>Depends on group condition</w:t>
            </w:r>
          </w:p>
        </w:tc>
        <w:tc>
          <w:tcPr>
            <w:tcW w:type="dxa" w:w="2484"/>
            <w:tcBorders>
              <w:top w:val="single" w:sz="4" w:color="D9D9D9"/>
              <w:left w:val="single" w:sz="4" w:color="D9D9D9"/>
              <w:bottom w:val="single" w:sz="4" w:color="D9D9D9"/>
              <w:right w:val="single" w:sz="4" w:color="D9D9D9"/>
            </w:tcBorders>
          </w:tcPr>
          <w:p>
            <w:pPr>
              <w:spacing w:after="100"/>
            </w:pPr>
            <w:r>
              <w:rPr>
                <w:sz w:val="20"/>
              </w:rPr>
              <w:t>Depends on group condition</w:t>
            </w:r>
          </w:p>
        </w:tc>
        <w:tc>
          <w:tcPr>
            <w:tcW w:type="dxa" w:w="2484"/>
            <w:tcBorders>
              <w:top w:val="single" w:sz="4" w:color="D9D9D9"/>
              <w:left w:val="single" w:sz="4" w:color="D9D9D9"/>
              <w:bottom w:val="single" w:sz="4" w:color="D9D9D9"/>
              <w:right w:val="single" w:sz="4" w:color="D9D9D9"/>
            </w:tcBorders>
          </w:tcPr>
          <w:p>
            <w:pPr>
              <w:spacing w:after="100"/>
            </w:pPr>
            <w:r>
              <w:rPr>
                <w:sz w:val="20"/>
              </w:rPr>
              <w:t>Allowed</w:t>
            </w:r>
          </w:p>
        </w:tc>
      </w:tr>
    </w:tbl>
    <w:p/>
    <w:p>
      <w:pPr>
        <w:pStyle w:val="Heading1"/>
      </w:pPr>
      <w:r>
        <w:t>Lab 7 Review advanced security controls</w:t>
      </w:r>
    </w:p>
    <w:p>
      <w:r>
        <w:t>This exercise implements a view and grants, then records the environment controls that require an administrator. It does not reconfigure the live class network.</w:t>
      </w:r>
    </w:p>
    <w:p>
      <w:r>
        <w:t>1. Identity: inspect the ADF managed identity, Databricks run identity, and Access Connector managed identity separately. Record which one starts compute and which one accesses storage. Use scoped roles rather than giving every learner subscription Owner.</w:t>
      </w:r>
    </w:p>
    <w:p>
      <w:r>
        <w:t>2. Secrets: inspect how a notebook obtains a required secret through an approved scope if one exists. Do not print secret values. Prefer managed identity where supported. Redaction helps prevent accidental display but cannot stop an authorized user from intentionally exposing a secret. [Secrets]</w:t>
      </w:r>
    </w:p>
    <w:p>
      <w:r>
        <w:t>3. Network: draw the required source-to-ADF, compute-to-ADLS, and analyst-to-service paths. Private endpoints need DNS and routing as well as permissions. Private connectivity does not by itself authorize a user. Review Private Link options with the administrator. [Networking]</w:t>
      </w:r>
    </w:p>
    <w:p>
      <w:r>
        <w:t>4. Encryption: record the service encryption defaults and any organizational customer-managed-key requirement. Key rotation, recovery and access control need owners. Do not rotate shared keys during class.</w:t>
      </w:r>
    </w:p>
    <w:p>
      <w:r>
        <w:t>5. Compute policies: trainer inspects an existing policy that limits allowable VM sizes, worker bounds or other supported settings. Record one setting and its cost/security purpose. An unrestricted policy is not a spending limit.</w:t>
      </w:r>
    </w:p>
    <w:p>
      <w:r>
        <w:t>6. Audit: run the audit query in 05_trainer_observability.sql if permitted. Find a recent actor, service and action. Logs may have ingestion delay; an empty result needs investigation. Keep identity-rich output restricted. [System tables]</w:t>
      </w:r>
    </w:p>
    <w:p>
      <w:pPr>
        <w:pStyle w:val="Heading1"/>
      </w:pPr>
      <w:r>
        <w:t>Lab 8 Mask and pseudonymize fake data</w:t>
      </w:r>
    </w:p>
    <w:p>
      <w:r>
        <w:t>1. Open 03_day22_privacy and set your own catalog/schema. Run the fake-customer cell. It creates only dedicated lab tables.</w:t>
      </w:r>
    </w:p>
    <w:p>
      <w:r>
        <w:t>2. Display masked output. The email becomes REDACTED, while the source still contains the fake email. Ask a student why this alone does not enforce access control.</w:t>
      </w:r>
    </w:p>
    <w:p>
      <w:r>
        <w:t>3. Run the pseudonym cell. SHA-256 produces a repeatable token for the identifier. A known or guessable input can still be matched. Treat this as pseudonymization, not proof of irreversible anonymization.</w:t>
      </w:r>
    </w:p>
    <w:p>
      <w:r>
        <w:t>4. Discuss production alternatives: a protected token mapping or keyed HMAC can reduce guessing risk, with strict key and mapping access. The ability to reidentify remains relevant.</w:t>
      </w:r>
    </w:p>
    <w:p>
      <w:r>
        <w:t>5. Generalize ages into decade bands and aggregate by city. A group of one can still reveal an individual. Evaluate combinations of attributes and realistic reidentification risks before calling a dataset anonymous.</w:t>
      </w:r>
    </w:p>
    <w:p>
      <w:r>
        <w:t>Expected evidence: masked output, token output, and one limitation of each method. Do not upload real learner personal details.</w:t>
      </w:r>
    </w:p>
    <w:p>
      <w:pPr>
        <w:pStyle w:val="Heading1"/>
      </w:pPr>
      <w:r>
        <w:t>Lab 9 Handle a privacy request</w:t>
      </w:r>
    </w:p>
    <w:p>
      <w:r>
        <w:t>Scenario: fake customer C002 asks for their data to be removed. This is an engineering simulation. Applicability, exceptions, identity verification and legal decisions belong to the organization privacy process.</w:t>
      </w:r>
    </w:p>
    <w:p>
      <w:r>
        <w:t>1. Create a request log containing a request ID, verified subject reference, request type, assigned owner, decision, target systems and completion evidence. Avoid copying sensitive data into the log.</w:t>
      </w:r>
    </w:p>
    <w:p>
      <w:r>
        <w:t>2. Trace the subject through source files, Bronze/Silver tables, exports, derived data, backups and downstream recipients. Decide what must be deleted, retained with justification, or regenerated.</w:t>
      </w:r>
    </w:p>
    <w:p>
      <w:r>
        <w:t>3. Run the disposable erasure cell in 03_day22_privacy. It deletes C002 from the current snapshot of day22_erasure_demo and verifies zero matching rows. The original fake source table intentionally remains so students can see that deletion has a scope.</w:t>
      </w:r>
    </w:p>
    <w:p>
      <w:r>
        <w:t>4. Inspect DESCRIBE HISTORY. Logical deletion does not guarantee immediate physical removal from old files. Retention, deletion vectors where applicable, table maintenance, backups, logs and copied exports need separate handling. Do not run zero-retention VACUUM or disable safety checks. [Vacuum]</w:t>
      </w:r>
    </w:p>
    <w:p>
      <w:r>
        <w:t>5. Record remaining copies as pending work. A real completion response should follow verified actions and the approved retention process. Use a deletion or suppression ledger to prevent the next source replay from recreating erased records.</w:t>
      </w:r>
    </w:p>
    <w:p>
      <w:r>
        <w:t>Expected evidence: request checklist and a precise statement that only the current snapshot of one disposable table has been changed.</w:t>
      </w:r>
    </w:p>
    <w:p>
      <w:pPr>
        <w:pStyle w:val="Heading1"/>
      </w:pPr>
      <w:r>
        <w:t>GDPR and CCPA classroom mapping</w:t>
      </w:r>
    </w:p>
    <w:p>
      <w:r>
        <w:t>GDPR means General Data Protection Regulation. Discuss purpose limitation, data minimization, appropriate security, retention and applicable individual rights. Pseudonymized personal data remains within the privacy analysis. Erasure rights have conditions and exceptions. [GDPR]</w:t>
      </w:r>
    </w:p>
    <w:p>
      <w:r>
        <w:t>CCPA means California Consumer Privacy Act, as amended by CPRA. Discuss applicable rights to know, delete and correct, and to opt out of sale or sharing. Eligible uses of sensitive information can carry additional rights. Applicability and exceptions depend on the organization and processing. [CCPA]</w:t>
      </w:r>
    </w:p>
    <w:p>
      <w:r>
        <w:t>A cloud service feature does not certify an entire organization as compliant. The lab implements technical controls that support a wider process.</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Need</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Engineering evidence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Minimize collection</w:t>
            </w:r>
          </w:p>
        </w:tc>
        <w:tc>
          <w:tcPr>
            <w:tcW w:type="dxa" w:w="4968"/>
            <w:tcBorders>
              <w:top w:val="single" w:sz="4" w:color="D9D9D9"/>
              <w:left w:val="single" w:sz="4" w:color="D9D9D9"/>
              <w:bottom w:val="single" w:sz="4" w:color="D9D9D9"/>
              <w:right w:val="single" w:sz="4" w:color="D9D9D9"/>
            </w:tcBorders>
          </w:tcPr>
          <w:p>
            <w:pPr>
              <w:spacing w:after="100"/>
            </w:pPr>
            <w:r>
              <w:rPr>
                <w:sz w:val="20"/>
              </w:rPr>
              <w:t>Only needed columns in curated outputs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Restrict access</w:t>
            </w:r>
          </w:p>
        </w:tc>
        <w:tc>
          <w:tcPr>
            <w:tcW w:type="dxa" w:w="4968"/>
            <w:tcBorders>
              <w:top w:val="single" w:sz="4" w:color="D9D9D9"/>
              <w:left w:val="single" w:sz="4" w:color="D9D9D9"/>
              <w:bottom w:val="single" w:sz="4" w:color="D9D9D9"/>
              <w:right w:val="single" w:sz="4" w:color="D9D9D9"/>
            </w:tcBorders>
          </w:tcPr>
          <w:p>
            <w:pPr>
              <w:spacing w:after="100"/>
            </w:pPr>
            <w:r>
              <w:rPr>
                <w:sz w:val="20"/>
              </w:rPr>
              <w:t>Group grants plus successful denial test</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Locate personal records</w:t>
            </w:r>
          </w:p>
        </w:tc>
        <w:tc>
          <w:tcPr>
            <w:tcW w:type="dxa" w:w="4968"/>
            <w:tcBorders>
              <w:top w:val="single" w:sz="4" w:color="D9D9D9"/>
              <w:left w:val="single" w:sz="4" w:color="D9D9D9"/>
              <w:bottom w:val="single" w:sz="4" w:color="D9D9D9"/>
              <w:right w:val="single" w:sz="4" w:color="D9D9D9"/>
            </w:tcBorders>
          </w:tcPr>
          <w:p>
            <w:pPr>
              <w:spacing w:after="100"/>
            </w:pPr>
            <w:r>
              <w:rPr>
                <w:sz w:val="20"/>
              </w:rPr>
              <w:t>Lineage and system inventory</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Handle correction or deletion</w:t>
            </w:r>
          </w:p>
        </w:tc>
        <w:tc>
          <w:tcPr>
            <w:tcW w:type="dxa" w:w="4968"/>
            <w:tcBorders>
              <w:top w:val="single" w:sz="4" w:color="D9D9D9"/>
              <w:left w:val="single" w:sz="4" w:color="D9D9D9"/>
              <w:bottom w:val="single" w:sz="4" w:color="D9D9D9"/>
              <w:right w:val="single" w:sz="4" w:color="D9D9D9"/>
            </w:tcBorders>
          </w:tcPr>
          <w:p>
            <w:pPr>
              <w:spacing w:after="100"/>
            </w:pPr>
            <w:r>
              <w:rPr>
                <w:sz w:val="20"/>
              </w:rPr>
              <w:t>Verified request and downstream checks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Respect retention</w:t>
            </w:r>
          </w:p>
        </w:tc>
        <w:tc>
          <w:tcPr>
            <w:tcW w:type="dxa" w:w="4968"/>
            <w:tcBorders>
              <w:top w:val="single" w:sz="4" w:color="D9D9D9"/>
              <w:left w:val="single" w:sz="4" w:color="D9D9D9"/>
              <w:bottom w:val="single" w:sz="4" w:color="D9D9D9"/>
              <w:right w:val="single" w:sz="4" w:color="D9D9D9"/>
            </w:tcBorders>
          </w:tcPr>
          <w:p>
            <w:pPr>
              <w:spacing w:after="100"/>
            </w:pPr>
            <w:r>
              <w:rPr>
                <w:sz w:val="20"/>
              </w:rPr>
              <w:t>Documented schedule and exception owner</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Accountability</w:t>
            </w:r>
          </w:p>
        </w:tc>
        <w:tc>
          <w:tcPr>
            <w:tcW w:type="dxa" w:w="4968"/>
            <w:tcBorders>
              <w:top w:val="single" w:sz="4" w:color="D9D9D9"/>
              <w:left w:val="single" w:sz="4" w:color="D9D9D9"/>
              <w:bottom w:val="single" w:sz="4" w:color="D9D9D9"/>
              <w:right w:val="single" w:sz="4" w:color="D9D9D9"/>
            </w:tcBorders>
          </w:tcPr>
          <w:p>
            <w:pPr>
              <w:spacing w:after="100"/>
            </w:pPr>
            <w:r>
              <w:rPr>
                <w:sz w:val="20"/>
              </w:rPr>
              <w:t>Restricted audit trail and review record</w:t>
            </w:r>
          </w:p>
        </w:tc>
      </w:tr>
    </w:tbl>
    <w:p/>
    <w:p>
      <w:pPr>
        <w:pStyle w:val="Heading1"/>
      </w:pPr>
      <w:r>
        <w:t>Lab 10 Rerun the Day 21 pipeline with Day 22 processing</w:t>
      </w:r>
    </w:p>
    <w:p>
      <w:r>
        <w:t>1. Clone your Day 21 ADF pipeline to a Day 22 name. Preserve the original. Confirm that dataset paths still target your student folder and the intended processing date.</w:t>
      </w:r>
    </w:p>
    <w:p>
      <w:r>
        <w:t>2. Point its Databricks Notebook activity to 01_day22_etl. Pass catalog, schema and processing_date as notebook parameters. Reuse the authorized linked service and compute route from Day 21.</w:t>
      </w:r>
    </w:p>
    <w:p>
      <w:r>
        <w:t>3. The ADF automation identity needs its own workspace, notebook, compute and Unity Catalog privileges. Student success does not prove that identity can read the volume or create the target tables. The identity also needs SELECT and MODIFY on existing Day 22 tables. If a replacement operation requires ownership, have the trainer resolve ownership only for these disposable Day 22 outputs or let the intended automation identity create a fresh dedicated output set. Do not change ownership of Day 21 or shared tables.</w:t>
      </w:r>
    </w:p>
    <w:p>
      <w:r>
        <w:t>4. Run the cloned pipeline once. Keep Copy success as the dependency before the notebook. Keep or update the Day 21 CheckResult expression to read json(activity('TransformOrders').output.runOutput).status, using the actual notebook activity name. The Day 22 notebook returns status validated as JSON. Set pipeline concurrency to one for the shared output table set. Do not add an independent competing schedule for the same work.</w:t>
      </w:r>
    </w:p>
    <w:p>
      <w:r>
        <w:t>5. Inspect ADF Monitor and the notebook run. Query day22_gold and confirm three accepted orders and total 600. Rerun once and confirm there are still three accepted rows, not six. This tests full-refresh rerun behavior for this lab.</w:t>
      </w:r>
    </w:p>
    <w:p>
      <w:r>
        <w:t>6. Each Delta table write is transactional, but the entire sequence of table writes is not one atomic transaction. Production designs may publish a validated run only after all outputs succeed.</w:t>
      </w:r>
    </w:p>
    <w:p>
      <w:r>
        <w:t>Expected evidence: pipeline run ID, notebook run identity, output checks and second-run checks. Pause the cloned pipeline schedule after class.</w:t>
      </w:r>
    </w:p>
    <w:p>
      <w:pPr>
        <w:pStyle w:val="Heading1"/>
      </w:pPr>
      <w:r>
        <w:t>Troubleshooting</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Symptom</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Check and response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Volume path not found</w:t>
            </w:r>
          </w:p>
        </w:tc>
        <w:tc>
          <w:tcPr>
            <w:tcW w:type="dxa" w:w="4968"/>
            <w:tcBorders>
              <w:top w:val="single" w:sz="4" w:color="D9D9D9"/>
              <w:left w:val="single" w:sz="4" w:color="D9D9D9"/>
              <w:bottom w:val="single" w:sz="4" w:color="D9D9D9"/>
              <w:right w:val="single" w:sz="4" w:color="D9D9D9"/>
            </w:tcBorders>
          </w:tcPr>
          <w:p>
            <w:pPr>
              <w:spacing w:after="100"/>
            </w:pPr>
            <w:r>
              <w:rPr>
                <w:sz w:val="20"/>
              </w:rPr>
              <w:t>Use the Day 21 date and exact student volume path</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PERMISSION_DENIED</w:t>
            </w:r>
          </w:p>
        </w:tc>
        <w:tc>
          <w:tcPr>
            <w:tcW w:type="dxa" w:w="4968"/>
            <w:tcBorders>
              <w:top w:val="single" w:sz="4" w:color="D9D9D9"/>
              <w:left w:val="single" w:sz="4" w:color="D9D9D9"/>
              <w:bottom w:val="single" w:sz="4" w:color="D9D9D9"/>
              <w:right w:val="single" w:sz="4" w:color="D9D9D9"/>
            </w:tcBorders>
          </w:tcPr>
          <w:p>
            <w:pPr>
              <w:spacing w:after="100"/>
            </w:pPr>
            <w:r>
              <w:rPr>
                <w:sz w:val="20"/>
              </w:rPr>
              <w:t>Check current identity and UC parent/object grants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Azure storage 403</w:t>
            </w:r>
          </w:p>
        </w:tc>
        <w:tc>
          <w:tcPr>
            <w:tcW w:type="dxa" w:w="4968"/>
            <w:tcBorders>
              <w:top w:val="single" w:sz="4" w:color="D9D9D9"/>
              <w:left w:val="single" w:sz="4" w:color="D9D9D9"/>
              <w:bottom w:val="single" w:sz="4" w:color="D9D9D9"/>
              <w:right w:val="single" w:sz="4" w:color="D9D9D9"/>
            </w:tcBorders>
          </w:tcPr>
          <w:p>
            <w:pPr>
              <w:spacing w:after="100"/>
            </w:pPr>
            <w:r>
              <w:rPr>
                <w:sz w:val="20"/>
              </w:rPr>
              <w:t>Check connector role scope and network reachability</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VM quota exceeded</w:t>
            </w:r>
          </w:p>
        </w:tc>
        <w:tc>
          <w:tcPr>
            <w:tcW w:type="dxa" w:w="4968"/>
            <w:tcBorders>
              <w:top w:val="single" w:sz="4" w:color="D9D9D9"/>
              <w:left w:val="single" w:sz="4" w:color="D9D9D9"/>
              <w:bottom w:val="single" w:sz="4" w:color="D9D9D9"/>
              <w:right w:val="single" w:sz="4" w:color="D9D9D9"/>
            </w:tcBorders>
          </w:tcPr>
          <w:p>
            <w:pPr>
              <w:spacing w:after="100"/>
            </w:pPr>
            <w:r>
              <w:rPr>
                <w:sz w:val="20"/>
              </w:rPr>
              <w:t>Check VM-family plus regional quota for driver and workers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No speed improvement</w:t>
            </w:r>
          </w:p>
        </w:tc>
        <w:tc>
          <w:tcPr>
            <w:tcW w:type="dxa" w:w="4968"/>
            <w:tcBorders>
              <w:top w:val="single" w:sz="4" w:color="D9D9D9"/>
              <w:left w:val="single" w:sz="4" w:color="D9D9D9"/>
              <w:bottom w:val="single" w:sz="4" w:color="D9D9D9"/>
              <w:right w:val="single" w:sz="4" w:color="D9D9D9"/>
            </w:tcBorders>
          </w:tcPr>
          <w:p>
            <w:pPr>
              <w:spacing w:after="100"/>
            </w:pPr>
            <w:r>
              <w:rPr>
                <w:sz w:val="20"/>
              </w:rPr>
              <w:t>Inspect actual plans, warmup and concurrent workload</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Driver memory error</w:t>
            </w:r>
          </w:p>
        </w:tc>
        <w:tc>
          <w:tcPr>
            <w:tcW w:type="dxa" w:w="4968"/>
            <w:tcBorders>
              <w:top w:val="single" w:sz="4" w:color="D9D9D9"/>
              <w:left w:val="single" w:sz="4" w:color="D9D9D9"/>
              <w:bottom w:val="single" w:sz="4" w:color="D9D9D9"/>
              <w:right w:val="single" w:sz="4" w:color="D9D9D9"/>
            </w:tcBorders>
          </w:tcPr>
          <w:p>
            <w:pPr>
              <w:spacing w:after="100"/>
            </w:pPr>
            <w:r>
              <w:rPr>
                <w:sz w:val="20"/>
              </w:rPr>
              <w:t>Avoid collecting large datasets onto the driver</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OPTIMIZE changes nothing</w:t>
            </w:r>
          </w:p>
        </w:tc>
        <w:tc>
          <w:tcPr>
            <w:tcW w:type="dxa" w:w="4968"/>
            <w:tcBorders>
              <w:top w:val="single" w:sz="4" w:color="D9D9D9"/>
              <w:left w:val="single" w:sz="4" w:color="D9D9D9"/>
              <w:bottom w:val="single" w:sz="4" w:color="D9D9D9"/>
              <w:right w:val="single" w:sz="4" w:color="D9D9D9"/>
            </w:tcBorders>
          </w:tcPr>
          <w:p>
            <w:pPr>
              <w:spacing w:after="100"/>
            </w:pPr>
            <w:r>
              <w:rPr>
                <w:sz w:val="20"/>
              </w:rPr>
              <w:t>Tiny or already compact table can need no rewrite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Analyst sees private table</w:t>
            </w:r>
          </w:p>
        </w:tc>
        <w:tc>
          <w:tcPr>
            <w:tcW w:type="dxa" w:w="4968"/>
            <w:tcBorders>
              <w:top w:val="single" w:sz="4" w:color="D9D9D9"/>
              <w:left w:val="single" w:sz="4" w:color="D9D9D9"/>
              <w:bottom w:val="single" w:sz="4" w:color="D9D9D9"/>
              <w:right w:val="single" w:sz="4" w:color="D9D9D9"/>
            </w:tcBorders>
          </w:tcPr>
          <w:p>
            <w:pPr>
              <w:spacing w:after="100"/>
            </w:pPr>
            <w:r>
              <w:rPr>
                <w:sz w:val="20"/>
              </w:rPr>
              <w:t>Find inherited SELECT, owner or wider group access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System table denied</w:t>
            </w:r>
          </w:p>
        </w:tc>
        <w:tc>
          <w:tcPr>
            <w:tcW w:type="dxa" w:w="4968"/>
            <w:tcBorders>
              <w:top w:val="single" w:sz="4" w:color="D9D9D9"/>
              <w:left w:val="single" w:sz="4" w:color="D9D9D9"/>
              <w:bottom w:val="single" w:sz="4" w:color="D9D9D9"/>
              <w:right w:val="single" w:sz="4" w:color="D9D9D9"/>
            </w:tcBorders>
          </w:tcPr>
          <w:p>
            <w:pPr>
              <w:spacing w:after="100"/>
            </w:pPr>
            <w:r>
              <w:rPr>
                <w:sz w:val="20"/>
              </w:rPr>
              <w:t>Use authorized trainer demo or worksheet</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Cost appears zero</w:t>
            </w:r>
          </w:p>
        </w:tc>
        <w:tc>
          <w:tcPr>
            <w:tcW w:type="dxa" w:w="4968"/>
            <w:tcBorders>
              <w:top w:val="single" w:sz="4" w:color="D9D9D9"/>
              <w:left w:val="single" w:sz="4" w:color="D9D9D9"/>
              <w:bottom w:val="single" w:sz="4" w:color="D9D9D9"/>
              <w:right w:val="single" w:sz="4" w:color="D9D9D9"/>
            </w:tcBorders>
          </w:tcPr>
          <w:p>
            <w:pPr>
              <w:spacing w:after="100"/>
            </w:pPr>
            <w:r>
              <w:rPr>
                <w:sz w:val="20"/>
              </w:rPr>
              <w:t>Check scope and data latency</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Deleted person returns</w:t>
            </w:r>
          </w:p>
        </w:tc>
        <w:tc>
          <w:tcPr>
            <w:tcW w:type="dxa" w:w="4968"/>
            <w:tcBorders>
              <w:top w:val="single" w:sz="4" w:color="D9D9D9"/>
              <w:left w:val="single" w:sz="4" w:color="D9D9D9"/>
              <w:bottom w:val="single" w:sz="4" w:color="D9D9D9"/>
              <w:right w:val="single" w:sz="4" w:color="D9D9D9"/>
            </w:tcBorders>
          </w:tcPr>
          <w:p>
            <w:pPr>
              <w:spacing w:after="100"/>
            </w:pPr>
            <w:r>
              <w:rPr>
                <w:sz w:val="20"/>
              </w:rPr>
              <w:t>Check source replay and suppression process</w:t>
            </w:r>
          </w:p>
        </w:tc>
      </w:tr>
    </w:tbl>
    <w:p/>
    <w:p>
      <w:pPr>
        <w:pStyle w:val="Heading1"/>
      </w:pPr>
      <w:r>
        <w:t>Submission and assessment</w:t>
      </w:r>
    </w:p>
    <w:p>
      <w:r>
        <w:t>Submit screenshots or exported text with the student identifier and timestamp. Do not include secrets, personal data or unrelated account logs.</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Evidence</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Points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Correct ETL/ELT outputs and equality checks</w:t>
            </w:r>
          </w:p>
        </w:tc>
        <w:tc>
          <w:tcPr>
            <w:tcW w:type="dxa" w:w="4968"/>
            <w:tcBorders>
              <w:top w:val="single" w:sz="4" w:color="D9D9D9"/>
              <w:left w:val="single" w:sz="4" w:color="D9D9D9"/>
              <w:bottom w:val="single" w:sz="4" w:color="D9D9D9"/>
              <w:right w:val="single" w:sz="4" w:color="D9D9D9"/>
            </w:tcBorders>
          </w:tcPr>
          <w:p>
            <w:pPr>
              <w:spacing w:after="100"/>
            </w:pPr>
            <w:r>
              <w:rPr>
                <w:sz w:val="20"/>
              </w:rPr>
              <w:t>25</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Measured performance comparison and honest interpretation</w:t>
            </w:r>
          </w:p>
        </w:tc>
        <w:tc>
          <w:tcPr>
            <w:tcW w:type="dxa" w:w="4968"/>
            <w:tcBorders>
              <w:top w:val="single" w:sz="4" w:color="D9D9D9"/>
              <w:left w:val="single" w:sz="4" w:color="D9D9D9"/>
              <w:bottom w:val="single" w:sz="4" w:color="D9D9D9"/>
              <w:right w:val="single" w:sz="4" w:color="D9D9D9"/>
            </w:tcBorders>
          </w:tcPr>
          <w:p>
            <w:pPr>
              <w:spacing w:after="100"/>
            </w:pPr>
            <w:r>
              <w:rPr>
                <w:sz w:val="20"/>
              </w:rPr>
              <w:t>20</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Compute and cost observations with proposed action</w:t>
            </w:r>
          </w:p>
        </w:tc>
        <w:tc>
          <w:tcPr>
            <w:tcW w:type="dxa" w:w="4968"/>
            <w:tcBorders>
              <w:top w:val="single" w:sz="4" w:color="D9D9D9"/>
              <w:left w:val="single" w:sz="4" w:color="D9D9D9"/>
              <w:bottom w:val="single" w:sz="4" w:color="D9D9D9"/>
              <w:right w:val="single" w:sz="4" w:color="D9D9D9"/>
            </w:tcBorders>
          </w:tcPr>
          <w:p>
            <w:pPr>
              <w:spacing w:after="100"/>
            </w:pPr>
            <w:r>
              <w:rPr>
                <w:sz w:val="20"/>
              </w:rPr>
              <w:t>15</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Masked-view and direct-access denial evidence</w:t>
            </w:r>
          </w:p>
        </w:tc>
        <w:tc>
          <w:tcPr>
            <w:tcW w:type="dxa" w:w="4968"/>
            <w:tcBorders>
              <w:top w:val="single" w:sz="4" w:color="D9D9D9"/>
              <w:left w:val="single" w:sz="4" w:color="D9D9D9"/>
              <w:bottom w:val="single" w:sz="4" w:color="D9D9D9"/>
              <w:right w:val="single" w:sz="4" w:color="D9D9D9"/>
            </w:tcBorders>
          </w:tcPr>
          <w:p>
            <w:pPr>
              <w:spacing w:after="100"/>
            </w:pPr>
            <w:r>
              <w:rPr>
                <w:sz w:val="20"/>
              </w:rPr>
              <w:t>20</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Privacy request scope and retained-copy discussion</w:t>
            </w:r>
          </w:p>
        </w:tc>
        <w:tc>
          <w:tcPr>
            <w:tcW w:type="dxa" w:w="4968"/>
            <w:tcBorders>
              <w:top w:val="single" w:sz="4" w:color="D9D9D9"/>
              <w:left w:val="single" w:sz="4" w:color="D9D9D9"/>
              <w:bottom w:val="single" w:sz="4" w:color="D9D9D9"/>
              <w:right w:val="single" w:sz="4" w:color="D9D9D9"/>
            </w:tcBorders>
          </w:tcPr>
          <w:p>
            <w:pPr>
              <w:spacing w:after="100"/>
            </w:pPr>
            <w:r>
              <w:rPr>
                <w:sz w:val="20"/>
              </w:rPr>
              <w:t>15</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Scoped cleanup and readable handover</w:t>
            </w:r>
          </w:p>
        </w:tc>
        <w:tc>
          <w:tcPr>
            <w:tcW w:type="dxa" w:w="4968"/>
            <w:tcBorders>
              <w:top w:val="single" w:sz="4" w:color="D9D9D9"/>
              <w:left w:val="single" w:sz="4" w:color="D9D9D9"/>
              <w:bottom w:val="single" w:sz="4" w:color="D9D9D9"/>
              <w:right w:val="single" w:sz="4" w:color="D9D9D9"/>
            </w:tcBorders>
          </w:tcPr>
          <w:p>
            <w:pPr>
              <w:spacing w:after="100"/>
            </w:pPr>
            <w:r>
              <w:rPr>
                <w:sz w:val="20"/>
              </w:rPr>
              <w:t>5</w:t>
            </w:r>
          </w:p>
        </w:tc>
      </w:tr>
    </w:tbl>
    <w:p/>
    <w:p>
      <w:pPr>
        <w:pStyle w:val="Heading1"/>
      </w:pPr>
      <w:r>
        <w:t>Cleanup and recovery</w:t>
      </w:r>
    </w:p>
    <w:p>
      <w:r>
        <w:t>1. Call unpersist on your own cached DataFrames. Do not run broad cache-clearing operations while classmates are active.</w:t>
      </w:r>
    </w:p>
    <w:p>
      <w:r>
        <w:t>2. Pause only your Day 22 pipeline triggers and record the notebook/table names created. The trainer terminates shared compute after confirming that all learners have finished.</w:t>
      </w:r>
    </w:p>
    <w:p>
      <w:r>
        <w:t>3. Keep Day 21 inputs and outputs for subsequent labs. Drop only your explicitly listed day22 tables when the trainer confirms they are no longer needed. Managed-table deletion must use supported table operations.</w:t>
      </w:r>
    </w:p>
    <w:p>
      <w:r>
        <w:t>4. Trainer removes temporary test-group grants or identities after the demonstration if no later lab uses them. Avoid deleting a group that predated this exercise.</w:t>
      </w:r>
    </w:p>
    <w:p>
      <w:r>
        <w:t>5. Do not delete the storage account, Access Connector, catalog or shared workspace as part of student cleanup.</w:t>
      </w:r>
    </w:p>
    <w:p>
      <w:pPr>
        <w:pStyle w:val="Heading1"/>
      </w:pPr>
      <w:r>
        <w:t>References and execution scope</w:t>
      </w:r>
    </w:p>
    <w:p>
      <w:r>
        <w:t>The current schedule supplies the Day 22 topic coverage. The following official references support platform behavior and the privacy overview. Read feature prerequisites for your current runtime and workspace.</w:t>
      </w:r>
    </w:p>
    <w:p>
      <w:r>
        <w:t>The package contains runnable teaching examples and expected fixture results. It has not executed against your Azure subscription. Performance timings, billing values and permission-test results must come from your lab.</w:t>
      </w:r>
    </w:p>
    <w:p>
      <w:r>
        <w:t>Compute: https://learn.microsoft.com/en-us/azure/databricks/compute/cluster-config-best-practices</w:t>
      </w:r>
    </w:p>
    <w:p>
      <w:r>
        <w:t>Adaptive execution: https://learn.microsoft.com/en-us/azure/databricks/optimizations/aqe</w:t>
      </w:r>
    </w:p>
    <w:p>
      <w:r>
        <w:t>Joins: https://learn.microsoft.com/en-us/azure/databricks/transform/optimize-joins</w:t>
      </w:r>
    </w:p>
    <w:p>
      <w:r>
        <w:t>Budgets: https://learn.microsoft.com/en-us/azure/cost-management-billing/costs/tutorial-acm-create-budgets</w:t>
      </w:r>
    </w:p>
    <w:p>
      <w:r>
        <w:t>Usage: https://learn.microsoft.com/en-us/azure/databricks/admin/system-tables/billing</w:t>
      </w:r>
    </w:p>
    <w:p>
      <w:r>
        <w:t>Dynamic views: https://learn.microsoft.com/en-us/azure/databricks/views/dynamic</w:t>
      </w:r>
    </w:p>
    <w:p>
      <w:r>
        <w:t>Masks: https://learn.microsoft.com/en-us/azure/databricks/data-governance/unity-catalog/filters-and-masks/</w:t>
      </w:r>
    </w:p>
    <w:p>
      <w:r>
        <w:t>Networking: https://learn.microsoft.com/en-us/azure/databricks/security/network/concepts/private-link</w:t>
      </w:r>
    </w:p>
    <w:p>
      <w:r>
        <w:t>Secrets: https://learn.microsoft.com/en-us/azure/databricks/security/secrets/</w:t>
      </w:r>
    </w:p>
    <w:p>
      <w:r>
        <w:t>System tables: https://learn.microsoft.com/en-us/azure/databricks/admin/system-tables/</w:t>
      </w:r>
    </w:p>
    <w:p>
      <w:r>
        <w:t>Vacuum: https://learn.microsoft.com/en-us/azure/databricks/sql/language-manual/delta-vacuum</w:t>
      </w:r>
    </w:p>
    <w:p>
      <w:r>
        <w:t>GDPR: https://eur-lex.europa.eu/eli/reg/2016/679/oj/eng</w:t>
      </w:r>
    </w:p>
    <w:p>
      <w:r>
        <w:t>CCPA: https://oag.ca.gov/privacy/ccpa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Day 22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22 Azure Databricks</dc:title>
  <dc:subject/>
  <dc:creator>Training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