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22 Trainer Explanation Notes</w:t>
      </w:r>
    </w:p>
    <w:p>
      <w:r>
        <w:t>Use these notes alongside the slide deck and lab guide. Students already know how to transform data. Today they test whether that work is efficient, affordable and appropriately restricted.</w:t>
      </w:r>
    </w:p>
    <w:p>
      <w:r>
        <w:t>Teach with the same four-order sales example first. Introduce synthetic rows only when measurement requires more data. Keep security enforcement separate from merely hiding a field in displayed output.</w:t>
      </w:r>
    </w:p>
    <w:p>
      <w:r>
        <w:t>Suggested delivery: six teaching hours plus breaks. Use the coverage table in the lab guide to adjust the pace. All people, money rates and timing examples below are fictional unless students measure them.</w:t>
      </w:r>
    </w:p>
    <w:p>
      <w:pPr>
        <w:pStyle w:val="Heading1"/>
      </w:pPr>
      <w:r>
        <w:t>The purpose of Day 22</w:t>
      </w:r>
    </w:p>
    <w:p>
      <w:r>
        <w:t>Day 21 connects services and runs the workflow. Day 22 examines the behavior of that workflow under load, its cost and its access boundaries.</w:t>
      </w:r>
    </w:p>
    <w:p>
      <w:r>
        <w:rPr>
          <w:b/>
        </w:rPr>
        <w:t>Simple example:</w:t>
      </w:r>
      <w:r>
        <w:t xml:space="preserve"> A car can reach a destination but still waste fuel or leave its doors unlocked. We now measure fuel use and test the locks.</w:t>
      </w:r>
    </w:p>
    <w:p>
      <w:r>
        <w:t>Demonstration: Show the previous pipeline, then identify the notebook, compute, storage and identities we will inspect.</w:t>
      </w:r>
    </w:p>
    <w:p>
      <w:r>
        <w:rPr>
          <w:b/>
        </w:rPr>
        <w:t>Ask students:</w:t>
      </w:r>
      <w:r>
        <w:t xml:space="preserve"> Must the business total change after tuning?</w:t>
      </w:r>
    </w:p>
    <w:p>
      <w:r>
        <w:rPr>
          <w:b/>
        </w:rPr>
        <w:t>Expected explanation:</w:t>
      </w:r>
      <w:r>
        <w:t xml:space="preserve"> No. Valid sales must remain 600 in the supplied fixture.</w:t>
      </w:r>
    </w:p>
    <w:p>
      <w:r>
        <w:rPr>
          <w:b/>
        </w:rPr>
        <w:t>Teaching point:</w:t>
      </w:r>
      <w:r>
        <w:t xml:space="preserve"> A faster incorrect result is a regression.</w:t>
      </w:r>
    </w:p>
    <w:p>
      <w:pPr>
        <w:pStyle w:val="Heading1"/>
      </w:pPr>
      <w:r>
        <w:t>Driver and workers</w:t>
      </w:r>
    </w:p>
    <w:p>
      <w:r>
        <w:t>The driver coordinates Spark work. Workers execute distributed tasks. Some operations overload the driver even while workers are idle.</w:t>
      </w:r>
    </w:p>
    <w:p>
      <w:r>
        <w:rPr>
          <w:b/>
        </w:rPr>
        <w:t>Simple example:</w:t>
      </w:r>
      <w:r>
        <w:t xml:space="preserve"> A supervisor assigns parcels to delivery teams. Bringing every parcel to the supervisor desk can become a bottleneck.</w:t>
      </w:r>
    </w:p>
    <w:p>
      <w:r>
        <w:t>Demonstration: Count both driver and worker cores in the existing configuration.</w:t>
      </w:r>
    </w:p>
    <w:p>
      <w:r>
        <w:rPr>
          <w:b/>
        </w:rPr>
        <w:t>Ask students:</w:t>
      </w:r>
      <w:r>
        <w:t xml:space="preserve"> Does one four-core worker always mean four allocated cores?</w:t>
      </w:r>
    </w:p>
    <w:p>
      <w:r>
        <w:rPr>
          <w:b/>
        </w:rPr>
        <w:t>Expected explanation:</w:t>
      </w:r>
      <w:r>
        <w:t xml:space="preserve"> No. A separate four-core driver makes eight in that example.</w:t>
      </w:r>
    </w:p>
    <w:p>
      <w:r>
        <w:rPr>
          <w:b/>
        </w:rPr>
        <w:t>Teaching point:</w:t>
      </w:r>
      <w:r>
        <w:t xml:space="preserve"> A UI worker summary may not represent total Azure quota demand.</w:t>
      </w:r>
    </w:p>
    <w:p>
      <w:r>
        <w:t>Reference: https://learn.microsoft.com/en-us/azure/databricks/compute/cluster-config-best-practices</w:t>
      </w:r>
    </w:p>
    <w:p>
      <w:pPr>
        <w:pStyle w:val="Heading1"/>
      </w:pPr>
      <w:r>
        <w:t>Compute selection and configuration</w:t>
      </w:r>
    </w:p>
    <w:p>
      <w:r>
        <w:t>Match compute to workload, permissions and operating requirements. Interactive, jobs, SQL and serverless options have different lifecycle and configuration behavior.</w:t>
      </w:r>
    </w:p>
    <w:p>
      <w:r>
        <w:rPr>
          <w:b/>
        </w:rPr>
        <w:t>Simple example:</w:t>
      </w:r>
      <w:r>
        <w:t xml:space="preserve"> A scheduled nightly job may finish and release compute. A class uses a shared interactive session.</w:t>
      </w:r>
    </w:p>
    <w:p>
      <w:r>
        <w:t>Demonstration: Inspect Standard mode, runtime, workers, driver and termination without changing the class cluster.</w:t>
      </w:r>
    </w:p>
    <w:p>
      <w:r>
        <w:rPr>
          <w:b/>
        </w:rPr>
        <w:t>Ask students:</w:t>
      </w:r>
      <w:r>
        <w:t xml:space="preserve"> Will more workers always help a four-row CSV?</w:t>
      </w:r>
    </w:p>
    <w:p>
      <w:r>
        <w:rPr>
          <w:b/>
        </w:rPr>
        <w:t>Expected explanation:</w:t>
      </w:r>
      <w:r>
        <w:t xml:space="preserve"> Startup and coordination overhead can outweigh any benefit.</w:t>
      </w:r>
    </w:p>
    <w:p>
      <w:r>
        <w:rPr>
          <w:b/>
        </w:rPr>
        <w:t>Teaching point:</w:t>
      </w:r>
      <w:r>
        <w:t xml:space="preserve"> Use measurements before resizing. Current workspace availability controls the options.</w:t>
      </w:r>
    </w:p>
    <w:p>
      <w:r>
        <w:t>Reference: https://learn.microsoft.com/en-us/azure/databricks/compute/cluster-config-best-practices</w:t>
      </w:r>
    </w:p>
    <w:p>
      <w:pPr>
        <w:pStyle w:val="Heading1"/>
      </w:pPr>
      <w:r>
        <w:t>A useful performance baseline</w:t>
      </w:r>
    </w:p>
    <w:p>
      <w:r>
        <w:t>Define the same input, result and environment before comparing runs. Warm-up, caches, concurrency and startup influence timings.</w:t>
      </w:r>
    </w:p>
    <w:p>
      <w:r>
        <w:rPr>
          <w:b/>
        </w:rPr>
        <w:t>Simple example:</w:t>
      </w:r>
      <w:r>
        <w:t xml:space="preserve"> Two runners should cover the same distance before comparing their times.</w:t>
      </w:r>
    </w:p>
    <w:p>
      <w:r>
        <w:t>Demonstration: Record three alternating trials after a warm-up and compare medians.</w:t>
      </w:r>
    </w:p>
    <w:p>
      <w:r>
        <w:rPr>
          <w:b/>
        </w:rPr>
        <w:t>Ask students:</w:t>
      </w:r>
      <w:r>
        <w:t xml:space="preserve"> Can we compare a cold first run to a cached second run and call it query tuning?</w:t>
      </w:r>
    </w:p>
    <w:p>
      <w:r>
        <w:rPr>
          <w:b/>
        </w:rPr>
        <w:t>Expected explanation:</w:t>
      </w:r>
      <w:r>
        <w:t xml:space="preserve"> That changes two things at once and does not isolate the query change.</w:t>
      </w:r>
    </w:p>
    <w:p>
      <w:r>
        <w:rPr>
          <w:b/>
        </w:rPr>
        <w:t>Teaching point:</w:t>
      </w:r>
      <w:r>
        <w:t xml:space="preserve"> Record conditions. An observed speedup is not a guarantee for another dataset.</w:t>
      </w:r>
    </w:p>
    <w:p>
      <w:pPr>
        <w:pStyle w:val="Heading1"/>
      </w:pPr>
      <w:r>
        <w:t>Lazy execution and actions</w:t>
      </w:r>
    </w:p>
    <w:p>
      <w:r>
        <w:t>Spark builds transformations until an action requires results. Measuring only DataFrame construction misses execution time.</w:t>
      </w:r>
    </w:p>
    <w:p>
      <w:r>
        <w:rPr>
          <w:b/>
        </w:rPr>
        <w:t>Simple example:</w:t>
      </w:r>
      <w:r>
        <w:t xml:space="preserve"> Writing a recipe does not cook the meal. collect, count or write asks the kitchen to execute.</w:t>
      </w:r>
    </w:p>
    <w:p>
      <w:r>
        <w:t>Demonstration: Time a small grouped result with collect and inspect the corresponding execution.</w:t>
      </w:r>
    </w:p>
    <w:p>
      <w:r>
        <w:rPr>
          <w:b/>
        </w:rPr>
        <w:t>Ask students:</w:t>
      </w:r>
      <w:r>
        <w:t xml:space="preserve"> Why is collect acceptable here?</w:t>
      </w:r>
    </w:p>
    <w:p>
      <w:r>
        <w:rPr>
          <w:b/>
        </w:rPr>
        <w:t>Expected explanation:</w:t>
      </w:r>
      <w:r>
        <w:t xml:space="preserve"> The aggregation returns only four rows.</w:t>
      </w:r>
    </w:p>
    <w:p>
      <w:r>
        <w:rPr>
          <w:b/>
        </w:rPr>
        <w:t>Teaching point:</w:t>
      </w:r>
      <w:r>
        <w:t xml:space="preserve"> Collecting the full large source can exhaust driver memory.</w:t>
      </w:r>
    </w:p>
    <w:p>
      <w:pPr>
        <w:pStyle w:val="Heading1"/>
      </w:pPr>
      <w:r>
        <w:t>Filtering and column selection</w:t>
      </w:r>
    </w:p>
    <w:p>
      <w:r>
        <w:t>Read only what the result requires. Filters and selected columns can reduce data processed, although the optimizer and file layout determine actual savings.</w:t>
      </w:r>
    </w:p>
    <w:p>
      <w:r>
        <w:rPr>
          <w:b/>
        </w:rPr>
        <w:t>Simple example:</w:t>
      </w:r>
      <w:r>
        <w:t xml:space="preserve"> A report needs city and amount, so names and emails need not travel through its calculation.</w:t>
      </w:r>
    </w:p>
    <w:p>
      <w:r>
        <w:t>Demonstration: Point to select and filter before the join, then inspect the scan plan.</w:t>
      </w:r>
    </w:p>
    <w:p>
      <w:r>
        <w:rPr>
          <w:b/>
        </w:rPr>
        <w:t>Ask students:</w:t>
      </w:r>
      <w:r>
        <w:t xml:space="preserve"> Does moving a filter earlier in source code always change the plan?</w:t>
      </w:r>
    </w:p>
    <w:p>
      <w:r>
        <w:rPr>
          <w:b/>
        </w:rPr>
        <w:t>Expected explanation:</w:t>
      </w:r>
      <w:r>
        <w:t xml:space="preserve"> No. The optimizer may already push it down.</w:t>
      </w:r>
    </w:p>
    <w:p>
      <w:r>
        <w:rPr>
          <w:b/>
        </w:rPr>
        <w:t>Teaching point:</w:t>
      </w:r>
      <w:r>
        <w:t xml:space="preserve"> Use the plan and runtime evidence rather than code appearance.</w:t>
      </w:r>
    </w:p>
    <w:p>
      <w:pPr>
        <w:pStyle w:val="Heading1"/>
      </w:pPr>
      <w:r>
        <w:t>Shuffle and skew</w:t>
      </w:r>
    </w:p>
    <w:p>
      <w:r>
        <w:t>A shuffle redistributes data between executors. A heavily skewed key can leave one task with much more work than the others.</w:t>
      </w:r>
    </w:p>
    <w:p>
      <w:r>
        <w:rPr>
          <w:b/>
        </w:rPr>
        <w:t>Simple example:</w:t>
      </w:r>
      <w:r>
        <w:t xml:space="preserve"> If 90 percent of parcels go to one district, one delivery team may stay busy after the rest finish.</w:t>
      </w:r>
    </w:p>
    <w:p>
      <w:r>
        <w:t>Demonstration: Show Exchange in the plan and compare task durations in Spark UI.</w:t>
      </w:r>
    </w:p>
    <w:p>
      <w:r>
        <w:rPr>
          <w:b/>
        </w:rPr>
        <w:t>Ask students:</w:t>
      </w:r>
      <w:r>
        <w:t xml:space="preserve"> Will doubling workers automatically split one troublesome key evenly?</w:t>
      </w:r>
    </w:p>
    <w:p>
      <w:r>
        <w:rPr>
          <w:b/>
        </w:rPr>
        <w:t>Expected explanation:</w:t>
      </w:r>
      <w:r>
        <w:t xml:space="preserve"> Not necessarily. The data and join or aggregation strategy matter.</w:t>
      </w:r>
    </w:p>
    <w:p>
      <w:r>
        <w:rPr>
          <w:b/>
        </w:rPr>
        <w:t>Teaching point:</w:t>
      </w:r>
      <w:r>
        <w:t xml:space="preserve"> Investigate skew and memory spill before treating worker count as the answer.</w:t>
      </w:r>
    </w:p>
    <w:p>
      <w:r>
        <w:t>Reference: https://learn.microsoft.com/en-us/azure/databricks/optimizations/aqe</w:t>
      </w:r>
    </w:p>
    <w:p>
      <w:pPr>
        <w:pStyle w:val="Heading1"/>
      </w:pPr>
      <w:r>
        <w:t>Broadcast joins and AQE</w:t>
      </w:r>
    </w:p>
    <w:p>
      <w:r>
        <w:t>A broadcast join sends a small lookup table to executors so they can join locally. Adaptive query execution can revise choices using runtime statistics.</w:t>
      </w:r>
    </w:p>
    <w:p>
      <w:r>
        <w:rPr>
          <w:b/>
        </w:rPr>
        <w:t>Simple example:</w:t>
      </w:r>
      <w:r>
        <w:t xml:space="preserve"> Give every cashier a four-city lookup sheet instead of sending every sale to one lookup desk.</w:t>
      </w:r>
    </w:p>
    <w:p>
      <w:r>
        <w:t>Demonstration: Compare automatic and explicit broadcast plans and run both variants.</w:t>
      </w:r>
    </w:p>
    <w:p>
      <w:r>
        <w:rPr>
          <w:b/>
        </w:rPr>
        <w:t>Ask students:</w:t>
      </w:r>
      <w:r>
        <w:t xml:space="preserve"> What if both variants already use broadcast?</w:t>
      </w:r>
    </w:p>
    <w:p>
      <w:r>
        <w:rPr>
          <w:b/>
        </w:rPr>
        <w:t>Expected explanation:</w:t>
      </w:r>
      <w:r>
        <w:t xml:space="preserve"> Similar performance is a valid observation.</w:t>
      </w:r>
    </w:p>
    <w:p>
      <w:r>
        <w:rPr>
          <w:b/>
        </w:rPr>
        <w:t>Teaching point:</w:t>
      </w:r>
      <w:r>
        <w:t xml:space="preserve"> Never broadcast a large table merely because a small example worked.</w:t>
      </w:r>
    </w:p>
    <w:p>
      <w:r>
        <w:t>Reference: https://learn.microsoft.com/en-us/azure/databricks/transform/optimize-joins</w:t>
      </w:r>
    </w:p>
    <w:p>
      <w:pPr>
        <w:pStyle w:val="Heading1"/>
      </w:pPr>
      <w:r>
        <w:t>Caching</w:t>
      </w:r>
    </w:p>
    <w:p>
      <w:r>
        <w:t>Caching retains a computed dataset for reuse and consumes memory. First materialization and later reuse have different costs.</w:t>
      </w:r>
    </w:p>
    <w:p>
      <w:r>
        <w:rPr>
          <w:b/>
        </w:rPr>
        <w:t>Simple example:</w:t>
      </w:r>
      <w:r>
        <w:t xml:space="preserve"> Prepare a small frequently used reference list once, then reuse it. Preparing it once for a single lookup may waste effort.</w:t>
      </w:r>
    </w:p>
    <w:p>
      <w:r>
        <w:t>Demonstration: Populate the cache, query it, then unpersist inside finally.</w:t>
      </w:r>
    </w:p>
    <w:p>
      <w:r>
        <w:rPr>
          <w:b/>
        </w:rPr>
        <w:t>Ask students:</w:t>
      </w:r>
      <w:r>
        <w:t xml:space="preserve"> Should we cache every DataFrame?</w:t>
      </w:r>
    </w:p>
    <w:p>
      <w:r>
        <w:rPr>
          <w:b/>
        </w:rPr>
        <w:t>Expected explanation:</w:t>
      </w:r>
      <w:r>
        <w:t xml:space="preserve"> No. Reuse and available memory determine whether it helps.</w:t>
      </w:r>
    </w:p>
    <w:p>
      <w:r>
        <w:rPr>
          <w:b/>
        </w:rPr>
        <w:t>Teaching point:</w:t>
      </w:r>
      <w:r>
        <w:t xml:space="preserve"> The two notebook timing lines perform different work and are not a speedup comparison.</w:t>
      </w:r>
    </w:p>
    <w:p>
      <w:pPr>
        <w:pStyle w:val="Heading1"/>
      </w:pPr>
      <w:r>
        <w:t>File layout and maintenance</w:t>
      </w:r>
    </w:p>
    <w:p>
      <w:r>
        <w:t>Many tiny files increase overhead. Compaction and useful statistics can help, but layout must fit the workload and scale.</w:t>
      </w:r>
    </w:p>
    <w:p>
      <w:r>
        <w:rPr>
          <w:b/>
        </w:rPr>
        <w:t>Simple example:</w:t>
      </w:r>
      <w:r>
        <w:t xml:space="preserve"> Reading 1000 small envelopes can take longer than reading a few organized folders.</w:t>
      </w:r>
    </w:p>
    <w:p>
      <w:r>
        <w:t>Demonstration: Compare DESCRIBE DETAIL around optional OPTIMIZE on the dedicated lab table.</w:t>
      </w:r>
    </w:p>
    <w:p>
      <w:r>
        <w:rPr>
          <w:b/>
        </w:rPr>
        <w:t>Ask students:</w:t>
      </w:r>
      <w:r>
        <w:t xml:space="preserve"> Why might numFiles stay unchanged?</w:t>
      </w:r>
    </w:p>
    <w:p>
      <w:r>
        <w:rPr>
          <w:b/>
        </w:rPr>
        <w:t>Expected explanation:</w:t>
      </w:r>
      <w:r>
        <w:t xml:space="preserve"> The table may already be compact or too small to benefit.</w:t>
      </w:r>
    </w:p>
    <w:p>
      <w:r>
        <w:rPr>
          <w:b/>
        </w:rPr>
        <w:t>Teaching point:</w:t>
      </w:r>
      <w:r>
        <w:t xml:space="preserve"> Do not manually move or remove managed-table files. Day 23 develops layout tuning further.</w:t>
      </w:r>
    </w:p>
    <w:p>
      <w:pPr>
        <w:pStyle w:val="Heading1"/>
      </w:pPr>
      <w:r>
        <w:t>ETL and ELT</w:t>
      </w:r>
    </w:p>
    <w:p>
      <w:r>
        <w:t>The distinction depends on when transformation happens relative to loading the target. The wider solution may contain both patterns.</w:t>
      </w:r>
    </w:p>
    <w:p>
      <w:r>
        <w:rPr>
          <w:b/>
        </w:rPr>
        <w:t>Simple example:</w:t>
      </w:r>
      <w:r>
        <w:t xml:space="preserve"> Clean a CSV before loading Silver, or load raw Bronze and derive a SQL summary afterward.</w:t>
      </w:r>
    </w:p>
    <w:p>
      <w:r>
        <w:t>Demonstration: Run the two Gold implementations and their equality checks.</w:t>
      </w:r>
    </w:p>
    <w:p>
      <w:r>
        <w:rPr>
          <w:b/>
        </w:rPr>
        <w:t>Ask students:</w:t>
      </w:r>
      <w:r>
        <w:t xml:space="preserve"> Is ELT automatically faster than ETL?</w:t>
      </w:r>
    </w:p>
    <w:p>
      <w:r>
        <w:rPr>
          <w:b/>
        </w:rPr>
        <w:t>Expected explanation:</w:t>
      </w:r>
      <w:r>
        <w:t xml:space="preserve"> No. The systems, operations and data determine performance.</w:t>
      </w:r>
    </w:p>
    <w:p>
      <w:r>
        <w:rPr>
          <w:b/>
        </w:rPr>
        <w:t>Teaching point:</w:t>
      </w:r>
      <w:r>
        <w:t xml:space="preserve"> The order of steps is a design description, not a quality ranking.</w:t>
      </w:r>
    </w:p>
    <w:p>
      <w:pPr>
        <w:pStyle w:val="Heading1"/>
      </w:pPr>
      <w:r>
        <w:t>Validation and repeatable runs</w:t>
      </w:r>
    </w:p>
    <w:p>
      <w:r>
        <w:t>Verify business results before publishing outputs. Reruns should have an explicit behavior that prevents accidental duplicates.</w:t>
      </w:r>
    </w:p>
    <w:p>
      <w:r>
        <w:rPr>
          <w:b/>
        </w:rPr>
        <w:t>Simple example:</w:t>
      </w:r>
      <w:r>
        <w:t xml:space="preserve"> Running the four-order fixture twice should still leave three valid rows in our full-refresh table.</w:t>
      </w:r>
    </w:p>
    <w:p>
      <w:r>
        <w:t>Demonstration: Show quarantine and rerun the overwrite-based exercise.</w:t>
      </w:r>
    </w:p>
    <w:p>
      <w:r>
        <w:rPr>
          <w:b/>
        </w:rPr>
        <w:t>Ask students:</w:t>
      </w:r>
      <w:r>
        <w:t xml:space="preserve"> Are all five table writes one transaction?</w:t>
      </w:r>
    </w:p>
    <w:p>
      <w:r>
        <w:rPr>
          <w:b/>
        </w:rPr>
        <w:t>Expected explanation:</w:t>
      </w:r>
      <w:r>
        <w:t xml:space="preserve"> No. Each Delta write has its own transaction.</w:t>
      </w:r>
    </w:p>
    <w:p>
      <w:r>
        <w:rPr>
          <w:b/>
        </w:rPr>
        <w:t>Teaching point:</w:t>
      </w:r>
      <w:r>
        <w:t xml:space="preserve"> A production pipeline needs a publication strategy for partial failure.</w:t>
      </w:r>
    </w:p>
    <w:p>
      <w:pPr>
        <w:pStyle w:val="Heading1"/>
      </w:pPr>
      <w:r>
        <w:t>Databricks cost components</w:t>
      </w:r>
    </w:p>
    <w:p>
      <w:r>
        <w:t>Evaluate the compute product together with relevant Azure resources. Metering differs between classic and serverless products.</w:t>
      </w:r>
    </w:p>
    <w:p>
      <w:r>
        <w:rPr>
          <w:b/>
        </w:rPr>
        <w:t>Simple example:</w:t>
      </w:r>
      <w:r>
        <w:t xml:space="preserve"> A machine that sits idle after class can cost money even though no useful output is produced.</w:t>
      </w:r>
    </w:p>
    <w:p>
      <w:r>
        <w:t>Demonstration: Inspect actual cost at the correct scope and relate it to the cluster lifecycle.</w:t>
      </w:r>
    </w:p>
    <w:p>
      <w:r>
        <w:rPr>
          <w:b/>
        </w:rPr>
        <w:t>Ask students:</w:t>
      </w:r>
      <w:r>
        <w:t xml:space="preserve"> Is a DBU quantity equal to rupees?</w:t>
      </w:r>
    </w:p>
    <w:p>
      <w:r>
        <w:rPr>
          <w:b/>
        </w:rPr>
        <w:t>Expected explanation:</w:t>
      </w:r>
      <w:r>
        <w:t xml:space="preserve"> No. It requires pricing and does not automatically include all other charges.</w:t>
      </w:r>
    </w:p>
    <w:p>
      <w:r>
        <w:rPr>
          <w:b/>
        </w:rPr>
        <w:t>Teaching point:</w:t>
      </w:r>
      <w:r>
        <w:t xml:space="preserve"> Use the actual billing model and avoid double-counting bundled infrastructure.</w:t>
      </w:r>
    </w:p>
    <w:p>
      <w:r>
        <w:t>Reference: https://learn.microsoft.com/en-us/azure/databricks/admin/system-tables/billing</w:t>
      </w:r>
    </w:p>
    <w:p>
      <w:pPr>
        <w:pStyle w:val="Heading1"/>
      </w:pPr>
      <w:r>
        <w:t>Cost and runtime tradeoffs</w:t>
      </w:r>
    </w:p>
    <w:p>
      <w:r>
        <w:t>Compare total cost per successful run, including retries and startup where relevant. Lowest hourly price need not mean lowest run cost.</w:t>
      </w:r>
    </w:p>
    <w:p>
      <w:r>
        <w:rPr>
          <w:b/>
        </w:rPr>
        <w:t>Simple example:</w:t>
      </w:r>
      <w:r>
        <w:t xml:space="preserve"> At fictional rates, 10 per hour for half an hour costs 5. At 15 per hour for a quarter-hour, cost is 3.75.</w:t>
      </w:r>
    </w:p>
    <w:p>
      <w:r>
        <w:t>Demonstration: Calculate the two values before showing the answer.</w:t>
      </w:r>
    </w:p>
    <w:p>
      <w:r>
        <w:rPr>
          <w:b/>
        </w:rPr>
        <w:t>Ask students:</w:t>
      </w:r>
      <w:r>
        <w:t xml:space="preserve"> Which run is cheaper in this example?</w:t>
      </w:r>
    </w:p>
    <w:p>
      <w:r>
        <w:rPr>
          <w:b/>
        </w:rPr>
        <w:t>Expected explanation:</w:t>
      </w:r>
      <w:r>
        <w:t xml:space="preserve"> The second, despite its higher hourly rate.</w:t>
      </w:r>
    </w:p>
    <w:p>
      <w:r>
        <w:rPr>
          <w:b/>
        </w:rPr>
        <w:t>Teaching point:</w:t>
      </w:r>
      <w:r>
        <w:t xml:space="preserve"> These numbers are a teaching calculation, not Azure prices.</w:t>
      </w:r>
    </w:p>
    <w:p>
      <w:pPr>
        <w:pStyle w:val="Heading1"/>
      </w:pPr>
      <w:r>
        <w:t>Azure Cost Management and budgets</w:t>
      </w:r>
    </w:p>
    <w:p>
      <w:r>
        <w:t>Cost analysis supports investigation by scope and dimension. Budgets notify when conditions are met, but alerts alone do not stop consumption.</w:t>
      </w:r>
    </w:p>
    <w:p>
      <w:r>
        <w:rPr>
          <w:b/>
        </w:rPr>
        <w:t>Simple example:</w:t>
      </w:r>
      <w:r>
        <w:t xml:space="preserve"> A fuel warning light tells the driver to act. It does not automatically park the car.</w:t>
      </w:r>
    </w:p>
    <w:p>
      <w:r>
        <w:t>Demonstration: Review the agreed budget scope, currency and threshold.</w:t>
      </w:r>
    </w:p>
    <w:p>
      <w:r>
        <w:rPr>
          <w:b/>
        </w:rPr>
        <w:t>Ask students:</w:t>
      </w:r>
      <w:r>
        <w:t xml:space="preserve"> At 80 percent of 1000, what triggers the illustrative threshold?</w:t>
      </w:r>
    </w:p>
    <w:p>
      <w:r>
        <w:rPr>
          <w:b/>
        </w:rPr>
        <w:t>Expected explanation:</w:t>
      </w:r>
      <w:r>
        <w:t xml:space="preserve"> 800 in the same currency.</w:t>
      </w:r>
    </w:p>
    <w:p>
      <w:r>
        <w:rPr>
          <w:b/>
        </w:rPr>
        <w:t>Teaching point:</w:t>
      </w:r>
      <w:r>
        <w:t xml:space="preserve"> Cost data and budget evaluation can be delayed.</w:t>
      </w:r>
    </w:p>
    <w:p>
      <w:r>
        <w:t>Reference: https://learn.microsoft.com/en-us/azure/cost-management-billing/costs/tutorial-acm-create-budgets</w:t>
      </w:r>
    </w:p>
    <w:p>
      <w:pPr>
        <w:pStyle w:val="Heading1"/>
      </w:pPr>
      <w:r>
        <w:t>Identity and permission layers</w:t>
      </w:r>
    </w:p>
    <w:p>
      <w:r>
        <w:t>Azure resource permissions, storage data permissions, workspace access, compute permissions and Unity Catalog privileges govern different actions.</w:t>
      </w:r>
    </w:p>
    <w:p>
      <w:r>
        <w:rPr>
          <w:b/>
        </w:rPr>
        <w:t>Simple example:</w:t>
      </w:r>
      <w:r>
        <w:t xml:space="preserve"> A campus ID, classroom key and cupboard key open different things.</w:t>
      </w:r>
    </w:p>
    <w:p>
      <w:r>
        <w:t>Demonstration: Trace the student, ADF identity and Access Connector across the lab.</w:t>
      </w:r>
    </w:p>
    <w:p>
      <w:r>
        <w:rPr>
          <w:b/>
        </w:rPr>
        <w:t>Ask students:</w:t>
      </w:r>
      <w:r>
        <w:t xml:space="preserve"> Does Azure Contributor automatically give SELECT on a Unity Catalog table?</w:t>
      </w:r>
    </w:p>
    <w:p>
      <w:r>
        <w:rPr>
          <w:b/>
        </w:rPr>
        <w:t>Expected explanation:</w:t>
      </w:r>
      <w:r>
        <w:t xml:space="preserve"> No. The data and platform authorization layers must be checked separately.</w:t>
      </w:r>
    </w:p>
    <w:p>
      <w:r>
        <w:rPr>
          <w:b/>
        </w:rPr>
        <w:t>Teaching point:</w:t>
      </w:r>
      <w:r>
        <w:t xml:space="preserve"> Never diagnose all permission errors by granting Owner.</w:t>
      </w:r>
    </w:p>
    <w:p>
      <w:pPr>
        <w:pStyle w:val="Heading1"/>
      </w:pPr>
      <w:r>
        <w:t>Least privilege and group access</w:t>
      </w:r>
    </w:p>
    <w:p>
      <w:r>
        <w:t>Give a group the operations it needs at the smallest useful scope. Parent privileges and inherited access can defeat an intended boundary.</w:t>
      </w:r>
    </w:p>
    <w:p>
      <w:r>
        <w:rPr>
          <w:b/>
        </w:rPr>
        <w:t>Simple example:</w:t>
      </w:r>
      <w:r>
        <w:t xml:space="preserve"> An analyst needs to read an approved view, not administer every resource in the subscription.</w:t>
      </w:r>
    </w:p>
    <w:p>
      <w:r>
        <w:t>Demonstration: Review SHOW GRANTS at catalog, schema and private table scope.</w:t>
      </w:r>
    </w:p>
    <w:p>
      <w:r>
        <w:rPr>
          <w:b/>
        </w:rPr>
        <w:t>Ask students:</w:t>
      </w:r>
      <w:r>
        <w:t xml:space="preserve"> Does a new schema erase inherited SELECT privileges?</w:t>
      </w:r>
    </w:p>
    <w:p>
      <w:r>
        <w:rPr>
          <w:b/>
        </w:rPr>
        <w:t>Expected explanation:</w:t>
      </w:r>
      <w:r>
        <w:t xml:space="preserve"> No. Parent-level grants can still apply.</w:t>
      </w:r>
    </w:p>
    <w:p>
      <w:r>
        <w:rPr>
          <w:b/>
        </w:rPr>
        <w:t>Teaching point:</w:t>
      </w:r>
      <w:r>
        <w:t xml:space="preserve"> Use separate non-owner test users to prove the boundary.</w:t>
      </w:r>
    </w:p>
    <w:p>
      <w:pPr>
        <w:pStyle w:val="Heading1"/>
      </w:pPr>
      <w:r>
        <w:t>Dynamic views</w:t>
      </w:r>
    </w:p>
    <w:p>
      <w:r>
        <w:t>A dynamic view can use the querying identity to choose visible rows and values. Users should access the view without direct access to protected base tables.</w:t>
      </w:r>
    </w:p>
    <w:p>
      <w:r>
        <w:rPr>
          <w:b/>
        </w:rPr>
        <w:t>Simple example:</w:t>
      </w:r>
      <w:r>
        <w:t xml:space="preserve"> The analyst sees South-region records with hidden email. A privileged group sees all fake records.</w:t>
      </w:r>
    </w:p>
    <w:p>
      <w:r>
        <w:t>Demonstration: Execute the same view query in two authenticated user sessions.</w:t>
      </w:r>
    </w:p>
    <w:p>
      <w:r>
        <w:rPr>
          <w:b/>
        </w:rPr>
        <w:t>Ask students:</w:t>
      </w:r>
      <w:r>
        <w:t xml:space="preserve"> Can the table owner stand in for the denied analyst test?</w:t>
      </w:r>
    </w:p>
    <w:p>
      <w:r>
        <w:rPr>
          <w:b/>
        </w:rPr>
        <w:t>Expected explanation:</w:t>
      </w:r>
      <w:r>
        <w:t xml:space="preserve"> No. Owner privileges make that test misleading.</w:t>
      </w:r>
    </w:p>
    <w:p>
      <w:r>
        <w:rPr>
          <w:b/>
        </w:rPr>
        <w:t>Teaching point:</w:t>
      </w:r>
      <w:r>
        <w:t xml:space="preserve"> A secure result requires both expected view output and denied base access.</w:t>
      </w:r>
    </w:p>
    <w:p>
      <w:r>
        <w:t>Reference: https://learn.microsoft.com/en-us/azure/databricks/views/dynamic</w:t>
      </w:r>
    </w:p>
    <w:p>
      <w:pPr>
        <w:pStyle w:val="Heading1"/>
      </w:pPr>
      <w:r>
        <w:t>Row filters and column masks</w:t>
      </w:r>
    </w:p>
    <w:p>
      <w:r>
        <w:t>A row filter controls which records a query returns. A column mask changes the visible value of a field. Table policies and dynamic views offer different enforcement surfaces.</w:t>
      </w:r>
    </w:p>
    <w:p>
      <w:r>
        <w:rPr>
          <w:b/>
        </w:rPr>
        <w:t>Simple example:</w:t>
      </w:r>
      <w:r>
        <w:t xml:space="preserve"> A regional user sees South records. The email column appears as REDACTED.</w:t>
      </w:r>
    </w:p>
    <w:p>
      <w:r>
        <w:t>Demonstration: Identify the WHERE clause and CASE expression in the view.</w:t>
      </w:r>
    </w:p>
    <w:p>
      <w:r>
        <w:rPr>
          <w:b/>
        </w:rPr>
        <w:t>Ask students:</w:t>
      </w:r>
      <w:r>
        <w:t xml:space="preserve"> Is dropping a column from a display the same as enforcing a table policy?</w:t>
      </w:r>
    </w:p>
    <w:p>
      <w:r>
        <w:rPr>
          <w:b/>
        </w:rPr>
        <w:t>Expected explanation:</w:t>
      </w:r>
      <w:r>
        <w:t xml:space="preserve"> No. Users may still query the source.</w:t>
      </w:r>
    </w:p>
    <w:p>
      <w:r>
        <w:rPr>
          <w:b/>
        </w:rPr>
        <w:t>Teaching point:</w:t>
      </w:r>
      <w:r>
        <w:t xml:space="preserve"> Check runtime support and operation limitations before adopting table policies.</w:t>
      </w:r>
    </w:p>
    <w:p>
      <w:r>
        <w:t>Reference: https://learn.microsoft.com/en-us/azure/databricks/data-governance/unity-catalog/filters-and-masks/</w:t>
      </w:r>
    </w:p>
    <w:p>
      <w:pPr>
        <w:pStyle w:val="Heading1"/>
      </w:pPr>
      <w:r>
        <w:t>Managed identity and secrets</w:t>
      </w:r>
    </w:p>
    <w:p>
      <w:r>
        <w:t>Managed identity avoids embedding a long-lived credential in code where supported. Secrets still need restricted access and controlled use.</w:t>
      </w:r>
    </w:p>
    <w:p>
      <w:r>
        <w:rPr>
          <w:b/>
        </w:rPr>
        <w:t>Simple example:</w:t>
      </w:r>
      <w:r>
        <w:t xml:space="preserve"> An application uses its issued identity instead of writing a password on the classroom board.</w:t>
      </w:r>
    </w:p>
    <w:p>
      <w:r>
        <w:t>Demonstration: Inspect identity references and show only a secret lookup pattern, never a value.</w:t>
      </w:r>
    </w:p>
    <w:p>
      <w:r>
        <w:rPr>
          <w:b/>
        </w:rPr>
        <w:t>Ask students:</w:t>
      </w:r>
      <w:r>
        <w:t xml:space="preserve"> Does secret redaction make printing credentials acceptable?</w:t>
      </w:r>
    </w:p>
    <w:p>
      <w:r>
        <w:rPr>
          <w:b/>
        </w:rPr>
        <w:t>Expected explanation:</w:t>
      </w:r>
      <w:r>
        <w:t xml:space="preserve"> No. Redaction is not a complete security boundary.</w:t>
      </w:r>
    </w:p>
    <w:p>
      <w:r>
        <w:rPr>
          <w:b/>
        </w:rPr>
        <w:t>Teaching point:</w:t>
      </w:r>
      <w:r>
        <w:t xml:space="preserve"> Restrict who can read secrets and who can edit code running under powerful identities.</w:t>
      </w:r>
    </w:p>
    <w:p>
      <w:r>
        <w:t>Reference: https://learn.microsoft.com/en-us/azure/databricks/security/secrets/</w:t>
      </w:r>
    </w:p>
    <w:p>
      <w:pPr>
        <w:pStyle w:val="Heading1"/>
      </w:pPr>
      <w:r>
        <w:t>Network isolation and encryption</w:t>
      </w:r>
    </w:p>
    <w:p>
      <w:r>
        <w:t>Network rules control reachability. Identity permissions control authorized operations. Encryption protects data in transit or at rest under the chosen key design.</w:t>
      </w:r>
    </w:p>
    <w:p>
      <w:r>
        <w:rPr>
          <w:b/>
        </w:rPr>
        <w:t>Simple example:</w:t>
      </w:r>
      <w:r>
        <w:t xml:space="preserve"> A locked road gate and a room key address different parts of access.</w:t>
      </w:r>
    </w:p>
    <w:p>
      <w:r>
        <w:t>Demonstration: Review required endpoints and DNS with a sketch or existing environment settings.</w:t>
      </w:r>
    </w:p>
    <w:p>
      <w:r>
        <w:rPr>
          <w:b/>
        </w:rPr>
        <w:t>Ask students:</w:t>
      </w:r>
      <w:r>
        <w:t xml:space="preserve"> Will a private endpoint fix a missing storage role?</w:t>
      </w:r>
    </w:p>
    <w:p>
      <w:r>
        <w:rPr>
          <w:b/>
        </w:rPr>
        <w:t>Expected explanation:</w:t>
      </w:r>
      <w:r>
        <w:t xml:space="preserve"> No. Reachability and authorization are separate.</w:t>
      </w:r>
    </w:p>
    <w:p>
      <w:r>
        <w:rPr>
          <w:b/>
        </w:rPr>
        <w:t>Teaching point:</w:t>
      </w:r>
      <w:r>
        <w:t xml:space="preserve"> Network changes are administrator exercises because they can interrupt the shared class.</w:t>
      </w:r>
    </w:p>
    <w:p>
      <w:r>
        <w:t>Reference: https://learn.microsoft.com/en-us/azure/databricks/security/network/concepts/private-link</w:t>
      </w:r>
    </w:p>
    <w:p>
      <w:pPr>
        <w:pStyle w:val="Heading1"/>
      </w:pPr>
      <w:r>
        <w:t>Audit and accountability</w:t>
      </w:r>
    </w:p>
    <w:p>
      <w:r>
        <w:t>Audit records help establish who performed an action and when. Access to logs must also be restricted.</w:t>
      </w:r>
    </w:p>
    <w:p>
      <w:r>
        <w:rPr>
          <w:b/>
        </w:rPr>
        <w:t>Simple example:</w:t>
      </w:r>
      <w:r>
        <w:t xml:space="preserve"> A building entry register supports investigation but contains information about people.</w:t>
      </w:r>
    </w:p>
    <w:p>
      <w:r>
        <w:t>Demonstration: Inspect an approved event with actor, service and action.</w:t>
      </w:r>
    </w:p>
    <w:p>
      <w:r>
        <w:rPr>
          <w:b/>
        </w:rPr>
        <w:t>Ask students:</w:t>
      </w:r>
      <w:r>
        <w:t xml:space="preserve"> Does an empty query prove nobody accessed data?</w:t>
      </w:r>
    </w:p>
    <w:p>
      <w:r>
        <w:rPr>
          <w:b/>
        </w:rPr>
        <w:t>Expected explanation:</w:t>
      </w:r>
      <w:r>
        <w:t xml:space="preserve"> No. Scope, delay and permissions can affect results.</w:t>
      </w:r>
    </w:p>
    <w:p>
      <w:r>
        <w:rPr>
          <w:b/>
        </w:rPr>
        <w:t>Teaching point:</w:t>
      </w:r>
      <w:r>
        <w:t xml:space="preserve"> Keep logs for the approved period and verify collection coverage.</w:t>
      </w:r>
    </w:p>
    <w:p>
      <w:r>
        <w:t>Reference: https://learn.microsoft.com/en-us/azure/databricks/admin/system-tables/</w:t>
      </w:r>
    </w:p>
    <w:p>
      <w:pPr>
        <w:pStyle w:val="Heading1"/>
      </w:pPr>
      <w:r>
        <w:t>Masking and pseudonymization</w:t>
      </w:r>
    </w:p>
    <w:p>
      <w:r>
        <w:t>Masking hides values in an output. Pseudonymization replaces identifiers while some means of linking or reidentifying can remain.</w:t>
      </w:r>
    </w:p>
    <w:p>
      <w:r>
        <w:rPr>
          <w:b/>
        </w:rPr>
        <w:t>Simple example:</w:t>
      </w:r>
      <w:r>
        <w:t xml:space="preserve"> REDACTED hides email. A stable customer token lets purchases be grouped across days.</w:t>
      </w:r>
    </w:p>
    <w:p>
      <w:r>
        <w:t>Demonstration: Run the fake-customer notebook and compare outputs with the original table.</w:t>
      </w:r>
    </w:p>
    <w:p>
      <w:r>
        <w:rPr>
          <w:b/>
        </w:rPr>
        <w:t>Ask students:</w:t>
      </w:r>
      <w:r>
        <w:t xml:space="preserve"> Does SHA-256 make C001 impossible to identify?</w:t>
      </w:r>
    </w:p>
    <w:p>
      <w:r>
        <w:rPr>
          <w:b/>
        </w:rPr>
        <w:t>Expected explanation:</w:t>
      </w:r>
      <w:r>
        <w:t xml:space="preserve"> No. Someone can hash guessed identifiers and compare them.</w:t>
      </w:r>
    </w:p>
    <w:p>
      <w:r>
        <w:rPr>
          <w:b/>
        </w:rPr>
        <w:t>Teaching point:</w:t>
      </w:r>
      <w:r>
        <w:t xml:space="preserve"> Production token/key design and access restrictions determine risk.</w:t>
      </w:r>
    </w:p>
    <w:p>
      <w:pPr>
        <w:pStyle w:val="Heading1"/>
      </w:pPr>
      <w:r>
        <w:t>Anonymization and aggregation</w:t>
      </w:r>
    </w:p>
    <w:p>
      <w:r>
        <w:t>Anonymization requires a defensible assessment that individuals are not identifiable by reasonably likely means. Removing names alone does not settle that question.</w:t>
      </w:r>
    </w:p>
    <w:p>
      <w:r>
        <w:rPr>
          <w:b/>
        </w:rPr>
        <w:t>Simple example:</w:t>
      </w:r>
      <w:r>
        <w:t xml:space="preserve"> A city and exact age can identify the only person in a small group.</w:t>
      </w:r>
    </w:p>
    <w:p>
      <w:r>
        <w:t>Demonstration: Inspect city counts and discuss the group containing one record.</w:t>
      </w:r>
    </w:p>
    <w:p>
      <w:r>
        <w:rPr>
          <w:b/>
        </w:rPr>
        <w:t>Ask students:</w:t>
      </w:r>
      <w:r>
        <w:t xml:space="preserve"> Is every grouped report automatically anonymous?</w:t>
      </w:r>
    </w:p>
    <w:p>
      <w:r>
        <w:rPr>
          <w:b/>
        </w:rPr>
        <w:t>Expected explanation:</w:t>
      </w:r>
      <w:r>
        <w:t xml:space="preserve"> No. Small cells and combinations of attributes can reveal people.</w:t>
      </w:r>
    </w:p>
    <w:p>
      <w:r>
        <w:rPr>
          <w:b/>
        </w:rPr>
        <w:t>Teaching point:</w:t>
      </w:r>
      <w:r>
        <w:t xml:space="preserve"> Treat generalization and suppression as techniques within a risk assessment.</w:t>
      </w:r>
    </w:p>
    <w:p>
      <w:pPr>
        <w:pStyle w:val="Heading1"/>
      </w:pPr>
      <w:r>
        <w:t>GDPR engineering support</w:t>
      </w:r>
    </w:p>
    <w:p>
      <w:r>
        <w:t>GDPR covers personal-data processing obligations and rights where it applies. Engineering supports purpose, minimization, access, retention and request handling.</w:t>
      </w:r>
    </w:p>
    <w:p>
      <w:r>
        <w:rPr>
          <w:b/>
        </w:rPr>
        <w:t>Simple example:</w:t>
      </w:r>
      <w:r>
        <w:t xml:space="preserve"> A business may need delivery city for a report but not the customer email.</w:t>
      </w:r>
    </w:p>
    <w:p>
      <w:r>
        <w:t>Demonstration: Map needed columns and list the copies involved in a subject request.</w:t>
      </w:r>
    </w:p>
    <w:p>
      <w:r>
        <w:rPr>
          <w:b/>
        </w:rPr>
        <w:t>Ask students:</w:t>
      </w:r>
      <w:r>
        <w:t xml:space="preserve"> Does enabling Unity Catalog complete GDPR compliance?</w:t>
      </w:r>
    </w:p>
    <w:p>
      <w:r>
        <w:rPr>
          <w:b/>
        </w:rPr>
        <w:t>Expected explanation:</w:t>
      </w:r>
      <w:r>
        <w:t xml:space="preserve"> No. Legal, organizational and technical processes all contribute.</w:t>
      </w:r>
    </w:p>
    <w:p>
      <w:r>
        <w:rPr>
          <w:b/>
        </w:rPr>
        <w:t>Teaching point:</w:t>
      </w:r>
      <w:r>
        <w:t xml:space="preserve"> Rights and exceptions require an approved organizational decision.</w:t>
      </w:r>
    </w:p>
    <w:p>
      <w:r>
        <w:t>Reference: https://eur-lex.europa.eu/eli/reg/2016/679/oj/eng</w:t>
      </w:r>
    </w:p>
    <w:p>
      <w:pPr>
        <w:pStyle w:val="Heading1"/>
      </w:pPr>
      <w:r>
        <w:t>CCPA engineering support</w:t>
      </w:r>
    </w:p>
    <w:p>
      <w:r>
        <w:t>CCPA, as amended by CPRA, includes rights and business duties where applicable. Technical design must support the approved policy for the organization.</w:t>
      </w:r>
    </w:p>
    <w:p>
      <w:r>
        <w:rPr>
          <w:b/>
        </w:rPr>
        <w:t>Simple example:</w:t>
      </w:r>
      <w:r>
        <w:t xml:space="preserve"> A verified correction request must reach downstream reporting copies as well as the source record.</w:t>
      </w:r>
    </w:p>
    <w:p>
      <w:r>
        <w:t>Demonstration: Explain request tracking and routing to the data owner.</w:t>
      </w:r>
    </w:p>
    <w:p>
      <w:r>
        <w:rPr>
          <w:b/>
        </w:rPr>
        <w:t>Ask students:</w:t>
      </w:r>
      <w:r>
        <w:t xml:space="preserve"> Is deleting one row sufficient for every request?</w:t>
      </w:r>
    </w:p>
    <w:p>
      <w:r>
        <w:rPr>
          <w:b/>
        </w:rPr>
        <w:t>Expected explanation:</w:t>
      </w:r>
      <w:r>
        <w:t xml:space="preserve"> No. Scope, rights, exceptions and other systems matter.</w:t>
      </w:r>
    </w:p>
    <w:p>
      <w:r>
        <w:rPr>
          <w:b/>
        </w:rPr>
        <w:t>Teaching point:</w:t>
      </w:r>
      <w:r>
        <w:t xml:space="preserve"> Do not confuse opting out of sale or sharing with a blanket instruction to delete every record.</w:t>
      </w:r>
    </w:p>
    <w:p>
      <w:r>
        <w:t>Reference: https://oag.ca.gov/privacy/ccpa</w:t>
      </w:r>
    </w:p>
    <w:p>
      <w:pPr>
        <w:pStyle w:val="Heading1"/>
      </w:pPr>
      <w:r>
        <w:t>Deletion and retained copies</w:t>
      </w:r>
    </w:p>
    <w:p>
      <w:r>
        <w:t>A DELETE changes the current Delta table state. Retained files, earlier copies and downstream systems may still hold the data.</w:t>
      </w:r>
    </w:p>
    <w:p>
      <w:r>
        <w:rPr>
          <w:b/>
        </w:rPr>
        <w:t>Simple example:</w:t>
      </w:r>
      <w:r>
        <w:t xml:space="preserve"> Erasing one photocopy does not erase the original or copies in other rooms.</w:t>
      </w:r>
    </w:p>
    <w:p>
      <w:r>
        <w:t>Demonstration: Delete C002 only from the disposable table and inspect history.</w:t>
      </w:r>
    </w:p>
    <w:p>
      <w:r>
        <w:rPr>
          <w:b/>
        </w:rPr>
        <w:t>Ask students:</w:t>
      </w:r>
      <w:r>
        <w:t xml:space="preserve"> Can we truthfully say the person has disappeared from every system?</w:t>
      </w:r>
    </w:p>
    <w:p>
      <w:r>
        <w:rPr>
          <w:b/>
        </w:rPr>
        <w:t>Expected explanation:</w:t>
      </w:r>
      <w:r>
        <w:t xml:space="preserve"> No. The demonstration verifies only one current table snapshot.</w:t>
      </w:r>
    </w:p>
    <w:p>
      <w:r>
        <w:rPr>
          <w:b/>
        </w:rPr>
        <w:t>Teaching point:</w:t>
      </w:r>
      <w:r>
        <w:t xml:space="preserve"> Use an approved lifecycle for physical removal. Never bypass retention safety for this class.</w:t>
      </w:r>
    </w:p>
    <w:p>
      <w:r>
        <w:t>Reference: https://learn.microsoft.com/en-us/azure/databricks/sql/language-manual/delta-vacuum</w:t>
      </w:r>
    </w:p>
    <w:p>
      <w:pPr>
        <w:pStyle w:val="Heading1"/>
      </w:pPr>
      <w:r>
        <w:t>Integration and handover</w:t>
      </w:r>
    </w:p>
    <w:p>
      <w:r>
        <w:t>The processing identity used by ADF needs its own privileges. A successful manual notebook run does not test the automation identity.</w:t>
      </w:r>
    </w:p>
    <w:p>
      <w:r>
        <w:rPr>
          <w:b/>
        </w:rPr>
        <w:t>Simple example:</w:t>
      </w:r>
      <w:r>
        <w:t xml:space="preserve"> A teacher can open a cupboard, while the delivery assistant may still lack its key.</w:t>
      </w:r>
    </w:p>
    <w:p>
      <w:r>
        <w:t>Demonstration: Run the cloned Day 22 pipeline and inspect its actual identity and output.</w:t>
      </w:r>
    </w:p>
    <w:p>
      <w:r>
        <w:rPr>
          <w:b/>
        </w:rPr>
        <w:t>Ask students:</w:t>
      </w:r>
      <w:r>
        <w:t xml:space="preserve"> What must the handover include besides a green pipeline status?</w:t>
      </w:r>
    </w:p>
    <w:p>
      <w:r>
        <w:rPr>
          <w:b/>
        </w:rPr>
        <w:t>Expected explanation:</w:t>
      </w:r>
      <w:r>
        <w:t xml:space="preserve"> Correct outputs, run identity, timings, permissions evidence and known limitations.</w:t>
      </w:r>
    </w:p>
    <w:p>
      <w:r>
        <w:rPr>
          <w:b/>
        </w:rPr>
        <w:t>Teaching point:</w:t>
      </w:r>
      <w:r>
        <w:t xml:space="preserve"> One schedule owner and scoped output paths make classroom runs easier to reason about.</w:t>
      </w:r>
    </w:p>
    <w:p>
      <w:pPr>
        <w:pStyle w:val="Heading1"/>
      </w:pPr>
      <w:r>
        <w:t>Trainer delivery and discussion answers</w:t>
      </w:r>
    </w:p>
    <w:p>
      <w:r>
        <w:t>Before class, execute the fixture once and record actual observed results. Use a separate analyst session to test the view boundary. Verify costs are visible or prepare the worksheet fallback.</w:t>
      </w:r>
    </w:p>
    <w:p>
      <w:r>
        <w:t>If performance improvements are too small to measure, teach from the plan and report the inconclusive timing result. Do not increase all 14 workloads just to force a chart to look better.</w:t>
      </w:r>
    </w:p>
    <w:p>
      <w:r>
        <w:t>If an analyst can read the private table, stop and investigate inherited grants. This is a useful demonstration of why denial tests matter, not a reason to hide the failure.</w:t>
      </w:r>
    </w:p>
    <w:p>
      <w:r>
        <w:t>Finish by asking each learner to name one correctness check, one measured bottleneck, one cost action and one proved access restriction. Ask them to explain why hashing and logical deletion have limits.</w:t>
      </w:r>
    </w:p>
    <w:p>
      <w:pPr>
        <w:pStyle w:val="Heading1"/>
      </w:pPr>
      <w:r>
        <w:t>Official references</w:t>
      </w:r>
    </w:p>
    <w:p>
      <w:r>
        <w:t>Compute: https://learn.microsoft.com/en-us/azure/databricks/compute/cluster-config-best-practices</w:t>
      </w:r>
    </w:p>
    <w:p>
      <w:r>
        <w:t>Adaptive execution: https://learn.microsoft.com/en-us/azure/databricks/optimizations/aqe</w:t>
      </w:r>
    </w:p>
    <w:p>
      <w:r>
        <w:t>Joins: https://learn.microsoft.com/en-us/azure/databricks/transform/optimize-joins</w:t>
      </w:r>
    </w:p>
    <w:p>
      <w:r>
        <w:t>Budgets: https://learn.microsoft.com/en-us/azure/cost-management-billing/costs/tutorial-acm-create-budgets</w:t>
      </w:r>
    </w:p>
    <w:p>
      <w:r>
        <w:t>Usage: https://learn.microsoft.com/en-us/azure/databricks/admin/system-tables/billing</w:t>
      </w:r>
    </w:p>
    <w:p>
      <w:r>
        <w:t>Dynamic views: https://learn.microsoft.com/en-us/azure/databricks/views/dynamic</w:t>
      </w:r>
    </w:p>
    <w:p>
      <w:r>
        <w:t>Masks: https://learn.microsoft.com/en-us/azure/databricks/data-governance/unity-catalog/filters-and-masks/</w:t>
      </w:r>
    </w:p>
    <w:p>
      <w:r>
        <w:t>Networking: https://learn.microsoft.com/en-us/azure/databricks/security/network/concepts/private-link</w:t>
      </w:r>
    </w:p>
    <w:p>
      <w:r>
        <w:t>Secrets: https://learn.microsoft.com/en-us/azure/databricks/security/secrets/</w:t>
      </w:r>
    </w:p>
    <w:p>
      <w:r>
        <w:t>System tables: https://learn.microsoft.com/en-us/azure/databricks/admin/system-tables/</w:t>
      </w:r>
    </w:p>
    <w:p>
      <w:r>
        <w:t>Vacuum: https://learn.microsoft.com/en-us/azure/databricks/sql/language-manual/delta-vacuum</w:t>
      </w:r>
    </w:p>
    <w:p>
      <w:r>
        <w:t>GDPR: https://eur-lex.europa.eu/eli/reg/2016/679/oj/eng</w:t>
      </w:r>
    </w:p>
    <w:p>
      <w:r>
        <w:t>CCPA: https://oag.ca.gov/privacy/ccpa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Day 22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22 Azure Databricks</dc:title>
  <dc:subject/>
  <dc:creator>Training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