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C5DE" w14:textId="77777777" w:rsidR="00326CD4" w:rsidRDefault="00000000">
      <w:pPr>
        <w:spacing w:after="200"/>
      </w:pPr>
      <w:proofErr w:type="spellStart"/>
      <w:r>
        <w:rPr>
          <w:b/>
          <w:bCs/>
          <w:color w:val="1F4E79"/>
          <w:sz w:val="36"/>
          <w:szCs w:val="36"/>
        </w:rPr>
        <w:t>Vectera</w:t>
      </w:r>
      <w:proofErr w:type="spellEnd"/>
      <w:r>
        <w:rPr>
          <w:b/>
          <w:bCs/>
          <w:color w:val="1F4E79"/>
          <w:sz w:val="36"/>
          <w:szCs w:val="36"/>
        </w:rPr>
        <w:t xml:space="preserve"> RAG Assessment — Self-Evaluation Battery</w:t>
      </w:r>
    </w:p>
    <w:p w14:paraId="75908EF7" w14:textId="77777777" w:rsidR="00326CD4" w:rsidRDefault="00000000">
      <w:pPr>
        <w:spacing w:after="280"/>
      </w:pPr>
      <w:r>
        <w:rPr>
          <w:b/>
          <w:bCs/>
        </w:rPr>
        <w:t xml:space="preserve">Instructions for candidates: </w:t>
      </w:r>
      <w:r>
        <w:t xml:space="preserve">Run each of the 24 questions below against your system exactly as deployed. For each row, fill in: (a) </w:t>
      </w:r>
      <w:r>
        <w:rPr>
          <w:b/>
          <w:bCs/>
        </w:rPr>
        <w:t>Result</w:t>
      </w:r>
      <w:r>
        <w:t xml:space="preserve"> — Pass / Partial / Fail, (b) </w:t>
      </w:r>
      <w:r>
        <w:rPr>
          <w:b/>
          <w:bCs/>
        </w:rPr>
        <w:t>Your system's verbatim answer</w:t>
      </w:r>
      <w:r>
        <w:t xml:space="preserve"> (copy-paste from your UI, including any citations shown), and (c) </w:t>
      </w:r>
      <w:r>
        <w:rPr>
          <w:b/>
          <w:bCs/>
        </w:rPr>
        <w:t>One-line note</w:t>
      </w:r>
      <w:r>
        <w:t xml:space="preserve"> on what worked or what broke. Honest “Partial” or “Fail” ratings with a clear note are valued more than inflated ratings. If you did not ingest </w:t>
      </w:r>
      <w:proofErr w:type="gramStart"/>
      <w:r>
        <w:t>a required</w:t>
      </w:r>
      <w:proofErr w:type="gramEnd"/>
      <w:r>
        <w:t xml:space="preserve"> document, mark Fail and note it.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3200"/>
        <w:gridCol w:w="6840"/>
        <w:gridCol w:w="3000"/>
      </w:tblGrid>
      <w:tr w:rsidR="00326CD4" w14:paraId="3BC6C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99836" w14:textId="77777777" w:rsidR="00326C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11A78" w14:textId="77777777" w:rsidR="00326CD4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1590B" w14:textId="77777777" w:rsidR="00326CD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diagnoses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1C09A" w14:textId="77777777" w:rsidR="00326CD4" w:rsidRDefault="00000000">
            <w:r>
              <w:rPr>
                <w:b/>
                <w:bCs/>
                <w:color w:val="FFFFFF"/>
                <w:sz w:val="20"/>
                <w:szCs w:val="20"/>
              </w:rPr>
              <w:t>Your result + verbatim answer + note</w:t>
            </w:r>
          </w:p>
        </w:tc>
      </w:tr>
      <w:tr w:rsidR="00326CD4" w14:paraId="27E2FD09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4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CF86B" w14:textId="77777777" w:rsidR="00326CD4" w:rsidRDefault="00000000">
            <w:r>
              <w:rPr>
                <w:b/>
                <w:bCs/>
                <w:color w:val="1F4E79"/>
              </w:rPr>
              <w:t>Group A — Version &amp; temporal awareness (same company, multiple snapshots)</w:t>
            </w:r>
          </w:p>
        </w:tc>
      </w:tr>
      <w:tr w:rsidR="00326CD4" w14:paraId="2DD9D49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205C8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49662" w14:textId="77777777" w:rsidR="00326CD4" w:rsidRDefault="00000000">
            <w:r>
              <w:rPr>
                <w:sz w:val="20"/>
                <w:szCs w:val="20"/>
              </w:rPr>
              <w:t>What is Digital Realty's total IT capacity?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A0772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Version-pair retrieval under semantic near-duplication.</w:t>
            </w:r>
          </w:p>
          <w:p w14:paraId="12BC4BBA" w14:textId="77777777" w:rsidR="00326CD4" w:rsidRDefault="00000000">
            <w:r>
              <w:rPr>
                <w:sz w:val="20"/>
                <w:szCs w:val="20"/>
              </w:rPr>
              <w:t xml:space="preserve">The Dec 2025 and Mar 2026 decks have identical slide titles (“Offering a Global Data Center Platform”) with materially different numbers (2.9 GW in-place / 730 MW under construction vs 3 GW in-place / 5 GW future = ~8 GW total) and different definitions of “total capacity.” Tests: (a) ingestion preserves document-level </w:t>
            </w:r>
            <w:proofErr w:type="spellStart"/>
            <w:r>
              <w:rPr>
                <w:sz w:val="20"/>
                <w:szCs w:val="20"/>
              </w:rPr>
              <w:t>as_of_date</w:t>
            </w:r>
            <w:proofErr w:type="spellEnd"/>
            <w:r>
              <w:rPr>
                <w:sz w:val="20"/>
                <w:szCs w:val="20"/>
              </w:rPr>
              <w:t xml:space="preserve"> metadata, (b) retrieval surfaces both versions despite near-identical vectors, (c) 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  <w:r>
              <w:rPr>
                <w:sz w:val="20"/>
                <w:szCs w:val="20"/>
              </w:rPr>
              <w:t xml:space="preserve"> does not collapse them as duplicates, (d) generation preserves attribution rather than blending or arbitrarily picking one.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1D19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2CC2A8CF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2D2D8F4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3A1E78D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E9249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A8AC" w14:textId="77777777" w:rsidR="00326CD4" w:rsidRDefault="00000000">
            <w:r>
              <w:rPr>
                <w:sz w:val="20"/>
                <w:szCs w:val="20"/>
              </w:rPr>
              <w:t>What is BXP's projected 2026 occupancy?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9CA7F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Document-type recency hierarchy.</w:t>
            </w:r>
          </w:p>
          <w:p w14:paraId="03FA0EDB" w14:textId="77777777" w:rsidR="00326CD4" w:rsidRDefault="00000000">
            <w:r>
              <w:rPr>
                <w:sz w:val="20"/>
                <w:szCs w:val="20"/>
              </w:rPr>
              <w:t xml:space="preserve">Investor Day (Jun 30, 2025) gave a range of 87.25–88%; Q4 deck (Mar 2026) tightened to a point estimate of 88%. Tests whether the system recognizes that a Q4 quarterly update supersedes a mid-year Investor Day for forward guidance, and either presents both with chronology </w:t>
            </w:r>
            <w:proofErr w:type="gramStart"/>
            <w:r>
              <w:rPr>
                <w:sz w:val="20"/>
                <w:szCs w:val="20"/>
              </w:rPr>
              <w:t>or</w:t>
            </w:r>
            <w:proofErr w:type="gramEnd"/>
            <w:r>
              <w:rPr>
                <w:sz w:val="20"/>
                <w:szCs w:val="20"/>
              </w:rPr>
              <w:t xml:space="preserve"> prefers the more recent disclosure.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89B30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6A06452D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0D98CDDE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2C235EB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EBCFA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499BC" w14:textId="77777777" w:rsidR="00326CD4" w:rsidRDefault="00000000">
            <w:r>
              <w:rPr>
                <w:sz w:val="20"/>
                <w:szCs w:val="20"/>
              </w:rPr>
              <w:t>What's changed in BXP's strategy between the 2025 Investor Day and the Q4 2025 update?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AB61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Same-company, two-document temporal-delta reasoning.</w:t>
            </w:r>
          </w:p>
          <w:p w14:paraId="316930D5" w14:textId="77777777" w:rsidR="00326CD4" w:rsidRDefault="00000000">
            <w:r>
              <w:rPr>
                <w:sz w:val="20"/>
                <w:szCs w:val="20"/>
              </w:rPr>
              <w:t xml:space="preserve">The strategic framework is </w:t>
            </w:r>
            <w:proofErr w:type="gramStart"/>
            <w:r>
              <w:rPr>
                <w:sz w:val="20"/>
                <w:szCs w:val="20"/>
              </w:rPr>
              <w:t>unchanged</w:t>
            </w:r>
            <w:proofErr w:type="gramEnd"/>
            <w:r>
              <w:rPr>
                <w:sz w:val="20"/>
                <w:szCs w:val="20"/>
              </w:rPr>
              <w:t xml:space="preserve"> but execution has advanced: dividend reset was announced in Investor Day and reported as completed in Q4; occupancy guidance tightened; 2026 FFO guidance ($6.96 midpoint) became public; CBD share rose 90.5% → 90.8% of NOI. Tests cross-document synthesis from the same issuer, ordered chronologically, with the ability to distinguish “stable framework” from “evolved disclosure.”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31AFF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5FAF6447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66A6E81C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2D147F7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5D644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9E098" w14:textId="77777777" w:rsidR="00326CD4" w:rsidRDefault="00000000">
            <w:r>
              <w:rPr>
                <w:sz w:val="20"/>
                <w:szCs w:val="20"/>
              </w:rPr>
              <w:t>What is the economic impact of Simon's shopping centers on local communities?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A04A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Absolute-date staleness awareness.</w:t>
            </w:r>
          </w:p>
          <w:p w14:paraId="5DB167E9" w14:textId="77777777" w:rsidR="00326CD4" w:rsidRDefault="00000000">
            <w:r>
              <w:rPr>
                <w:sz w:val="20"/>
                <w:szCs w:val="20"/>
              </w:rPr>
              <w:t xml:space="preserve">The Simon report is dated November 2018 with 2017 data — ~7 years older than the rest of the corpus. The publication date is on page 2, not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the filename. </w:t>
            </w:r>
            <w:r>
              <w:rPr>
                <w:sz w:val="20"/>
                <w:szCs w:val="20"/>
              </w:rPr>
              <w:lastRenderedPageBreak/>
              <w:t>Tests: (a) parser extracts publication date from document content (not just filename), (b) generation flags the absolute age of the source rather than presenting 2017 numbers as current fact.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C4F66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Result: </w:t>
            </w:r>
          </w:p>
          <w:p w14:paraId="79AF029F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A0496A8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5A9CBAD6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4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B3A00" w14:textId="77777777" w:rsidR="00326CD4" w:rsidRDefault="00000000">
            <w:r>
              <w:rPr>
                <w:b/>
                <w:bCs/>
                <w:color w:val="1F4E79"/>
              </w:rPr>
              <w:t>Group B — Intra-document inconsistency &amp; footnote awareness</w:t>
            </w:r>
          </w:p>
        </w:tc>
      </w:tr>
      <w:tr w:rsidR="00326CD4" w14:paraId="1B274E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87D5B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EF30" w14:textId="77777777" w:rsidR="00326CD4" w:rsidRDefault="00000000">
            <w:r>
              <w:rPr>
                <w:sz w:val="20"/>
                <w:szCs w:val="20"/>
              </w:rPr>
              <w:t>How many customers does Digital Realty have?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DEA31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Within-document inconsistency + footnote-attached-as-of-date.</w:t>
            </w:r>
          </w:p>
          <w:p w14:paraId="5CCE26E7" w14:textId="77777777" w:rsidR="00326CD4" w:rsidRDefault="00000000">
            <w:r>
              <w:rPr>
                <w:sz w:val="20"/>
                <w:szCs w:val="20"/>
              </w:rPr>
              <w:t xml:space="preserve">In the Mar 2026 deck alone, page 3 says “5,500+ Customers” and page 23 says “5,000+ Global Customers” — both with footnotes citing Dec 31, 2025. The Dec 2025 deck says 5,000+. Tests: (a) </w:t>
            </w:r>
            <w:proofErr w:type="spellStart"/>
            <w:r>
              <w:rPr>
                <w:sz w:val="20"/>
                <w:szCs w:val="20"/>
              </w:rPr>
              <w:t>chunker</w:t>
            </w:r>
            <w:proofErr w:type="spellEnd"/>
            <w:r>
              <w:rPr>
                <w:sz w:val="20"/>
                <w:szCs w:val="20"/>
              </w:rPr>
              <w:t xml:space="preserve"> preserves the footnote's as-of date alongside the body number, (b) retrieval surfaces all three pages, (c) generation acknowledges the page-3-vs-page-23 inconsistency rather than picking one silently.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7423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7074DB39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E0B1B68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333832C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70F80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A7318" w14:textId="77777777" w:rsidR="00326CD4" w:rsidRDefault="00000000">
            <w:r>
              <w:rPr>
                <w:sz w:val="20"/>
                <w:szCs w:val="20"/>
              </w:rPr>
              <w:t>What is BXP's dividend yield?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E5880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Footnote-body integrity at the chunk level.</w:t>
            </w:r>
          </w:p>
          <w:p w14:paraId="38A61F36" w14:textId="77777777" w:rsidR="00326CD4" w:rsidRDefault="00000000">
            <w:r>
              <w:rPr>
                <w:sz w:val="20"/>
                <w:szCs w:val="20"/>
              </w:rPr>
              <w:t xml:space="preserve">The Investor Day dividend slide shows yield at 3.9% (chart body, using post-reset $0.70 × 4 ÷ Aug 29, </w:t>
            </w:r>
            <w:proofErr w:type="gramStart"/>
            <w:r>
              <w:rPr>
                <w:sz w:val="20"/>
                <w:szCs w:val="20"/>
              </w:rPr>
              <w:t>2025</w:t>
            </w:r>
            <w:proofErr w:type="gramEnd"/>
            <w:r>
              <w:rPr>
                <w:sz w:val="20"/>
                <w:szCs w:val="20"/>
              </w:rPr>
              <w:t xml:space="preserve"> price). The Q4 deck shows ~5.2% (using a later 2026 stock price). Same dividend, different yields because stock price moved. Tests whether the parser keeps body and date-qualifier footnote in the same chunk, and whether retrieval surfaces both decks rather than just one.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825FE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4BA67723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C3548D7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42240C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D701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80061" w14:textId="77777777" w:rsidR="00326CD4" w:rsidRDefault="00000000">
            <w:r>
              <w:rPr>
                <w:sz w:val="20"/>
                <w:szCs w:val="20"/>
              </w:rPr>
              <w:t>What was BXP's actual market dividend yield as of August 29, 2025?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359DD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Footnote-as-truth-source contradicting the chart body.</w:t>
            </w:r>
          </w:p>
          <w:p w14:paraId="7B7B37D7" w14:textId="77777777" w:rsidR="00326CD4" w:rsidRDefault="00000000">
            <w:r>
              <w:rPr>
                <w:sz w:val="20"/>
                <w:szCs w:val="20"/>
              </w:rPr>
              <w:t xml:space="preserve">On the same slide where the chart body says “3.9%,” footnote 2 says “BXP's dividend yield as of August 29, </w:t>
            </w:r>
            <w:proofErr w:type="gramStart"/>
            <w:r>
              <w:rPr>
                <w:sz w:val="20"/>
                <w:szCs w:val="20"/>
              </w:rPr>
              <w:t>2025</w:t>
            </w:r>
            <w:proofErr w:type="gramEnd"/>
            <w:r>
              <w:rPr>
                <w:sz w:val="20"/>
                <w:szCs w:val="20"/>
              </w:rPr>
              <w:t xml:space="preserve"> was 5.47%.” The chart number is a normalized post-reset construct; the footnote is the actual market-implied figure. Tests the hardest version of footnote awareness: not “footnote adds context” but “footnote contradicts the headline.” Body-only </w:t>
            </w:r>
            <w:proofErr w:type="spellStart"/>
            <w:r>
              <w:rPr>
                <w:sz w:val="20"/>
                <w:szCs w:val="20"/>
              </w:rPr>
              <w:t>chunkers</w:t>
            </w:r>
            <w:proofErr w:type="spellEnd"/>
            <w:r>
              <w:rPr>
                <w:sz w:val="20"/>
                <w:szCs w:val="20"/>
              </w:rPr>
              <w:t xml:space="preserve"> will answer 3.9% with full confidence.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A3B07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26574234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7C938361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5E5528F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C42AD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6F31C" w14:textId="77777777" w:rsidR="00326CD4" w:rsidRDefault="00000000">
            <w:r>
              <w:rPr>
                <w:sz w:val="20"/>
                <w:szCs w:val="20"/>
              </w:rPr>
              <w:t>How has Digital Realty's customer credit-quality profile changed between the Dec 2025 and Mar 2026 presentations?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97A92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Methodology </w:t>
            </w:r>
            <w:proofErr w:type="gramStart"/>
            <w:r>
              <w:rPr>
                <w:b/>
                <w:bCs/>
                <w:sz w:val="20"/>
                <w:szCs w:val="20"/>
              </w:rPr>
              <w:t>change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buried in footnotes.</w:t>
            </w:r>
          </w:p>
          <w:p w14:paraId="4230278E" w14:textId="77777777" w:rsidR="00326CD4" w:rsidRDefault="00000000">
            <w:r>
              <w:rPr>
                <w:sz w:val="20"/>
                <w:szCs w:val="20"/>
              </w:rPr>
              <w:t xml:space="preserve">Both decks report ~50–51% investment-grade customers, but footnote 2 reveals the basis changed: Dec 2025 uses </w:t>
            </w:r>
            <w:proofErr w:type="gramStart"/>
            <w:r>
              <w:rPr>
                <w:sz w:val="20"/>
                <w:szCs w:val="20"/>
              </w:rPr>
              <w:t>top-10</w:t>
            </w:r>
            <w:proofErr w:type="gramEnd"/>
            <w:r>
              <w:rPr>
                <w:sz w:val="20"/>
                <w:szCs w:val="20"/>
              </w:rPr>
              <w:t xml:space="preserve"> customers / $4.5B revenue; Mar 2026 uses </w:t>
            </w:r>
            <w:proofErr w:type="gramStart"/>
            <w:r>
              <w:rPr>
                <w:sz w:val="20"/>
                <w:szCs w:val="20"/>
              </w:rPr>
              <w:t>top-100</w:t>
            </w:r>
            <w:proofErr w:type="gramEnd"/>
            <w:r>
              <w:rPr>
                <w:sz w:val="20"/>
                <w:szCs w:val="20"/>
              </w:rPr>
              <w:t xml:space="preserve"> customers / $6.1B revenue (10× expansion of customer sample, 36% revenue growth). Tests whether the system surfaces that “the number changed from X to Y” is meaningless because “the way it was measured also </w:t>
            </w:r>
            <w:r>
              <w:rPr>
                <w:sz w:val="20"/>
                <w:szCs w:val="20"/>
              </w:rPr>
              <w:lastRenderedPageBreak/>
              <w:t>changed.” A system that misses this fabricates a clean trend story from incomparable data.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A3772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Result: </w:t>
            </w:r>
          </w:p>
          <w:p w14:paraId="21DDE77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59063612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37769F2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0FF5F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1941D" w14:textId="77777777" w:rsidR="00326CD4" w:rsidRDefault="00000000">
            <w:r>
              <w:rPr>
                <w:sz w:val="20"/>
                <w:szCs w:val="20"/>
              </w:rPr>
              <w:t>In how many countries does Realty Income operate?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BE3A4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Intra-document scope ambiguity.</w:t>
            </w:r>
          </w:p>
          <w:p w14:paraId="7E98F2E0" w14:textId="77777777" w:rsidR="00326CD4" w:rsidRDefault="00000000">
            <w:r>
              <w:rPr>
                <w:sz w:val="20"/>
                <w:szCs w:val="20"/>
              </w:rPr>
              <w:t xml:space="preserve">Pages 5 and 6 say “10 countries” (US + UK + 8 European); pages 15 and 31 say “9 countries” specifically in the European footprint context. Both are correct under different definitions. Tests whether retrieval surfaces both with their scope qualifiers and generation </w:t>
            </w:r>
            <w:proofErr w:type="gramStart"/>
            <w:r>
              <w:rPr>
                <w:sz w:val="20"/>
                <w:szCs w:val="20"/>
              </w:rPr>
              <w:t>resolves</w:t>
            </w:r>
            <w:proofErr w:type="gramEnd"/>
            <w:r>
              <w:rPr>
                <w:sz w:val="20"/>
                <w:szCs w:val="20"/>
              </w:rPr>
              <w:t xml:space="preserve"> the apparent contradiction by reading surrounding context rather than flattening to one answer.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A7595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426DB8D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0659A0B3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0EF3899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4C135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4FBE1" w14:textId="77777777" w:rsidR="00326CD4" w:rsidRDefault="00000000">
            <w:r>
              <w:rPr>
                <w:sz w:val="20"/>
                <w:szCs w:val="20"/>
              </w:rPr>
              <w:t xml:space="preserve">How big is </w:t>
            </w:r>
            <w:proofErr w:type="spellStart"/>
            <w:r>
              <w:rPr>
                <w:sz w:val="20"/>
                <w:szCs w:val="20"/>
              </w:rPr>
              <w:t>EastGroup's</w:t>
            </w:r>
            <w:proofErr w:type="spellEnd"/>
            <w:r>
              <w:rPr>
                <w:sz w:val="20"/>
                <w:szCs w:val="20"/>
              </w:rPr>
              <w:t xml:space="preserve"> portfolio?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F9040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Qualifier-aware chunking.</w:t>
            </w:r>
          </w:p>
          <w:p w14:paraId="443DB2DB" w14:textId="77777777" w:rsidR="00326CD4" w:rsidRDefault="00000000">
            <w:r>
              <w:rPr>
                <w:sz w:val="20"/>
                <w:szCs w:val="20"/>
              </w:rPr>
              <w:t xml:space="preserve">Page 3 says “approximately 65 million square feet” including development projects and value-add acquisitions in lease-up and under construction. Page 9 says “65 </w:t>
            </w:r>
            <w:proofErr w:type="gramStart"/>
            <w:r>
              <w:rPr>
                <w:sz w:val="20"/>
                <w:szCs w:val="20"/>
              </w:rPr>
              <w:t>Million</w:t>
            </w:r>
            <w:proofErr w:type="gramEnd"/>
            <w:r>
              <w:rPr>
                <w:sz w:val="20"/>
                <w:szCs w:val="20"/>
              </w:rPr>
              <w:t xml:space="preserve"> Square Feet Under Ownership” — a different scope. Tests whether the </w:t>
            </w:r>
            <w:proofErr w:type="spellStart"/>
            <w:r>
              <w:rPr>
                <w:sz w:val="20"/>
                <w:szCs w:val="20"/>
              </w:rPr>
              <w:t>chunker</w:t>
            </w:r>
            <w:proofErr w:type="spellEnd"/>
            <w:r>
              <w:rPr>
                <w:sz w:val="20"/>
                <w:szCs w:val="20"/>
              </w:rPr>
              <w:t xml:space="preserve"> keeps each number with its specific scope qualifier rather than producing two chunks that both say “65M SF” with the qualifier amputated.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3509B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30380401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6FFE6EF4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20EC326D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4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3395B" w14:textId="77777777" w:rsidR="00326CD4" w:rsidRDefault="00000000">
            <w:r>
              <w:rPr>
                <w:b/>
                <w:bCs/>
                <w:color w:val="1F4E79"/>
              </w:rPr>
              <w:t>Group C — Document-type and scope distinctions (same company, different document purposes)</w:t>
            </w:r>
          </w:p>
        </w:tc>
      </w:tr>
      <w:tr w:rsidR="00326CD4" w14:paraId="0ED29BB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73553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56DB2" w14:textId="77777777" w:rsidR="00326CD4" w:rsidRDefault="00000000">
            <w:r>
              <w:rPr>
                <w:sz w:val="20"/>
                <w:szCs w:val="20"/>
              </w:rPr>
              <w:t>What is Public Storage's NOI margin?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E1684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Document-type metadata as a first-class field.</w:t>
            </w:r>
          </w:p>
          <w:p w14:paraId="7762790D" w14:textId="77777777" w:rsidR="00326CD4" w:rsidRDefault="00000000">
            <w:r>
              <w:rPr>
                <w:sz w:val="20"/>
                <w:szCs w:val="20"/>
              </w:rPr>
              <w:t xml:space="preserve">Standalone Company Update (March 2026) reports 78% margin for PSA. Merger Presentation (March 16, 2026) reports the same 78% PSA standalone, plus 69% NSA and 77% pro-forma combined. Same company, same month, different document purposes. Tests whether the system tags </w:t>
            </w:r>
            <w:proofErr w:type="spellStart"/>
            <w:r>
              <w:rPr>
                <w:sz w:val="20"/>
                <w:szCs w:val="20"/>
              </w:rPr>
              <w:t>document_type</w:t>
            </w:r>
            <w:proofErr w:type="spellEnd"/>
            <w:r>
              <w:rPr>
                <w:sz w:val="20"/>
                <w:szCs w:val="20"/>
              </w:rPr>
              <w:t xml:space="preserve"> (“Company Update” vs “Merger Presentation”) and presents each scope with attribution. Without doc-type metadata, retrieval mixes standalone and pro-forma chunks and the LLM produces confused or wrong answers (e.g., “PSA's margin is 77%” — the post-merger figure presented as current).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AE349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5D7E1466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8E185B0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3FC0B1C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C68BD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AE969" w14:textId="77777777" w:rsidR="00326CD4" w:rsidRDefault="00000000">
            <w:r>
              <w:rPr>
                <w:sz w:val="20"/>
                <w:szCs w:val="20"/>
              </w:rPr>
              <w:t>What is PSA's outlook for 2026?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93750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Standalone vs incremental scope.</w:t>
            </w:r>
          </w:p>
          <w:p w14:paraId="2E6BCD8F" w14:textId="77777777" w:rsidR="00326CD4" w:rsidRDefault="00000000">
            <w:r>
              <w:rPr>
                <w:sz w:val="20"/>
                <w:szCs w:val="20"/>
              </w:rPr>
              <w:t xml:space="preserve">Company Update (page 15) projects organic decline: revenue -2.2% to 0.0%, NOI -3.9% to -0.5%. Merger Presentation says the announced NSA acquisition is FFO-neutral in 2026, then $0.10–0.20 accretive in 2027, $0.35–0.50 at stabilization. These are </w:t>
            </w:r>
            <w:proofErr w:type="gramStart"/>
            <w:r>
              <w:rPr>
                <w:sz w:val="20"/>
                <w:szCs w:val="20"/>
              </w:rPr>
              <w:t>additive</w:t>
            </w:r>
            <w:proofErr w:type="gramEnd"/>
            <w:r>
              <w:rPr>
                <w:sz w:val="20"/>
                <w:szCs w:val="20"/>
              </w:rPr>
              <w:t xml:space="preserve">, not contradictory.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system presents both with their scopes labeled, rather than blending into a falsely averaged outlook.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9A416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04D8E897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105FA16E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5C6972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02D2D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13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1FF0D" w14:textId="77777777" w:rsidR="00326CD4" w:rsidRDefault="00000000">
            <w:r>
              <w:rPr>
                <w:sz w:val="20"/>
                <w:szCs w:val="20"/>
              </w:rPr>
              <w:t>What percentage of BXP's portfolio is in CBD markets?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2582F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Metric-definition awareness across decks.</w:t>
            </w:r>
          </w:p>
          <w:p w14:paraId="4E9DE155" w14:textId="77777777" w:rsidR="00326CD4" w:rsidRDefault="00000000">
            <w:r>
              <w:rPr>
                <w:sz w:val="20"/>
                <w:szCs w:val="20"/>
              </w:rPr>
              <w:t xml:space="preserve">Investor Day page 18 reports CBD = 90.5% of NOI as of Q2 2025 (and shows 70.9% in Q2 2020 — strategic shift). Q4 deck page 7 says CBD = ~90% of Annualized Rental Obligations. Q4 deck page 9 says CBD = 90.8% of NOI. Same approximate number, different metrics (NOI vs ARO), different as-of dates.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system distinguishes the metric definitions rather than treating the numbers as duplicates.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A670D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6AB02A26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034DD823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0222F83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ABD1E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61B37" w14:textId="77777777" w:rsidR="00326CD4" w:rsidRDefault="00000000">
            <w:r>
              <w:rPr>
                <w:sz w:val="20"/>
                <w:szCs w:val="20"/>
              </w:rPr>
              <w:t>What is the average occupancy difference between Public Storage and NSA's same-store portfolios?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ED55D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Table parsing with column-to-entity preservation.</w:t>
            </w:r>
          </w:p>
          <w:p w14:paraId="10EC1619" w14:textId="77777777" w:rsidR="00326CD4" w:rsidRDefault="00000000">
            <w:r>
              <w:rPr>
                <w:sz w:val="20"/>
                <w:szCs w:val="20"/>
              </w:rPr>
              <w:t xml:space="preserve">PSA Merger Presentation page 4 has a 3-column comparison table: PSA 92.0% / NSA 84.3% / Pro Forma </w:t>
            </w:r>
            <w:proofErr w:type="gramStart"/>
            <w:r>
              <w:rPr>
                <w:sz w:val="20"/>
                <w:szCs w:val="20"/>
              </w:rPr>
              <w:t>90.3% —</w:t>
            </w:r>
            <w:proofErr w:type="gramEnd"/>
            <w:r>
              <w:rPr>
                <w:sz w:val="20"/>
                <w:szCs w:val="20"/>
              </w:rPr>
              <w:t xml:space="preserve"> a 7.7 pp gap. Pure </w:t>
            </w:r>
            <w:proofErr w:type="spellStart"/>
            <w:r>
              <w:rPr>
                <w:sz w:val="20"/>
                <w:szCs w:val="20"/>
              </w:rPr>
              <w:t>pdftotext</w:t>
            </w:r>
            <w:proofErr w:type="spellEnd"/>
            <w:r>
              <w:rPr>
                <w:sz w:val="20"/>
                <w:szCs w:val="20"/>
              </w:rPr>
              <w:t xml:space="preserve"> produces a chunk like “92.0% 84.3% 90.3%” with no column labels attached. Tests whether the parser is table-aware (</w:t>
            </w:r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 tables / Camelot / Unstructured table mode / </w:t>
            </w:r>
            <w:proofErr w:type="spellStart"/>
            <w:r>
              <w:rPr>
                <w:sz w:val="20"/>
                <w:szCs w:val="20"/>
              </w:rPr>
              <w:t>Docling</w:t>
            </w:r>
            <w:proofErr w:type="spellEnd"/>
            <w:r>
              <w:rPr>
                <w:sz w:val="20"/>
                <w:szCs w:val="20"/>
              </w:rPr>
              <w:t xml:space="preserve"> / vision) and </w:t>
            </w:r>
            <w:proofErr w:type="gramStart"/>
            <w:r>
              <w:rPr>
                <w:sz w:val="20"/>
                <w:szCs w:val="20"/>
              </w:rPr>
              <w:t>produces</w:t>
            </w:r>
            <w:proofErr w:type="gramEnd"/>
            <w:r>
              <w:rPr>
                <w:sz w:val="20"/>
                <w:szCs w:val="20"/>
              </w:rPr>
              <w:t xml:space="preserve"> structured rows where each value carries its column identity.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8713B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60BCCE75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649392B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1E6F878E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4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94EC5" w14:textId="77777777" w:rsidR="00326CD4" w:rsidRDefault="00000000">
            <w:r>
              <w:rPr>
                <w:b/>
                <w:bCs/>
                <w:color w:val="1F4E79"/>
              </w:rPr>
              <w:t>Group D — Chart, table, and map parsing (vision-required cases)</w:t>
            </w:r>
          </w:p>
        </w:tc>
      </w:tr>
      <w:tr w:rsidR="00326CD4" w14:paraId="4C27C5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00E9B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D16BD" w14:textId="77777777" w:rsidR="00326CD4" w:rsidRDefault="00000000">
            <w:r>
              <w:rPr>
                <w:sz w:val="20"/>
                <w:szCs w:val="20"/>
              </w:rPr>
              <w:t>Among the major self-storage REITs, what is each company's same-store NOI growth and NOI margin?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E46F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The production-readiness test.</w:t>
            </w:r>
          </w:p>
          <w:p w14:paraId="2885911B" w14:textId="77777777" w:rsidR="00326CD4" w:rsidRDefault="00000000">
            <w:r>
              <w:rPr>
                <w:sz w:val="20"/>
                <w:szCs w:val="20"/>
              </w:rPr>
              <w:t xml:space="preserve">PSA Company Update page 7 has six bar </w:t>
            </w:r>
            <w:proofErr w:type="spellStart"/>
            <w:r>
              <w:rPr>
                <w:sz w:val="20"/>
                <w:szCs w:val="20"/>
              </w:rPr>
              <w:t>subcharts</w:t>
            </w:r>
            <w:proofErr w:type="spellEnd"/>
            <w:r>
              <w:rPr>
                <w:sz w:val="20"/>
                <w:szCs w:val="20"/>
              </w:rPr>
              <w:t xml:space="preserve"> in a 2x3 grid. The legend strip at the bottom reads “PSA / </w:t>
            </w:r>
            <w:proofErr w:type="spellStart"/>
            <w:r>
              <w:rPr>
                <w:sz w:val="20"/>
                <w:szCs w:val="20"/>
              </w:rPr>
              <w:t>CubeSmart</w:t>
            </w:r>
            <w:proofErr w:type="spellEnd"/>
            <w:r>
              <w:rPr>
                <w:sz w:val="20"/>
                <w:szCs w:val="20"/>
              </w:rPr>
              <w:t xml:space="preserve"> / Extra Space / NSA” — a fixed order. But each </w:t>
            </w:r>
            <w:proofErr w:type="spellStart"/>
            <w:r>
              <w:rPr>
                <w:sz w:val="20"/>
                <w:szCs w:val="20"/>
              </w:rPr>
              <w:t>subchart</w:t>
            </w:r>
            <w:proofErr w:type="spellEnd"/>
            <w:r>
              <w:rPr>
                <w:sz w:val="20"/>
                <w:szCs w:val="20"/>
              </w:rPr>
              <w:t xml:space="preserve"> re-sorts the four peers by performance ranking, so NOI growth has order PSA / CU BE / EXR / NSA while NOI margin has PSA / EXR / CU BE / NSA. The legend is at a third order. Text extraction yields a row of numbers with no reliable mapping to companies. Tests: (a) parser uses vision/OCR with spatial coordinates that tie each bar value to its per-</w:t>
            </w:r>
            <w:proofErr w:type="spellStart"/>
            <w:r>
              <w:rPr>
                <w:sz w:val="20"/>
                <w:szCs w:val="20"/>
              </w:rPr>
              <w:t>subchart</w:t>
            </w:r>
            <w:proofErr w:type="spellEnd"/>
            <w:r>
              <w:rPr>
                <w:sz w:val="20"/>
                <w:szCs w:val="20"/>
              </w:rPr>
              <w:t xml:space="preserve"> label (not the legend), (b) the system honestly reports if it cannot make this mapping. Failure here produces confidently-wrong peer comparisons — the canonical financial-document failure mode.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C79C6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0A7866EB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4810EB82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2F0859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183B7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6DBBE" w14:textId="77777777" w:rsidR="00326CD4" w:rsidRDefault="00000000">
            <w:r>
              <w:rPr>
                <w:sz w:val="20"/>
                <w:szCs w:val="20"/>
              </w:rPr>
              <w:t xml:space="preserve">Who </w:t>
            </w: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VICI's largest tenant by rent, and what percentage of rent do they represent?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9072E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Logo-rendered identity + honesty about extraction limits.</w:t>
            </w:r>
          </w:p>
          <w:p w14:paraId="71352CA0" w14:textId="77777777" w:rsidR="00326CD4" w:rsidRDefault="00000000">
            <w:r>
              <w:rPr>
                <w:sz w:val="20"/>
                <w:szCs w:val="20"/>
              </w:rPr>
              <w:t xml:space="preserve">VICI page 7's tenant table has 13 rows. The rent percentages (39%, 34%, 9%, 5%, ...) are extractable text. The tenant names are rendered as logo images and yield nothing from text extraction. Tests: (a) the system surfaces the percentages it has rather than refusing to answer, (b) either uses vision/OCR on the logos or cross-references other pages (5, 13, 14) where Caesars and MGM appear as </w:t>
            </w:r>
            <w:r>
              <w:rPr>
                <w:sz w:val="20"/>
                <w:szCs w:val="20"/>
              </w:rPr>
              <w:lastRenderedPageBreak/>
              <w:t>named tenants in body text, (c) honestly states which parts are vision-extracted vs cross-referenced vs unknown. The wrong behavior is silently inventing tenant names.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DE9D1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Result: </w:t>
            </w:r>
          </w:p>
          <w:p w14:paraId="6AFFBBC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6FD3E515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4F869BD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F7678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0BF0C" w14:textId="77777777" w:rsidR="00326CD4" w:rsidRDefault="00000000">
            <w:r>
              <w:rPr>
                <w:sz w:val="20"/>
                <w:szCs w:val="20"/>
              </w:rPr>
              <w:t>What are VICI's 10 trophy assets on the Las Vegas Strip?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E071A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Map-rendered property names + intra-document cross-page synthesis.</w:t>
            </w:r>
          </w:p>
          <w:p w14:paraId="10233ED3" w14:textId="77777777" w:rsidR="00326CD4" w:rsidRDefault="00000000">
            <w:r>
              <w:rPr>
                <w:sz w:val="20"/>
                <w:szCs w:val="20"/>
              </w:rPr>
              <w:t xml:space="preserve">VICI page 14 claims “10 Trophy Assets on the Las Vegas Strip” but text extraction yields only “MGM Grand” — the other 9 names are baked into the map graphic. However, pages 13 (Recently Reimagined Assets) and 16 (Sports Triangle) name several of the same properties in body text: Caesars Palace, Venetian Resort Las Vegas, MGM Grand, Mandalay Bay, Park MGM, New York-New York, Excalibur, Luxor.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system performs cross-page synthesis within the same document to reconstruct what the map graphic encoded, rather than returning the one name </w:t>
            </w:r>
            <w:proofErr w:type="spellStart"/>
            <w:r>
              <w:rPr>
                <w:sz w:val="20"/>
                <w:szCs w:val="20"/>
              </w:rPr>
              <w:t>pdftotext</w:t>
            </w:r>
            <w:proofErr w:type="spellEnd"/>
            <w:r>
              <w:rPr>
                <w:sz w:val="20"/>
                <w:szCs w:val="20"/>
              </w:rPr>
              <w:t xml:space="preserve"> caught or hallucinating from prior knowledge.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DD7FB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00C37BE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6675C800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34E5568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5655D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E8DF5" w14:textId="77777777" w:rsidR="00326CD4" w:rsidRDefault="00000000">
            <w:r>
              <w:rPr>
                <w:sz w:val="20"/>
                <w:szCs w:val="20"/>
              </w:rPr>
              <w:t>What share of Realty Income's annualized base rent comes from each U.S. region vs Europe?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8BC81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Spatial-layout parsing of map-embedded data.</w:t>
            </w:r>
          </w:p>
          <w:p w14:paraId="6E648C28" w14:textId="77777777" w:rsidR="00326CD4" w:rsidRDefault="00000000">
            <w:r>
              <w:rPr>
                <w:sz w:val="20"/>
                <w:szCs w:val="20"/>
              </w:rPr>
              <w:t xml:space="preserve">Page 15 of Realty Income's deck shows seven U.S. regions and the U.K./Europe with each region's property count and ABR percentage placed at a geographic position on a world map. Text extraction yields a jumbled sequence (“PACIFIC NORTHWEST 235 1.6% MIDWEST 4,002 20.3% NORTHEAST 1,036 9.2%...”) where adjacency between region label and its numbers is broken.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parser preserves spatial groupings (vision-aware extraction, layout-aware </w:t>
            </w:r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, Unstructured with </w:t>
            </w:r>
            <w:proofErr w:type="spellStart"/>
            <w:r>
              <w:rPr>
                <w:sz w:val="20"/>
                <w:szCs w:val="20"/>
              </w:rPr>
              <w:t>hi_res</w:t>
            </w:r>
            <w:proofErr w:type="spellEnd"/>
            <w:r>
              <w:rPr>
                <w:sz w:val="20"/>
                <w:szCs w:val="20"/>
              </w:rPr>
              <w:t xml:space="preserve"> mode) or whether the system at minimum flags that the page has been processed with reduced fidelity.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1DEEF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1FB228CE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10D4203C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1392C74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4F30C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CFF2E" w14:textId="77777777" w:rsidR="00326CD4" w:rsidRDefault="00000000">
            <w:r>
              <w:rPr>
                <w:sz w:val="20"/>
                <w:szCs w:val="20"/>
              </w:rPr>
              <w:t xml:space="preserve">Which markets </w:t>
            </w:r>
            <w:proofErr w:type="gramStart"/>
            <w:r>
              <w:rPr>
                <w:sz w:val="20"/>
                <w:szCs w:val="20"/>
              </w:rPr>
              <w:t>does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EastGroup</w:t>
            </w:r>
            <w:proofErr w:type="spellEnd"/>
            <w:r>
              <w:rPr>
                <w:sz w:val="20"/>
                <w:szCs w:val="20"/>
              </w:rPr>
              <w:t xml:space="preserve"> operate in, ranked by importance?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6702A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Multi-page synthesis with honest limitation reporting.</w:t>
            </w:r>
          </w:p>
          <w:p w14:paraId="3EF9B6AD" w14:textId="77777777" w:rsidR="00326CD4" w:rsidRDefault="00000000">
            <w:r>
              <w:rPr>
                <w:sz w:val="20"/>
                <w:szCs w:val="20"/>
              </w:rPr>
              <w:t xml:space="preserve">Page 6 of EGP's deck is a U.S. map with city-level dots whose sizes encode property count — fully unreadable from text. Page 8 has the state-level breakdown by ABR (Texas 35%, Florida 25%, California 15%, Arizona 8%, North Carolina 5%, Other 12%).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system retrieves both pages, returns the quantitative state-level data from page 8, and honestly notes that page 6's city-level granularity is not extractable from text rather than fabricating per-city counts.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1E643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514B62E5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541DBAC4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3E7168FA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4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47D23" w14:textId="77777777" w:rsidR="00326CD4" w:rsidRDefault="00000000">
            <w:r>
              <w:rPr>
                <w:b/>
                <w:bCs/>
                <w:color w:val="1F4E79"/>
              </w:rPr>
              <w:t>Group E — Ingestion quality (parser must not be fooled by sparse pages)</w:t>
            </w:r>
          </w:p>
        </w:tc>
      </w:tr>
      <w:tr w:rsidR="00326CD4" w14:paraId="7BC1E28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520AE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37AB1" w14:textId="77777777" w:rsidR="00326CD4" w:rsidRDefault="00000000">
            <w:r>
              <w:rPr>
                <w:sz w:val="20"/>
                <w:szCs w:val="20"/>
              </w:rPr>
              <w:t xml:space="preserve">What is </w:t>
            </w:r>
            <w:proofErr w:type="spellStart"/>
            <w:r>
              <w:rPr>
                <w:sz w:val="20"/>
                <w:szCs w:val="20"/>
              </w:rPr>
              <w:t>EastGroup's</w:t>
            </w:r>
            <w:proofErr w:type="spellEnd"/>
            <w:r>
              <w:rPr>
                <w:sz w:val="20"/>
                <w:szCs w:val="20"/>
              </w:rPr>
              <w:t xml:space="preserve"> strategy for property selection?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BD14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Content-density filtering during ingestion.</w:t>
            </w:r>
          </w:p>
          <w:p w14:paraId="78E08DDE" w14:textId="77777777" w:rsidR="00326CD4" w:rsidRDefault="00000000">
            <w:r>
              <w:rPr>
                <w:sz w:val="20"/>
                <w:szCs w:val="20"/>
              </w:rPr>
              <w:lastRenderedPageBreak/>
              <w:t xml:space="preserve">~30 of EGP's 40 pages are property photos with one-line captions (“Mesa Gateway / Phoenix, AZ / 5”). The substantive strategy content lives on roughly pages 3, 6, 9, 11. Tests whether the ingestion pipeline either (a) filters out low-content pages, (b) weights chunk relevance by length/density so empty caption chunks don't outrank substantive ones, or (c) uses vision to extract more information from the photo pages. Naive </w:t>
            </w:r>
            <w:proofErr w:type="spellStart"/>
            <w:r>
              <w:rPr>
                <w:sz w:val="20"/>
                <w:szCs w:val="20"/>
              </w:rPr>
              <w:t>chunkers</w:t>
            </w:r>
            <w:proofErr w:type="spellEnd"/>
            <w:r>
              <w:rPr>
                <w:sz w:val="20"/>
                <w:szCs w:val="20"/>
              </w:rPr>
              <w:t xml:space="preserve"> create ~30 tiny chunks of “Property Name / City, State” that pollute retrieval — when a user asks about strategy, the system can return “Mesa Gateway / Phoenix, AZ” as a relevant result.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F632D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Result: </w:t>
            </w:r>
          </w:p>
          <w:p w14:paraId="387C93F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Answer: </w:t>
            </w:r>
          </w:p>
          <w:p w14:paraId="1E45EDD6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5984C3E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D9483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21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75C81" w14:textId="77777777" w:rsidR="00326CD4" w:rsidRDefault="00000000">
            <w:r>
              <w:rPr>
                <w:sz w:val="20"/>
                <w:szCs w:val="20"/>
              </w:rPr>
              <w:t>What is BXP's key strategy?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7E74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Structured-list preservation during chunking + multi-doc synthesis.</w:t>
            </w:r>
          </w:p>
          <w:p w14:paraId="4D740DD2" w14:textId="77777777" w:rsidR="00326CD4" w:rsidRDefault="00000000">
            <w:r>
              <w:rPr>
                <w:sz w:val="20"/>
                <w:szCs w:val="20"/>
              </w:rPr>
              <w:t xml:space="preserve">Investor Day page 50 (“SUMMARY: Current Strengths / Action Plan”) is a 2-column slide with six bullet points on each side — a structured list. Tests: (a) </w:t>
            </w:r>
            <w:proofErr w:type="spellStart"/>
            <w:r>
              <w:rPr>
                <w:sz w:val="20"/>
                <w:szCs w:val="20"/>
              </w:rPr>
              <w:t>chunker</w:t>
            </w:r>
            <w:proofErr w:type="spellEnd"/>
            <w:r>
              <w:rPr>
                <w:sz w:val="20"/>
                <w:szCs w:val="20"/>
              </w:rPr>
              <w:t xml:space="preserve"> keeps the full SUMMARY slide together rather than fragmenting the bullets across multiple chunks, (b) the system retrieves the Investor Day strategic frame and the Q4 deck execution-status updates that reinforce it. A system that fragments the SUMMARY slide returns generic strategy boilerplate; a system that preserves it returns the actual 6-point action plan.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30E6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3F8D3CF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2868DA20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59339ED8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4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C83A8" w14:textId="77777777" w:rsidR="00326CD4" w:rsidRDefault="00000000">
            <w:r>
              <w:rPr>
                <w:b/>
                <w:bCs/>
                <w:color w:val="1F4E79"/>
              </w:rPr>
              <w:t>Group F — Cross-document synthesis (different companies, same theme/sector)</w:t>
            </w:r>
          </w:p>
        </w:tc>
      </w:tr>
      <w:tr w:rsidR="00326CD4" w14:paraId="34F9A0C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1A401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D848B" w14:textId="77777777" w:rsidR="00326CD4" w:rsidRDefault="00000000">
            <w:r>
              <w:rPr>
                <w:sz w:val="20"/>
                <w:szCs w:val="20"/>
              </w:rPr>
              <w:t>How is AI affecting demand across the different real estate sectors represented in these documents?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9B9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Cross-document retrieval diversification (MMR or per-doc quota).</w:t>
            </w:r>
          </w:p>
          <w:p w14:paraId="2187DA8E" w14:textId="77777777" w:rsidR="00326CD4" w:rsidRDefault="00000000">
            <w:r>
              <w:rPr>
                <w:sz w:val="20"/>
                <w:szCs w:val="20"/>
              </w:rPr>
              <w:t xml:space="preserve">Digital Realty has 100+ AI mentions and ~6 slides explicitly on AI demand; BXP has a different AI angle (favoring CBD gateway markets); PSA frames AI as an internal efficiency tool, not a demand driver; VICI / Realty Income / Simon / EGP have minimal AI content. Without retrieval diversification, </w:t>
            </w:r>
            <w:proofErr w:type="gramStart"/>
            <w:r>
              <w:rPr>
                <w:sz w:val="20"/>
                <w:szCs w:val="20"/>
              </w:rPr>
              <w:t>top-K</w:t>
            </w:r>
            <w:proofErr w:type="gramEnd"/>
            <w:r>
              <w:rPr>
                <w:sz w:val="20"/>
                <w:szCs w:val="20"/>
              </w:rPr>
              <w:t xml:space="preserve"> retrieval will be ~8 chunks all from DLR and the answer will be “AI drives 2.7x data center growth” — missing the sector comparison the user asked for.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system uses MMR, per-document quotas, or query decomposition to spread retrieval across companies.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8463C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4B0B650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0F2FB9DA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25E6DA3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A0886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5DDCA" w14:textId="77777777" w:rsidR="00326CD4" w:rsidRDefault="00000000">
            <w:r>
              <w:rPr>
                <w:sz w:val="20"/>
                <w:szCs w:val="20"/>
              </w:rPr>
              <w:t>VICI and Realty Income both mention gaming exposure. How are their gaming portfolios different?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A5171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Cross-document same-sector framing with balanced retrieval.</w:t>
            </w:r>
          </w:p>
          <w:p w14:paraId="3DF34BB2" w14:textId="77777777" w:rsidR="00326CD4" w:rsidRDefault="00000000">
            <w:r>
              <w:rPr>
                <w:sz w:val="20"/>
                <w:szCs w:val="20"/>
              </w:rPr>
              <w:t xml:space="preserve">VICI is ~100% gaming/experiential (54 gaming + 39 experiential properties; Caesars and MGM are 39% and 34% of rent). Realty Income treats gaming as one diversification segment among many (retail / industrial / gaming / data centers / credit).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whether the system balances retrieval across the two documents rather than letting VICI's gaming-heavy content dominate the </w:t>
            </w:r>
            <w:proofErr w:type="gramStart"/>
            <w:r>
              <w:rPr>
                <w:sz w:val="20"/>
                <w:szCs w:val="20"/>
              </w:rPr>
              <w:t>top-K</w:t>
            </w:r>
            <w:proofErr w:type="gramEnd"/>
            <w:r>
              <w:rPr>
                <w:sz w:val="20"/>
                <w:szCs w:val="20"/>
              </w:rPr>
              <w:t xml:space="preserve">, and </w:t>
            </w:r>
            <w:r>
              <w:rPr>
                <w:sz w:val="20"/>
                <w:szCs w:val="20"/>
              </w:rPr>
              <w:lastRenderedPageBreak/>
              <w:t>whether generation produces a comparative framing rather than dumping VICI facts onto a Realty Income question.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BB7DE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Result: </w:t>
            </w:r>
          </w:p>
          <w:p w14:paraId="0BB98F13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68B2940E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  <w:tr w:rsidR="00326CD4" w14:paraId="136C69A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E56DC" w14:textId="77777777" w:rsidR="00326CD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6F875" w14:textId="77777777" w:rsidR="00326CD4" w:rsidRDefault="00000000">
            <w:r>
              <w:rPr>
                <w:sz w:val="20"/>
                <w:szCs w:val="20"/>
              </w:rPr>
              <w:t>What is the 2026 FFO outlook for each REIT in the corpus?</w:t>
            </w:r>
          </w:p>
        </w:tc>
        <w:tc>
          <w:tcPr>
            <w:tcW w:w="68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685BB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Per-company disciplined retrieval + honest negatives.</w:t>
            </w:r>
          </w:p>
          <w:p w14:paraId="2355400F" w14:textId="77777777" w:rsidR="00326CD4" w:rsidRDefault="00000000">
            <w:r>
              <w:rPr>
                <w:sz w:val="20"/>
                <w:szCs w:val="20"/>
              </w:rPr>
              <w:t>BXP discloses $6.96 midpoint 2026 FFO/share. PSA standalone gives 2026 ranges (revenue -2.2% to 0.0%, NOI -3.9% to -0.5%); PSA merger pro-forma gives FFO-neutral 2026 → $0.10–0.20 accretive 2027 → $0.35–0.50 at stabilization. VICI, DLR, Realty Income, EGP, Simon do not provide 2026 FFO/share guidance in their decks. Tests whether the system retrieves separately per company, distinguishes standalone from pro-forma for PSA, and honestly reports “not disclosed in these documents” for the others rather than guessing or fabricating a number from training-data knowledge.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75339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Result: </w:t>
            </w:r>
          </w:p>
          <w:p w14:paraId="1A906808" w14:textId="77777777" w:rsidR="00326CD4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</w:p>
          <w:p w14:paraId="30F3C8D5" w14:textId="77777777" w:rsidR="00326CD4" w:rsidRDefault="00000000">
            <w:r>
              <w:rPr>
                <w:b/>
                <w:bCs/>
                <w:sz w:val="20"/>
                <w:szCs w:val="20"/>
              </w:rPr>
              <w:t xml:space="preserve">Note: </w:t>
            </w:r>
          </w:p>
        </w:tc>
      </w:tr>
    </w:tbl>
    <w:p w14:paraId="411CD539" w14:textId="77777777" w:rsidR="00326CD4" w:rsidRDefault="00000000">
      <w:pPr>
        <w:spacing w:before="360" w:after="120"/>
      </w:pPr>
      <w:r>
        <w:rPr>
          <w:b/>
          <w:bCs/>
          <w:color w:val="1F4E79"/>
          <w:sz w:val="28"/>
          <w:szCs w:val="28"/>
        </w:rPr>
        <w:t>Candidate self-summary</w:t>
      </w:r>
    </w:p>
    <w:p w14:paraId="0A2CCB18" w14:textId="77777777" w:rsidR="00326CD4" w:rsidRDefault="00000000">
      <w:pPr>
        <w:spacing w:after="200"/>
      </w:pPr>
      <w:r>
        <w:rPr>
          <w:i/>
          <w:iCs/>
          <w:color w:val="555555"/>
          <w:sz w:val="20"/>
          <w:szCs w:val="20"/>
        </w:rPr>
        <w:t>Fill in after completing the battery.</w:t>
      </w:r>
    </w:p>
    <w:p w14:paraId="737813F5" w14:textId="77777777" w:rsidR="00326CD4" w:rsidRDefault="00000000">
      <w:pPr>
        <w:spacing w:after="200"/>
      </w:pPr>
      <w:r>
        <w:rPr>
          <w:b/>
          <w:bCs/>
        </w:rPr>
        <w:t xml:space="preserve">Overall self-assessment: </w:t>
      </w:r>
      <w:r>
        <w:t>Of 24 questions, my system passed ____, partially handled ____, and failed ____.</w:t>
      </w:r>
    </w:p>
    <w:p w14:paraId="60A29FB4" w14:textId="77777777" w:rsidR="00326CD4" w:rsidRDefault="00000000">
      <w:pPr>
        <w:spacing w:after="200"/>
      </w:pPr>
      <w:r>
        <w:rPr>
          <w:b/>
          <w:bCs/>
        </w:rPr>
        <w:t xml:space="preserve">Strongest capability demonstrated: </w:t>
      </w:r>
      <w:r>
        <w:t>______________________________________________________________________</w:t>
      </w:r>
    </w:p>
    <w:p w14:paraId="59D5A66A" w14:textId="77777777" w:rsidR="00326CD4" w:rsidRDefault="00000000">
      <w:pPr>
        <w:spacing w:after="200"/>
      </w:pPr>
      <w:r>
        <w:rPr>
          <w:b/>
          <w:bCs/>
        </w:rPr>
        <w:t xml:space="preserve">Single biggest gap in my system, and what I would build next to close it: </w:t>
      </w:r>
      <w:r>
        <w:t>______________________________________________________________________</w:t>
      </w:r>
    </w:p>
    <w:sectPr w:rsidR="00326CD4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C0CE4"/>
    <w:multiLevelType w:val="hybridMultilevel"/>
    <w:tmpl w:val="84680E34"/>
    <w:lvl w:ilvl="0" w:tplc="46269EB4">
      <w:start w:val="1"/>
      <w:numFmt w:val="bullet"/>
      <w:lvlText w:val="●"/>
      <w:lvlJc w:val="left"/>
      <w:pPr>
        <w:ind w:left="720" w:hanging="360"/>
      </w:pPr>
    </w:lvl>
    <w:lvl w:ilvl="1" w:tplc="E1A052F0">
      <w:start w:val="1"/>
      <w:numFmt w:val="bullet"/>
      <w:lvlText w:val="○"/>
      <w:lvlJc w:val="left"/>
      <w:pPr>
        <w:ind w:left="1440" w:hanging="360"/>
      </w:pPr>
    </w:lvl>
    <w:lvl w:ilvl="2" w:tplc="141824A0">
      <w:start w:val="1"/>
      <w:numFmt w:val="bullet"/>
      <w:lvlText w:val="■"/>
      <w:lvlJc w:val="left"/>
      <w:pPr>
        <w:ind w:left="2160" w:hanging="360"/>
      </w:pPr>
    </w:lvl>
    <w:lvl w:ilvl="3" w:tplc="8E72567E">
      <w:start w:val="1"/>
      <w:numFmt w:val="bullet"/>
      <w:lvlText w:val="●"/>
      <w:lvlJc w:val="left"/>
      <w:pPr>
        <w:ind w:left="2880" w:hanging="360"/>
      </w:pPr>
    </w:lvl>
    <w:lvl w:ilvl="4" w:tplc="B7C0C05A">
      <w:start w:val="1"/>
      <w:numFmt w:val="bullet"/>
      <w:lvlText w:val="○"/>
      <w:lvlJc w:val="left"/>
      <w:pPr>
        <w:ind w:left="3600" w:hanging="360"/>
      </w:pPr>
    </w:lvl>
    <w:lvl w:ilvl="5" w:tplc="F472484E">
      <w:start w:val="1"/>
      <w:numFmt w:val="bullet"/>
      <w:lvlText w:val="■"/>
      <w:lvlJc w:val="left"/>
      <w:pPr>
        <w:ind w:left="4320" w:hanging="360"/>
      </w:pPr>
    </w:lvl>
    <w:lvl w:ilvl="6" w:tplc="32BEEB1A">
      <w:start w:val="1"/>
      <w:numFmt w:val="bullet"/>
      <w:lvlText w:val="●"/>
      <w:lvlJc w:val="left"/>
      <w:pPr>
        <w:ind w:left="5040" w:hanging="360"/>
      </w:pPr>
    </w:lvl>
    <w:lvl w:ilvl="7" w:tplc="C7E2D0F4">
      <w:start w:val="1"/>
      <w:numFmt w:val="bullet"/>
      <w:lvlText w:val="●"/>
      <w:lvlJc w:val="left"/>
      <w:pPr>
        <w:ind w:left="5760" w:hanging="360"/>
      </w:pPr>
    </w:lvl>
    <w:lvl w:ilvl="8" w:tplc="D75C6586">
      <w:start w:val="1"/>
      <w:numFmt w:val="bullet"/>
      <w:lvlText w:val="●"/>
      <w:lvlJc w:val="left"/>
      <w:pPr>
        <w:ind w:left="6480" w:hanging="360"/>
      </w:pPr>
    </w:lvl>
  </w:abstractNum>
  <w:num w:numId="1" w16cid:durableId="910702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CD4"/>
    <w:rsid w:val="00326CD4"/>
    <w:rsid w:val="007C1E93"/>
    <w:rsid w:val="00B6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3B4E"/>
  <w15:docId w15:val="{1D588F48-3ED6-4C6A-A8C7-21A29678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2441</Words>
  <Characters>13918</Characters>
  <Application>Microsoft Office Word</Application>
  <DocSecurity>0</DocSecurity>
  <Lines>115</Lines>
  <Paragraphs>32</Paragraphs>
  <ScaleCrop>false</ScaleCrop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Vectera RAG Assessment — Self-Evaluation Battery</dc:title>
  <dc:creator>Vectera</dc:creator>
  <cp:lastModifiedBy>Prashant Tewari</cp:lastModifiedBy>
  <cp:revision>2</cp:revision>
  <dcterms:created xsi:type="dcterms:W3CDTF">2026-05-18T21:37:00Z</dcterms:created>
  <dcterms:modified xsi:type="dcterms:W3CDTF">2026-05-18T21:37:00Z</dcterms:modified>
</cp:coreProperties>
</file>