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Indian Market Portfolio Intelligence Agent</w:t>
      </w:r>
    </w:p>
    <w:p>
      <w:pPr>
        <w:spacing w:after="80"/>
        <w:jc w:val="center"/>
      </w:pPr>
      <w:r>
        <w:rPr>
          <w:i/>
        </w:rPr>
        <w:t>Build specification for a Zerodha/Kite-based daily stock and mutual fund insights agent</w:t>
      </w:r>
    </w:p>
    <w:p>
      <w:pPr>
        <w:spacing w:after="80"/>
        <w:jc w:val="center"/>
      </w:pPr>
      <w:r>
        <w:t>Prepared for Codex-assisted implementation | Version 1.0 | July 2026</w:t>
      </w:r>
    </w:p>
    <w:tbl>
      <w:tblPr>
        <w:tblStyle w:val="TableGrid"/>
        <w:tblW w:type="auto" w:w="0"/>
        <w:tblLook w:firstColumn="1" w:firstRow="1" w:lastColumn="0" w:lastRow="0" w:noHBand="0" w:noVBand="1" w:val="04A0"/>
      </w:tblPr>
      <w:tblGrid>
        <w:gridCol w:w="10224"/>
      </w:tblGrid>
      <w:tr>
        <w:tc>
          <w:tcPr>
            <w:tcW w:type="dxa" w:w="10224"/>
            <w:shd w:fill="FFF2CC"/>
            <w:vAlign w:val="top"/>
          </w:tcPr>
          <w:p>
            <w:pPr>
              <w:spacing w:after="0"/>
            </w:pPr>
            <w:r/>
            <w:r>
              <w:rPr>
                <w:b w:val="0"/>
              </w:rPr>
              <w:t>Important boundary: This system should be built as decision support, not autonomous investment advice or automated trading. It can summarize evidence, flag risks, suggest actions with confidence levels, and ask for human confirmation. It should not place trades automatically or present predictions as guarantees. For public/commercial use in India, SEBI Investment Adviser / Research Analyst compliance must be reviewed with a qualified professional.</w:t>
            </w:r>
          </w:p>
        </w:tc>
      </w:tr>
    </w:tbl>
    <w:p>
      <w:pPr>
        <w:spacing w:after="80"/>
      </w:pPr>
    </w:p>
    <w:p>
      <w:pPr>
        <w:pStyle w:val="Heading1"/>
        <w:spacing w:after="80"/>
      </w:pPr>
      <w:r>
        <w:t>1. Objective</w:t>
      </w:r>
    </w:p>
    <w:p>
      <w:pPr>
        <w:spacing w:after="80"/>
      </w:pPr>
      <w:r>
        <w:t>The goal is to build a daily morning agent for the Indian stock market that connects to Zerodha, reads the portfolio, analyzes the last 24 trading days and last 24 hours of relevant events, and produces a clear, evidence-backed report on what changed, what needs attention, and whether each position is still aligned with the user’s investment thesis.</w:t>
      </w:r>
    </w:p>
    <w:p>
      <w:pPr>
        <w:spacing w:after="80"/>
      </w:pPr>
      <w:r>
        <w:t>The agent should initially be read-only and advisory. It should never execute trades unless a future version introduces an explicit, multi-step human approval flow.</w:t>
      </w:r>
    </w:p>
    <w:p>
      <w:pPr>
        <w:pStyle w:val="Heading1"/>
        <w:spacing w:after="80"/>
      </w:pPr>
      <w:r>
        <w:t>2. Design Principles</w:t>
      </w:r>
    </w:p>
    <w:p>
      <w:pPr>
        <w:spacing w:after="80"/>
      </w:pPr>
      <w:r>
        <w:t>Explain before recommending: every Hold / Watch / Trim / Exit indication must be supported by data and citations.</w:t>
      </w:r>
    </w:p>
    <w:p>
      <w:pPr>
        <w:spacing w:after="80"/>
      </w:pPr>
      <w:r>
        <w:t>Thesis-driven investing: recommendations should be based on the user’s original reason for owning the stock, not only price movement.</w:t>
      </w:r>
    </w:p>
    <w:p>
      <w:pPr>
        <w:spacing w:after="80"/>
      </w:pPr>
      <w:r>
        <w:t>Indian-market aware: NSE/BSE symbols, corporate actions, results calendar, exchange announcements, quarterly filings, sector context, tax considerations, and market holidays must be handled.</w:t>
      </w:r>
    </w:p>
    <w:p>
      <w:pPr>
        <w:spacing w:after="80"/>
      </w:pPr>
      <w:r>
        <w:t>Human-in-the-loop: the agent may recommend, but the investor decides.</w:t>
      </w:r>
    </w:p>
    <w:p>
      <w:pPr>
        <w:spacing w:after="80"/>
      </w:pPr>
      <w:r>
        <w:t>Auditability: store every daily report, input snapshot, data source, score, and recommendation reason.</w:t>
      </w:r>
    </w:p>
    <w:p>
      <w:pPr>
        <w:pStyle w:val="Heading1"/>
        <w:spacing w:after="80"/>
      </w:pPr>
      <w:r>
        <w:t>3. Core Use Cases</w:t>
      </w:r>
    </w:p>
    <w:p>
      <w:pPr>
        <w:pStyle w:val="ListBullet"/>
        <w:spacing w:after="80"/>
      </w:pPr>
      <w:r>
        <w:rPr>
          <w:b/>
        </w:rPr>
        <w:t>Daily portfolio digest</w:t>
      </w:r>
      <w:r>
        <w:t>Summarize portfolio P&amp;L, biggest movers, new risks, thesis changes, and near-term events before market open.</w:t>
      </w:r>
    </w:p>
    <w:p>
      <w:pPr>
        <w:pStyle w:val="ListBullet"/>
        <w:spacing w:after="80"/>
      </w:pPr>
      <w:r>
        <w:rPr>
          <w:b/>
        </w:rPr>
        <w:t>Stock action classification</w:t>
      </w:r>
      <w:r>
        <w:t>Classify each holding as Hold, Watch, Accumulate, Trim, or Exit Candidate with confidence and reasoning.</w:t>
      </w:r>
    </w:p>
    <w:p>
      <w:pPr>
        <w:pStyle w:val="ListBullet"/>
        <w:spacing w:after="80"/>
      </w:pPr>
      <w:r>
        <w:rPr>
          <w:b/>
        </w:rPr>
        <w:t>Risk monitoring</w:t>
      </w:r>
      <w:r>
        <w:t>Flag concentration, sector overexposure, drawdowns, volatility spikes, corporate actions, and news risk.</w:t>
      </w:r>
    </w:p>
    <w:p>
      <w:pPr>
        <w:pStyle w:val="ListBullet"/>
        <w:spacing w:after="80"/>
      </w:pPr>
      <w:r>
        <w:rPr>
          <w:b/>
        </w:rPr>
        <w:t>Evidence tracking</w:t>
      </w:r>
      <w:r>
        <w:t>Attach source links to filings, exchange announcements, earnings transcripts, investor presentations, and high-quality news.</w:t>
      </w:r>
    </w:p>
    <w:p>
      <w:pPr>
        <w:pStyle w:val="ListBullet"/>
        <w:spacing w:after="80"/>
      </w:pPr>
      <w:r>
        <w:rPr>
          <w:b/>
        </w:rPr>
        <w:t>Mutual fund roadmap</w:t>
      </w:r>
      <w:r>
        <w:t>Add Coin/mutual fund holdings, XIRR, overlap, category comparison, expense ratio, rolling returns, and portfolio-level asset allocation.</w:t>
      </w:r>
    </w:p>
    <w:p>
      <w:pPr>
        <w:pStyle w:val="Heading1"/>
        <w:spacing w:after="80"/>
      </w:pPr>
      <w:r>
        <w:t>4. Permissible Guardrails and Product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b/>
              </w:rPr>
              <w:t>Area</w:t>
            </w:r>
          </w:p>
        </w:tc>
        <w:tc>
          <w:tcPr>
            <w:tcW w:type="dxa" w:w="3408"/>
            <w:vAlign w:val="top"/>
            <w:shd w:fill="D9EAF7"/>
          </w:tcPr>
          <w:p>
            <w:pPr>
              <w:spacing w:after="0"/>
            </w:pPr>
            <w:r/>
            <w:r>
              <w:rPr>
                <w:b/>
              </w:rPr>
              <w:t>Allowed</w:t>
            </w:r>
          </w:p>
        </w:tc>
        <w:tc>
          <w:tcPr>
            <w:tcW w:type="dxa" w:w="3408"/>
            <w:vAlign w:val="top"/>
            <w:shd w:fill="D9EAF7"/>
          </w:tcPr>
          <w:p>
            <w:pPr>
              <w:spacing w:after="0"/>
            </w:pPr>
            <w:r/>
            <w:r>
              <w:rPr>
                <w:b/>
              </w:rPr>
              <w:t>Avoid / Require Extra Review</w:t>
            </w:r>
          </w:p>
        </w:tc>
      </w:tr>
      <w:tr>
        <w:tc>
          <w:tcPr>
            <w:tcW w:type="dxa" w:w="3408"/>
            <w:vAlign w:val="top"/>
          </w:tcPr>
          <w:p>
            <w:pPr>
              <w:spacing w:after="0"/>
            </w:pPr>
            <w:r/>
            <w:r>
              <w:rPr>
                <w:b w:val="0"/>
              </w:rPr>
              <w:t>Personal read-only dashboard</w:t>
            </w:r>
          </w:p>
        </w:tc>
        <w:tc>
          <w:tcPr>
            <w:tcW w:type="dxa" w:w="3408"/>
            <w:vAlign w:val="top"/>
          </w:tcPr>
          <w:p>
            <w:pPr>
              <w:spacing w:after="0"/>
            </w:pPr>
            <w:r/>
            <w:r>
              <w:rPr>
                <w:b w:val="0"/>
              </w:rPr>
              <w:t>Portfolio analysis, risk flags, thesis checks, evidence-based suggestions.</w:t>
            </w:r>
          </w:p>
        </w:tc>
        <w:tc>
          <w:tcPr>
            <w:tcW w:type="dxa" w:w="3408"/>
            <w:vAlign w:val="top"/>
          </w:tcPr>
          <w:p>
            <w:pPr>
              <w:spacing w:after="0"/>
            </w:pPr>
            <w:r/>
            <w:r>
              <w:rPr>
                <w:b w:val="0"/>
              </w:rPr>
              <w:t>Autonomous trading without explicit consent.</w:t>
            </w:r>
          </w:p>
        </w:tc>
      </w:tr>
      <w:tr>
        <w:tc>
          <w:tcPr>
            <w:tcW w:type="dxa" w:w="3408"/>
            <w:vAlign w:val="top"/>
          </w:tcPr>
          <w:p>
            <w:pPr>
              <w:spacing w:after="0"/>
            </w:pPr>
            <w:r/>
            <w:r>
              <w:rPr>
                <w:b w:val="0"/>
              </w:rPr>
              <w:t>Recommendations</w:t>
            </w:r>
          </w:p>
        </w:tc>
        <w:tc>
          <w:tcPr>
            <w:tcW w:type="dxa" w:w="3408"/>
            <w:vAlign w:val="top"/>
          </w:tcPr>
          <w:p>
            <w:pPr>
              <w:spacing w:after="0"/>
            </w:pPr>
            <w:r/>
            <w:r>
              <w:rPr>
                <w:b w:val="0"/>
              </w:rPr>
              <w:t>Use bounded language: Hold / Watch / Trim / Exit Candidate, with reasons and confidence.</w:t>
            </w:r>
          </w:p>
        </w:tc>
        <w:tc>
          <w:tcPr>
            <w:tcW w:type="dxa" w:w="3408"/>
            <w:vAlign w:val="top"/>
          </w:tcPr>
          <w:p>
            <w:pPr>
              <w:spacing w:after="0"/>
            </w:pPr>
            <w:r/>
            <w:r>
              <w:rPr>
                <w:b w:val="0"/>
              </w:rPr>
              <w:t>Guaranteed claims such as “this will go up” or “sell tomorrow for sure.”</w:t>
            </w:r>
          </w:p>
        </w:tc>
      </w:tr>
      <w:tr>
        <w:tc>
          <w:tcPr>
            <w:tcW w:type="dxa" w:w="3408"/>
            <w:vAlign w:val="top"/>
          </w:tcPr>
          <w:p>
            <w:pPr>
              <w:spacing w:after="0"/>
            </w:pPr>
            <w:r/>
            <w:r>
              <w:rPr>
                <w:b w:val="0"/>
              </w:rPr>
              <w:t>Execution</w:t>
            </w:r>
          </w:p>
        </w:tc>
        <w:tc>
          <w:tcPr>
            <w:tcW w:type="dxa" w:w="3408"/>
            <w:vAlign w:val="top"/>
          </w:tcPr>
          <w:p>
            <w:pPr>
              <w:spacing w:after="0"/>
            </w:pPr>
            <w:r/>
            <w:r>
              <w:rPr>
                <w:b w:val="0"/>
              </w:rPr>
              <w:t>Generate a review checklist or order draft only after explicit user request.</w:t>
            </w:r>
          </w:p>
        </w:tc>
        <w:tc>
          <w:tcPr>
            <w:tcW w:type="dxa" w:w="3408"/>
            <w:vAlign w:val="top"/>
          </w:tcPr>
          <w:p>
            <w:pPr>
              <w:spacing w:after="0"/>
            </w:pPr>
            <w:r/>
            <w:r>
              <w:rPr>
                <w:b w:val="0"/>
              </w:rPr>
              <w:t>Auto-place orders based only on AI output.</w:t>
            </w:r>
          </w:p>
        </w:tc>
      </w:tr>
      <w:tr>
        <w:tc>
          <w:tcPr>
            <w:tcW w:type="dxa" w:w="3408"/>
            <w:vAlign w:val="top"/>
          </w:tcPr>
          <w:p>
            <w:pPr>
              <w:spacing w:after="0"/>
            </w:pPr>
            <w:r/>
            <w:r>
              <w:rPr>
                <w:b w:val="0"/>
              </w:rPr>
              <w:t>Compliance</w:t>
            </w:r>
          </w:p>
        </w:tc>
        <w:tc>
          <w:tcPr>
            <w:tcW w:type="dxa" w:w="3408"/>
            <w:vAlign w:val="top"/>
          </w:tcPr>
          <w:p>
            <w:pPr>
              <w:spacing w:after="0"/>
            </w:pPr>
            <w:r/>
            <w:r>
              <w:rPr>
                <w:b w:val="0"/>
              </w:rPr>
              <w:t>Keep logs, disclaimers, source citations, and suitability inputs.</w:t>
            </w:r>
          </w:p>
        </w:tc>
        <w:tc>
          <w:tcPr>
            <w:tcW w:type="dxa" w:w="3408"/>
            <w:vAlign w:val="top"/>
          </w:tcPr>
          <w:p>
            <w:pPr>
              <w:spacing w:after="0"/>
            </w:pPr>
            <w:r/>
            <w:r>
              <w:rPr>
                <w:b w:val="0"/>
              </w:rPr>
              <w:t>Offering this to others commercially without SEBI IA/RA review.</w:t>
            </w:r>
          </w:p>
        </w:tc>
      </w:tr>
      <w:tr>
        <w:tc>
          <w:tcPr>
            <w:tcW w:type="dxa" w:w="3408"/>
            <w:vAlign w:val="top"/>
          </w:tcPr>
          <w:p>
            <w:pPr>
              <w:spacing w:after="0"/>
            </w:pPr>
            <w:r/>
            <w:r>
              <w:rPr>
                <w:b w:val="0"/>
              </w:rPr>
              <w:t>Data access</w:t>
            </w:r>
          </w:p>
        </w:tc>
        <w:tc>
          <w:tcPr>
            <w:tcW w:type="dxa" w:w="3408"/>
            <w:vAlign w:val="top"/>
          </w:tcPr>
          <w:p>
            <w:pPr>
              <w:spacing w:after="0"/>
            </w:pPr>
            <w:r/>
            <w:r>
              <w:rPr>
                <w:b w:val="0"/>
              </w:rPr>
              <w:t>Use least-privilege read-only credentials where possible.</w:t>
            </w:r>
          </w:p>
        </w:tc>
        <w:tc>
          <w:tcPr>
            <w:tcW w:type="dxa" w:w="3408"/>
            <w:vAlign w:val="top"/>
          </w:tcPr>
          <w:p>
            <w:pPr>
              <w:spacing w:after="0"/>
            </w:pPr>
            <w:r/>
            <w:r>
              <w:rPr>
                <w:b w:val="0"/>
              </w:rPr>
              <w:t>Storing access tokens unencrypted or sharing account data with unnecessary services.</w:t>
            </w:r>
          </w:p>
        </w:tc>
      </w:tr>
    </w:tbl>
    <w:p>
      <w:pPr>
        <w:spacing w:after="80"/>
      </w:pPr>
    </w:p>
    <w:p>
      <w:pPr>
        <w:pStyle w:val="Heading1"/>
        <w:spacing w:after="80"/>
      </w:pPr>
      <w:r>
        <w:t>5. Recommended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b/>
              </w:rPr>
              <w:t>Layer</w:t>
            </w:r>
          </w:p>
        </w:tc>
        <w:tc>
          <w:tcPr>
            <w:tcW w:type="dxa" w:w="3408"/>
            <w:vAlign w:val="top"/>
            <w:shd w:fill="D9EAF7"/>
          </w:tcPr>
          <w:p>
            <w:pPr>
              <w:spacing w:after="0"/>
            </w:pPr>
            <w:r/>
            <w:r>
              <w:rPr>
                <w:b/>
              </w:rPr>
              <w:t>Responsibility</w:t>
            </w:r>
          </w:p>
        </w:tc>
        <w:tc>
          <w:tcPr>
            <w:tcW w:type="dxa" w:w="3408"/>
            <w:vAlign w:val="top"/>
            <w:shd w:fill="D9EAF7"/>
          </w:tcPr>
          <w:p>
            <w:pPr>
              <w:spacing w:after="0"/>
            </w:pPr>
            <w:r/>
            <w:r>
              <w:rPr>
                <w:b/>
              </w:rPr>
              <w:t>Candidate Implementation</w:t>
            </w:r>
          </w:p>
        </w:tc>
      </w:tr>
      <w:tr>
        <w:tc>
          <w:tcPr>
            <w:tcW w:type="dxa" w:w="3408"/>
            <w:vAlign w:val="top"/>
          </w:tcPr>
          <w:p>
            <w:pPr>
              <w:spacing w:after="0"/>
            </w:pPr>
            <w:r/>
            <w:r>
              <w:rPr>
                <w:b w:val="0"/>
              </w:rPr>
              <w:t>Connectors</w:t>
            </w:r>
          </w:p>
        </w:tc>
        <w:tc>
          <w:tcPr>
            <w:tcW w:type="dxa" w:w="3408"/>
            <w:vAlign w:val="top"/>
          </w:tcPr>
          <w:p>
            <w:pPr>
              <w:spacing w:after="0"/>
            </w:pPr>
            <w:r/>
            <w:r>
              <w:rPr>
                <w:b w:val="0"/>
              </w:rPr>
              <w:t>Fetch holdings, positions, trades, instruments, historical prices, mutual fund data later.</w:t>
            </w:r>
          </w:p>
        </w:tc>
        <w:tc>
          <w:tcPr>
            <w:tcW w:type="dxa" w:w="3408"/>
            <w:vAlign w:val="top"/>
          </w:tcPr>
          <w:p>
            <w:pPr>
              <w:spacing w:after="0"/>
            </w:pPr>
            <w:r/>
            <w:r>
              <w:rPr>
                <w:b w:val="0"/>
              </w:rPr>
              <w:t>Zerodha Kite Connect / pyKiteConnect; optional third-party market data provider for gaps.</w:t>
            </w:r>
          </w:p>
        </w:tc>
      </w:tr>
      <w:tr>
        <w:tc>
          <w:tcPr>
            <w:tcW w:type="dxa" w:w="3408"/>
            <w:vAlign w:val="top"/>
          </w:tcPr>
          <w:p>
            <w:pPr>
              <w:spacing w:after="0"/>
            </w:pPr>
            <w:r/>
            <w:r>
              <w:rPr>
                <w:b w:val="0"/>
              </w:rPr>
              <w:t>Data Lake</w:t>
            </w:r>
          </w:p>
        </w:tc>
        <w:tc>
          <w:tcPr>
            <w:tcW w:type="dxa" w:w="3408"/>
            <w:vAlign w:val="top"/>
          </w:tcPr>
          <w:p>
            <w:pPr>
              <w:spacing w:after="0"/>
            </w:pPr>
            <w:r/>
            <w:r>
              <w:rPr>
                <w:b w:val="0"/>
              </w:rPr>
              <w:t>Store immutable daily snapshots and raw source payloads.</w:t>
            </w:r>
          </w:p>
        </w:tc>
        <w:tc>
          <w:tcPr>
            <w:tcW w:type="dxa" w:w="3408"/>
            <w:vAlign w:val="top"/>
          </w:tcPr>
          <w:p>
            <w:pPr>
              <w:spacing w:after="0"/>
            </w:pPr>
            <w:r/>
            <w:r>
              <w:rPr>
                <w:b w:val="0"/>
              </w:rPr>
              <w:t>PostgreSQL + object storage; start with SQLite/Postgres locally.</w:t>
            </w:r>
          </w:p>
        </w:tc>
      </w:tr>
      <w:tr>
        <w:tc>
          <w:tcPr>
            <w:tcW w:type="dxa" w:w="3408"/>
            <w:vAlign w:val="top"/>
          </w:tcPr>
          <w:p>
            <w:pPr>
              <w:spacing w:after="0"/>
            </w:pPr>
            <w:r/>
            <w:r>
              <w:rPr>
                <w:b w:val="0"/>
              </w:rPr>
              <w:t>Analytics Engine</w:t>
            </w:r>
          </w:p>
        </w:tc>
        <w:tc>
          <w:tcPr>
            <w:tcW w:type="dxa" w:w="3408"/>
            <w:vAlign w:val="top"/>
          </w:tcPr>
          <w:p>
            <w:pPr>
              <w:spacing w:after="0"/>
            </w:pPr>
            <w:r/>
            <w:r>
              <w:rPr>
                <w:b w:val="0"/>
              </w:rPr>
              <w:t>Calculate returns, drawdowns, volatility, technicals, valuation deltas, portfolio exposure.</w:t>
            </w:r>
          </w:p>
        </w:tc>
        <w:tc>
          <w:tcPr>
            <w:tcW w:type="dxa" w:w="3408"/>
            <w:vAlign w:val="top"/>
          </w:tcPr>
          <w:p>
            <w:pPr>
              <w:spacing w:after="0"/>
            </w:pPr>
            <w:r/>
            <w:r>
              <w:rPr>
                <w:b w:val="0"/>
              </w:rPr>
              <w:t>Python, pandas, numpy, ta-lib/pandas-ta, yfinance or paid India data APIs if licensed.</w:t>
            </w:r>
          </w:p>
        </w:tc>
      </w:tr>
      <w:tr>
        <w:tc>
          <w:tcPr>
            <w:tcW w:type="dxa" w:w="3408"/>
            <w:vAlign w:val="top"/>
          </w:tcPr>
          <w:p>
            <w:pPr>
              <w:spacing w:after="0"/>
            </w:pPr>
            <w:r/>
            <w:r>
              <w:rPr>
                <w:b w:val="0"/>
              </w:rPr>
              <w:t>Research Engine</w:t>
            </w:r>
          </w:p>
        </w:tc>
        <w:tc>
          <w:tcPr>
            <w:tcW w:type="dxa" w:w="3408"/>
            <w:vAlign w:val="top"/>
          </w:tcPr>
          <w:p>
            <w:pPr>
              <w:spacing w:after="0"/>
            </w:pPr>
            <w:r/>
            <w:r>
              <w:rPr>
                <w:b w:val="0"/>
              </w:rPr>
              <w:t>Fetch filings, exchange notices, news, earnings calls, investor presentations.</w:t>
            </w:r>
          </w:p>
        </w:tc>
        <w:tc>
          <w:tcPr>
            <w:tcW w:type="dxa" w:w="3408"/>
            <w:vAlign w:val="top"/>
          </w:tcPr>
          <w:p>
            <w:pPr>
              <w:spacing w:after="0"/>
            </w:pPr>
            <w:r/>
            <w:r>
              <w:rPr>
                <w:b w:val="0"/>
              </w:rPr>
              <w:t>NSE/BSE pages, company IR pages, RSS/news APIs, Screener/Tijori/Trendlyne alternatives if licensed.</w:t>
            </w:r>
          </w:p>
        </w:tc>
      </w:tr>
      <w:tr>
        <w:tc>
          <w:tcPr>
            <w:tcW w:type="dxa" w:w="3408"/>
            <w:vAlign w:val="top"/>
          </w:tcPr>
          <w:p>
            <w:pPr>
              <w:spacing w:after="0"/>
            </w:pPr>
            <w:r/>
            <w:r>
              <w:rPr>
                <w:b w:val="0"/>
              </w:rPr>
              <w:t>LLM Reasoning Layer</w:t>
            </w:r>
          </w:p>
        </w:tc>
        <w:tc>
          <w:tcPr>
            <w:tcW w:type="dxa" w:w="3408"/>
            <w:vAlign w:val="top"/>
          </w:tcPr>
          <w:p>
            <w:pPr>
              <w:spacing w:after="0"/>
            </w:pPr>
            <w:r/>
            <w:r>
              <w:rPr>
                <w:b w:val="0"/>
              </w:rPr>
              <w:t>Summarize changes, compare against thesis, generate narrative and action classification.</w:t>
            </w:r>
          </w:p>
        </w:tc>
        <w:tc>
          <w:tcPr>
            <w:tcW w:type="dxa" w:w="3408"/>
            <w:vAlign w:val="top"/>
          </w:tcPr>
          <w:p>
            <w:pPr>
              <w:spacing w:after="0"/>
            </w:pPr>
            <w:r/>
            <w:r>
              <w:rPr>
                <w:b w:val="0"/>
              </w:rPr>
              <w:t>Codex-built orchestration + OpenAI API or local model for sensitive data.</w:t>
            </w:r>
          </w:p>
        </w:tc>
      </w:tr>
      <w:tr>
        <w:tc>
          <w:tcPr>
            <w:tcW w:type="dxa" w:w="3408"/>
            <w:vAlign w:val="top"/>
          </w:tcPr>
          <w:p>
            <w:pPr>
              <w:spacing w:after="0"/>
            </w:pPr>
            <w:r/>
            <w:r>
              <w:rPr>
                <w:b w:val="0"/>
              </w:rPr>
              <w:t>Report Renderer</w:t>
            </w:r>
          </w:p>
        </w:tc>
        <w:tc>
          <w:tcPr>
            <w:tcW w:type="dxa" w:w="3408"/>
            <w:vAlign w:val="top"/>
          </w:tcPr>
          <w:p>
            <w:pPr>
              <w:spacing w:after="0"/>
            </w:pPr>
            <w:r/>
            <w:r>
              <w:rPr>
                <w:b w:val="0"/>
              </w:rPr>
              <w:t>Generate morning report in email/Slack/Telegram/web dashboard.</w:t>
            </w:r>
          </w:p>
        </w:tc>
        <w:tc>
          <w:tcPr>
            <w:tcW w:type="dxa" w:w="3408"/>
            <w:vAlign w:val="top"/>
          </w:tcPr>
          <w:p>
            <w:pPr>
              <w:spacing w:after="0"/>
            </w:pPr>
            <w:r/>
            <w:r>
              <w:rPr>
                <w:b w:val="0"/>
              </w:rPr>
              <w:t>Markdown, HTML email, Notion/Google Doc, or internal dashboard.</w:t>
            </w:r>
          </w:p>
        </w:tc>
      </w:tr>
      <w:tr>
        <w:tc>
          <w:tcPr>
            <w:tcW w:type="dxa" w:w="3408"/>
            <w:vAlign w:val="top"/>
          </w:tcPr>
          <w:p>
            <w:pPr>
              <w:spacing w:after="0"/>
            </w:pPr>
            <w:r/>
            <w:r>
              <w:rPr>
                <w:b w:val="0"/>
              </w:rPr>
              <w:t>Audit &amp; Safety</w:t>
            </w:r>
          </w:p>
        </w:tc>
        <w:tc>
          <w:tcPr>
            <w:tcW w:type="dxa" w:w="3408"/>
            <w:vAlign w:val="top"/>
          </w:tcPr>
          <w:p>
            <w:pPr>
              <w:spacing w:after="0"/>
            </w:pPr>
            <w:r/>
            <w:r>
              <w:rPr>
                <w:b w:val="0"/>
              </w:rPr>
              <w:t>Persist inputs, scores, prompts, model outputs, recommendation history.</w:t>
            </w:r>
          </w:p>
        </w:tc>
        <w:tc>
          <w:tcPr>
            <w:tcW w:type="dxa" w:w="3408"/>
            <w:vAlign w:val="top"/>
          </w:tcPr>
          <w:p>
            <w:pPr>
              <w:spacing w:after="0"/>
            </w:pPr>
            <w:r/>
            <w:r>
              <w:rPr>
                <w:b w:val="0"/>
              </w:rPr>
              <w:t>Database tables + report archive + approval log.</w:t>
            </w:r>
          </w:p>
        </w:tc>
      </w:tr>
    </w:tbl>
    <w:p>
      <w:pPr>
        <w:spacing w:after="80"/>
      </w:pPr>
    </w:p>
    <w:p>
      <w:pPr>
        <w:pStyle w:val="Heading1"/>
        <w:spacing w:after="80"/>
      </w:pPr>
      <w:r>
        <w:t>6. Zerodha / Indian Market Data Inputs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b/>
              </w:rPr>
              <w:t>Input</w:t>
            </w:r>
          </w:p>
        </w:tc>
        <w:tc>
          <w:tcPr>
            <w:tcW w:type="dxa" w:w="3408"/>
            <w:vAlign w:val="top"/>
            <w:shd w:fill="D9EAF7"/>
          </w:tcPr>
          <w:p>
            <w:pPr>
              <w:spacing w:after="0"/>
            </w:pPr>
            <w:r/>
            <w:r>
              <w:rPr>
                <w:b/>
              </w:rPr>
              <w:t>Purpose</w:t>
            </w:r>
          </w:p>
        </w:tc>
        <w:tc>
          <w:tcPr>
            <w:tcW w:type="dxa" w:w="3408"/>
            <w:vAlign w:val="top"/>
            <w:shd w:fill="D9EAF7"/>
          </w:tcPr>
          <w:p>
            <w:pPr>
              <w:spacing w:after="0"/>
            </w:pPr>
            <w:r/>
            <w:r>
              <w:rPr>
                <w:b/>
              </w:rPr>
              <w:t>Notes</w:t>
            </w:r>
          </w:p>
        </w:tc>
      </w:tr>
      <w:tr>
        <w:tc>
          <w:tcPr>
            <w:tcW w:type="dxa" w:w="3408"/>
            <w:vAlign w:val="top"/>
          </w:tcPr>
          <w:p>
            <w:pPr>
              <w:spacing w:after="0"/>
            </w:pPr>
            <w:r/>
            <w:r>
              <w:rPr>
                <w:b w:val="0"/>
              </w:rPr>
              <w:t>Kite holdings</w:t>
            </w:r>
          </w:p>
        </w:tc>
        <w:tc>
          <w:tcPr>
            <w:tcW w:type="dxa" w:w="3408"/>
            <w:vAlign w:val="top"/>
          </w:tcPr>
          <w:p>
            <w:pPr>
              <w:spacing w:after="0"/>
            </w:pPr>
            <w:r/>
            <w:r>
              <w:rPr>
                <w:b w:val="0"/>
              </w:rPr>
              <w:t>Current long-term equity portfolio, quantity, average price, P&amp;L.</w:t>
            </w:r>
          </w:p>
        </w:tc>
        <w:tc>
          <w:tcPr>
            <w:tcW w:type="dxa" w:w="3408"/>
            <w:vAlign w:val="top"/>
          </w:tcPr>
          <w:p>
            <w:pPr>
              <w:spacing w:after="0"/>
            </w:pPr>
            <w:r/>
            <w:r>
              <w:rPr>
                <w:b w:val="0"/>
              </w:rPr>
              <w:t>Kite Connect portfolio APIs expose holdings and positions with P&amp;L computations.</w:t>
            </w:r>
          </w:p>
        </w:tc>
      </w:tr>
      <w:tr>
        <w:tc>
          <w:tcPr>
            <w:tcW w:type="dxa" w:w="3408"/>
            <w:vAlign w:val="top"/>
          </w:tcPr>
          <w:p>
            <w:pPr>
              <w:spacing w:after="0"/>
            </w:pPr>
            <w:r/>
            <w:r>
              <w:rPr>
                <w:b w:val="0"/>
              </w:rPr>
              <w:t>Kite positions</w:t>
            </w:r>
          </w:p>
        </w:tc>
        <w:tc>
          <w:tcPr>
            <w:tcW w:type="dxa" w:w="3408"/>
            <w:vAlign w:val="top"/>
          </w:tcPr>
          <w:p>
            <w:pPr>
              <w:spacing w:after="0"/>
            </w:pPr>
            <w:r/>
            <w:r>
              <w:rPr>
                <w:b w:val="0"/>
              </w:rPr>
              <w:t>Intraday / short-term open positions.</w:t>
            </w:r>
          </w:p>
        </w:tc>
        <w:tc>
          <w:tcPr>
            <w:tcW w:type="dxa" w:w="3408"/>
            <w:vAlign w:val="top"/>
          </w:tcPr>
          <w:p>
            <w:pPr>
              <w:spacing w:after="0"/>
            </w:pPr>
            <w:r/>
            <w:r>
              <w:rPr>
                <w:b w:val="0"/>
              </w:rPr>
              <w:t>Useful if the portfolio includes trading positions.</w:t>
            </w:r>
          </w:p>
        </w:tc>
      </w:tr>
      <w:tr>
        <w:tc>
          <w:tcPr>
            <w:tcW w:type="dxa" w:w="3408"/>
            <w:vAlign w:val="top"/>
          </w:tcPr>
          <w:p>
            <w:pPr>
              <w:spacing w:after="0"/>
            </w:pPr>
            <w:r/>
            <w:r>
              <w:rPr>
                <w:b w:val="0"/>
              </w:rPr>
              <w:t>Kite instruments</w:t>
            </w:r>
          </w:p>
        </w:tc>
        <w:tc>
          <w:tcPr>
            <w:tcW w:type="dxa" w:w="3408"/>
            <w:vAlign w:val="top"/>
          </w:tcPr>
          <w:p>
            <w:pPr>
              <w:spacing w:after="0"/>
            </w:pPr>
            <w:r/>
            <w:r>
              <w:rPr>
                <w:b w:val="0"/>
              </w:rPr>
              <w:t>Map tradingsymbol, exchange, instrument token.</w:t>
            </w:r>
          </w:p>
        </w:tc>
        <w:tc>
          <w:tcPr>
            <w:tcW w:type="dxa" w:w="3408"/>
            <w:vAlign w:val="top"/>
          </w:tcPr>
          <w:p>
            <w:pPr>
              <w:spacing w:after="0"/>
            </w:pPr>
            <w:r/>
            <w:r>
              <w:rPr>
                <w:b w:val="0"/>
              </w:rPr>
              <w:t>Needed for historical candles and symbol resolution.</w:t>
            </w:r>
          </w:p>
        </w:tc>
      </w:tr>
      <w:tr>
        <w:tc>
          <w:tcPr>
            <w:tcW w:type="dxa" w:w="3408"/>
            <w:vAlign w:val="top"/>
          </w:tcPr>
          <w:p>
            <w:pPr>
              <w:spacing w:after="0"/>
            </w:pPr>
            <w:r/>
            <w:r>
              <w:rPr>
                <w:b w:val="0"/>
              </w:rPr>
              <w:t>Historical candles</w:t>
            </w:r>
          </w:p>
        </w:tc>
        <w:tc>
          <w:tcPr>
            <w:tcW w:type="dxa" w:w="3408"/>
            <w:vAlign w:val="top"/>
          </w:tcPr>
          <w:p>
            <w:pPr>
              <w:spacing w:after="0"/>
            </w:pPr>
            <w:r/>
            <w:r>
              <w:rPr>
                <w:b w:val="0"/>
              </w:rPr>
              <w:t>Last 24 trading days OHLCV, technical indicators, volatility.</w:t>
            </w:r>
          </w:p>
        </w:tc>
        <w:tc>
          <w:tcPr>
            <w:tcW w:type="dxa" w:w="3408"/>
            <w:vAlign w:val="top"/>
          </w:tcPr>
          <w:p>
            <w:pPr>
              <w:spacing w:after="0"/>
            </w:pPr>
            <w:r/>
            <w:r>
              <w:rPr>
                <w:b w:val="0"/>
              </w:rPr>
              <w:t>Kite historical API provides archived candle data across intervals.</w:t>
            </w:r>
          </w:p>
        </w:tc>
      </w:tr>
      <w:tr>
        <w:tc>
          <w:tcPr>
            <w:tcW w:type="dxa" w:w="3408"/>
            <w:vAlign w:val="top"/>
          </w:tcPr>
          <w:p>
            <w:pPr>
              <w:spacing w:after="0"/>
            </w:pPr>
            <w:r/>
            <w:r>
              <w:rPr>
                <w:b w:val="0"/>
              </w:rPr>
              <w:t>Orders/trades</w:t>
            </w:r>
          </w:p>
        </w:tc>
        <w:tc>
          <w:tcPr>
            <w:tcW w:type="dxa" w:w="3408"/>
            <w:vAlign w:val="top"/>
          </w:tcPr>
          <w:p>
            <w:pPr>
              <w:spacing w:after="0"/>
            </w:pPr>
            <w:r/>
            <w:r>
              <w:rPr>
                <w:b w:val="0"/>
              </w:rPr>
              <w:t>Understand recent buys/sells and average price changes.</w:t>
            </w:r>
          </w:p>
        </w:tc>
        <w:tc>
          <w:tcPr>
            <w:tcW w:type="dxa" w:w="3408"/>
            <w:vAlign w:val="top"/>
          </w:tcPr>
          <w:p>
            <w:pPr>
              <w:spacing w:after="0"/>
            </w:pPr>
            <w:r/>
            <w:r>
              <w:rPr>
                <w:b w:val="0"/>
              </w:rPr>
              <w:t>Use for transaction-aware commentary.</w:t>
            </w:r>
          </w:p>
        </w:tc>
      </w:tr>
      <w:tr>
        <w:tc>
          <w:tcPr>
            <w:tcW w:type="dxa" w:w="3408"/>
            <w:vAlign w:val="top"/>
          </w:tcPr>
          <w:p>
            <w:pPr>
              <w:spacing w:after="0"/>
            </w:pPr>
            <w:r/>
            <w:r>
              <w:rPr>
                <w:b w:val="0"/>
              </w:rPr>
              <w:t>Corporate actions</w:t>
            </w:r>
          </w:p>
        </w:tc>
        <w:tc>
          <w:tcPr>
            <w:tcW w:type="dxa" w:w="3408"/>
            <w:vAlign w:val="top"/>
          </w:tcPr>
          <w:p>
            <w:pPr>
              <w:spacing w:after="0"/>
            </w:pPr>
            <w:r/>
            <w:r>
              <w:rPr>
                <w:b w:val="0"/>
              </w:rPr>
              <w:t>Splits, bonuses, dividends, buybacks, mergers.</w:t>
            </w:r>
          </w:p>
        </w:tc>
        <w:tc>
          <w:tcPr>
            <w:tcW w:type="dxa" w:w="3408"/>
            <w:vAlign w:val="top"/>
          </w:tcPr>
          <w:p>
            <w:pPr>
              <w:spacing w:after="0"/>
            </w:pPr>
            <w:r/>
            <w:r>
              <w:rPr>
                <w:b w:val="0"/>
              </w:rPr>
              <w:t>Prefer exchange/company sources.</w:t>
            </w:r>
          </w:p>
        </w:tc>
      </w:tr>
      <w:tr>
        <w:tc>
          <w:tcPr>
            <w:tcW w:type="dxa" w:w="3408"/>
            <w:vAlign w:val="top"/>
          </w:tcPr>
          <w:p>
            <w:pPr>
              <w:spacing w:after="0"/>
            </w:pPr>
            <w:r/>
            <w:r>
              <w:rPr>
                <w:b w:val="0"/>
              </w:rPr>
              <w:t>NSE/BSE announcements</w:t>
            </w:r>
          </w:p>
        </w:tc>
        <w:tc>
          <w:tcPr>
            <w:tcW w:type="dxa" w:w="3408"/>
            <w:vAlign w:val="top"/>
          </w:tcPr>
          <w:p>
            <w:pPr>
              <w:spacing w:after="0"/>
            </w:pPr>
            <w:r/>
            <w:r>
              <w:rPr>
                <w:b w:val="0"/>
              </w:rPr>
              <w:t>Material events, results, board meetings.</w:t>
            </w:r>
          </w:p>
        </w:tc>
        <w:tc>
          <w:tcPr>
            <w:tcW w:type="dxa" w:w="3408"/>
            <w:vAlign w:val="top"/>
          </w:tcPr>
          <w:p>
            <w:pPr>
              <w:spacing w:after="0"/>
            </w:pPr>
            <w:r/>
            <w:r>
              <w:rPr>
                <w:b w:val="0"/>
              </w:rPr>
              <w:t>High-priority source for thesis-change detection.</w:t>
            </w:r>
          </w:p>
        </w:tc>
      </w:tr>
      <w:tr>
        <w:tc>
          <w:tcPr>
            <w:tcW w:type="dxa" w:w="3408"/>
            <w:vAlign w:val="top"/>
          </w:tcPr>
          <w:p>
            <w:pPr>
              <w:spacing w:after="0"/>
            </w:pPr>
            <w:r/>
            <w:r>
              <w:rPr>
                <w:b w:val="0"/>
              </w:rPr>
              <w:t>News and filings</w:t>
            </w:r>
          </w:p>
        </w:tc>
        <w:tc>
          <w:tcPr>
            <w:tcW w:type="dxa" w:w="3408"/>
            <w:vAlign w:val="top"/>
          </w:tcPr>
          <w:p>
            <w:pPr>
              <w:spacing w:after="0"/>
            </w:pPr>
            <w:r/>
            <w:r>
              <w:rPr>
                <w:b w:val="0"/>
              </w:rPr>
              <w:t>Explain why the stock moved.</w:t>
            </w:r>
          </w:p>
        </w:tc>
        <w:tc>
          <w:tcPr>
            <w:tcW w:type="dxa" w:w="3408"/>
            <w:vAlign w:val="top"/>
          </w:tcPr>
          <w:p>
            <w:pPr>
              <w:spacing w:after="0"/>
            </w:pPr>
            <w:r/>
            <w:r>
              <w:rPr>
                <w:b w:val="0"/>
              </w:rPr>
              <w:t>Use multiple reputable sources; avoid low-quality tip sources.</w:t>
            </w:r>
          </w:p>
        </w:tc>
      </w:tr>
      <w:tr>
        <w:tc>
          <w:tcPr>
            <w:tcW w:type="dxa" w:w="3408"/>
            <w:vAlign w:val="top"/>
          </w:tcPr>
          <w:p>
            <w:pPr>
              <w:spacing w:after="0"/>
            </w:pPr>
            <w:r/>
            <w:r>
              <w:rPr>
                <w:b w:val="0"/>
              </w:rPr>
              <w:t>Mutual funds later</w:t>
            </w:r>
          </w:p>
        </w:tc>
        <w:tc>
          <w:tcPr>
            <w:tcW w:type="dxa" w:w="3408"/>
            <w:vAlign w:val="top"/>
          </w:tcPr>
          <w:p>
            <w:pPr>
              <w:spacing w:after="0"/>
            </w:pPr>
            <w:r/>
            <w:r>
              <w:rPr>
                <w:b w:val="0"/>
              </w:rPr>
              <w:t>Coin MF holdings/SIPs, NAV, category, overlap, XIRR.</w:t>
            </w:r>
          </w:p>
        </w:tc>
        <w:tc>
          <w:tcPr>
            <w:tcW w:type="dxa" w:w="3408"/>
            <w:vAlign w:val="top"/>
          </w:tcPr>
          <w:p>
            <w:pPr>
              <w:spacing w:after="0"/>
            </w:pPr>
            <w:r/>
            <w:r>
              <w:rPr>
                <w:b w:val="0"/>
              </w:rPr>
              <w:t>Kite MF APIs exist for Coin-related mutual fund workflows; order placement has payment constraints.</w:t>
            </w:r>
          </w:p>
        </w:tc>
      </w:tr>
    </w:tbl>
    <w:p>
      <w:pPr>
        <w:spacing w:after="80"/>
      </w:pPr>
    </w:p>
    <w:p>
      <w:pPr>
        <w:pStyle w:val="Heading1"/>
        <w:spacing w:after="80"/>
      </w:pPr>
      <w:r>
        <w:t>7. Daily Morning Workflow</w:t>
      </w:r>
    </w:p>
    <w:p>
      <w:pPr>
        <w:pStyle w:val="ListNumber"/>
        <w:spacing w:after="80"/>
      </w:pPr>
      <w:r>
        <w:t>Authenticate to Zerodha and refresh access token through a secure local flow.</w:t>
      </w:r>
    </w:p>
    <w:p>
      <w:pPr>
        <w:pStyle w:val="ListNumber"/>
        <w:spacing w:after="80"/>
      </w:pPr>
      <w:r>
        <w:t>Fetch holdings, positions, margins/funds if required, order history, trade history, and instrument master.</w:t>
      </w:r>
    </w:p>
    <w:p>
      <w:pPr>
        <w:pStyle w:val="ListNumber"/>
        <w:spacing w:after="80"/>
      </w:pPr>
      <w:r>
        <w:t>Fetch the last 24 trading days of daily candles for each holding and benchmark indices such as NIFTY 50, NIFTY 500, and relevant sector indices.</w:t>
      </w:r>
    </w:p>
    <w:p>
      <w:pPr>
        <w:pStyle w:val="ListNumber"/>
        <w:spacing w:after="80"/>
      </w:pPr>
      <w:r>
        <w:t>Fetch previous close, current pre-open context if available, corporate announcements, results calendar, and major market news.</w:t>
      </w:r>
    </w:p>
    <w:p>
      <w:pPr>
        <w:pStyle w:val="ListNumber"/>
        <w:spacing w:after="80"/>
      </w:pPr>
      <w:r>
        <w:t>Compute position-level metrics: 1D, 5D, 20D return, drawdown, volatility, volume spike, moving averages, RSI, gap up/down, relative strength vs index.</w:t>
      </w:r>
    </w:p>
    <w:p>
      <w:pPr>
        <w:pStyle w:val="ListNumber"/>
        <w:spacing w:after="80"/>
      </w:pPr>
      <w:r>
        <w:t>Compute portfolio-level metrics: total P&amp;L, concentration, sector exposure, winners/losers, cash allocation, risk score, and correlation clusters.</w:t>
      </w:r>
    </w:p>
    <w:p>
      <w:pPr>
        <w:pStyle w:val="ListNumber"/>
        <w:spacing w:after="80"/>
      </w:pPr>
      <w:r>
        <w:t>Run thesis-change checks for each stock: earnings, management commentary, debt, margin, regulatory risk, order wins/losses, downgrades/upgrades, corporate actions.</w:t>
      </w:r>
    </w:p>
    <w:p>
      <w:pPr>
        <w:pStyle w:val="ListNumber"/>
        <w:spacing w:after="80"/>
      </w:pPr>
      <w:r>
        <w:t>Generate classifications: Hold, Watch, Accumulate Candidate, Trim Candidate, Exit Candidate.</w:t>
      </w:r>
    </w:p>
    <w:p>
      <w:pPr>
        <w:pStyle w:val="ListNumber"/>
        <w:spacing w:after="80"/>
      </w:pPr>
      <w:r>
        <w:t>Generate the report with evidence links, confidence levels, and questions for the investor where the thesis is unclear.</w:t>
      </w:r>
    </w:p>
    <w:p>
      <w:pPr>
        <w:pStyle w:val="ListNumber"/>
        <w:spacing w:after="80"/>
      </w:pPr>
      <w:r>
        <w:t>Persist the full input/output snapshot for audit and future backtesting.</w:t>
      </w:r>
    </w:p>
    <w:p>
      <w:pPr>
        <w:pStyle w:val="Heading1"/>
        <w:spacing w:after="80"/>
      </w:pPr>
      <w:r>
        <w:t>8. Stock Scoring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b/>
              </w:rPr>
              <w:t>Score</w:t>
            </w:r>
          </w:p>
        </w:tc>
        <w:tc>
          <w:tcPr>
            <w:tcW w:type="dxa" w:w="3408"/>
            <w:vAlign w:val="top"/>
            <w:shd w:fill="D9EAF7"/>
          </w:tcPr>
          <w:p>
            <w:pPr>
              <w:spacing w:after="0"/>
            </w:pPr>
            <w:r/>
            <w:r>
              <w:rPr>
                <w:b/>
              </w:rPr>
              <w:t>Meaning</w:t>
            </w:r>
          </w:p>
        </w:tc>
        <w:tc>
          <w:tcPr>
            <w:tcW w:type="dxa" w:w="3408"/>
            <w:vAlign w:val="top"/>
            <w:shd w:fill="D9EAF7"/>
          </w:tcPr>
          <w:p>
            <w:pPr>
              <w:spacing w:after="0"/>
            </w:pPr>
            <w:r/>
            <w:r>
              <w:rPr>
                <w:b/>
              </w:rPr>
              <w:t>Example Signals</w:t>
            </w:r>
          </w:p>
        </w:tc>
      </w:tr>
      <w:tr>
        <w:tc>
          <w:tcPr>
            <w:tcW w:type="dxa" w:w="3408"/>
            <w:vAlign w:val="top"/>
          </w:tcPr>
          <w:p>
            <w:pPr>
              <w:spacing w:after="0"/>
            </w:pPr>
            <w:r/>
            <w:r>
              <w:rPr>
                <w:b w:val="0"/>
              </w:rPr>
              <w:t>Thesis Score</w:t>
            </w:r>
          </w:p>
        </w:tc>
        <w:tc>
          <w:tcPr>
            <w:tcW w:type="dxa" w:w="3408"/>
            <w:vAlign w:val="top"/>
          </w:tcPr>
          <w:p>
            <w:pPr>
              <w:spacing w:after="0"/>
            </w:pPr>
            <w:r/>
            <w:r>
              <w:rPr>
                <w:b w:val="0"/>
              </w:rPr>
              <w:t>Whether the original investment thesis remains intact.</w:t>
            </w:r>
          </w:p>
        </w:tc>
        <w:tc>
          <w:tcPr>
            <w:tcW w:type="dxa" w:w="3408"/>
            <w:vAlign w:val="top"/>
          </w:tcPr>
          <w:p>
            <w:pPr>
              <w:spacing w:after="0"/>
            </w:pPr>
            <w:r/>
            <w:r>
              <w:rPr>
                <w:b w:val="0"/>
              </w:rPr>
              <w:t>Growth remains intact, new regulation risk, margin erosion, promoter pledge increase.</w:t>
            </w:r>
          </w:p>
        </w:tc>
      </w:tr>
      <w:tr>
        <w:tc>
          <w:tcPr>
            <w:tcW w:type="dxa" w:w="3408"/>
            <w:vAlign w:val="top"/>
          </w:tcPr>
          <w:p>
            <w:pPr>
              <w:spacing w:after="0"/>
            </w:pPr>
            <w:r/>
            <w:r>
              <w:rPr>
                <w:b w:val="0"/>
              </w:rPr>
              <w:t>Fundamental Score</w:t>
            </w:r>
          </w:p>
        </w:tc>
        <w:tc>
          <w:tcPr>
            <w:tcW w:type="dxa" w:w="3408"/>
            <w:vAlign w:val="top"/>
          </w:tcPr>
          <w:p>
            <w:pPr>
              <w:spacing w:after="0"/>
            </w:pPr>
            <w:r/>
            <w:r>
              <w:rPr>
                <w:b w:val="0"/>
              </w:rPr>
              <w:t>Financial quality and trajectory.</w:t>
            </w:r>
          </w:p>
        </w:tc>
        <w:tc>
          <w:tcPr>
            <w:tcW w:type="dxa" w:w="3408"/>
            <w:vAlign w:val="top"/>
          </w:tcPr>
          <w:p>
            <w:pPr>
              <w:spacing w:after="0"/>
            </w:pPr>
            <w:r/>
            <w:r>
              <w:rPr>
                <w:b w:val="0"/>
              </w:rPr>
              <w:t>Revenue growth, EBITDA margin, ROCE, debt, cash flow, earnings revisions.</w:t>
            </w:r>
          </w:p>
        </w:tc>
      </w:tr>
      <w:tr>
        <w:tc>
          <w:tcPr>
            <w:tcW w:type="dxa" w:w="3408"/>
            <w:vAlign w:val="top"/>
          </w:tcPr>
          <w:p>
            <w:pPr>
              <w:spacing w:after="0"/>
            </w:pPr>
            <w:r/>
            <w:r>
              <w:rPr>
                <w:b w:val="0"/>
              </w:rPr>
              <w:t>Technical Score</w:t>
            </w:r>
          </w:p>
        </w:tc>
        <w:tc>
          <w:tcPr>
            <w:tcW w:type="dxa" w:w="3408"/>
            <w:vAlign w:val="top"/>
          </w:tcPr>
          <w:p>
            <w:pPr>
              <w:spacing w:after="0"/>
            </w:pPr>
            <w:r/>
            <w:r>
              <w:rPr>
                <w:b w:val="0"/>
              </w:rPr>
              <w:t>Price/volume health over last 24 trading days.</w:t>
            </w:r>
          </w:p>
        </w:tc>
        <w:tc>
          <w:tcPr>
            <w:tcW w:type="dxa" w:w="3408"/>
            <w:vAlign w:val="top"/>
          </w:tcPr>
          <w:p>
            <w:pPr>
              <w:spacing w:after="0"/>
            </w:pPr>
            <w:r/>
            <w:r>
              <w:rPr>
                <w:b w:val="0"/>
              </w:rPr>
              <w:t>Above/below moving averages, RSI, relative strength, volume breakout/breakdown.</w:t>
            </w:r>
          </w:p>
        </w:tc>
      </w:tr>
      <w:tr>
        <w:tc>
          <w:tcPr>
            <w:tcW w:type="dxa" w:w="3408"/>
            <w:vAlign w:val="top"/>
          </w:tcPr>
          <w:p>
            <w:pPr>
              <w:spacing w:after="0"/>
            </w:pPr>
            <w:r/>
            <w:r>
              <w:rPr>
                <w:b w:val="0"/>
              </w:rPr>
              <w:t>Valuation Score</w:t>
            </w:r>
          </w:p>
        </w:tc>
        <w:tc>
          <w:tcPr>
            <w:tcW w:type="dxa" w:w="3408"/>
            <w:vAlign w:val="top"/>
          </w:tcPr>
          <w:p>
            <w:pPr>
              <w:spacing w:after="0"/>
            </w:pPr>
            <w:r/>
            <w:r>
              <w:rPr>
                <w:b w:val="0"/>
              </w:rPr>
              <w:t>Whether valuation is reasonable vs history and peers.</w:t>
            </w:r>
          </w:p>
        </w:tc>
        <w:tc>
          <w:tcPr>
            <w:tcW w:type="dxa" w:w="3408"/>
            <w:vAlign w:val="top"/>
          </w:tcPr>
          <w:p>
            <w:pPr>
              <w:spacing w:after="0"/>
            </w:pPr>
            <w:r/>
            <w:r>
              <w:rPr>
                <w:b w:val="0"/>
              </w:rPr>
              <w:t>P/E, EV/EBITDA, P/B, FCF yield, PEG.</w:t>
            </w:r>
          </w:p>
        </w:tc>
      </w:tr>
      <w:tr>
        <w:tc>
          <w:tcPr>
            <w:tcW w:type="dxa" w:w="3408"/>
            <w:vAlign w:val="top"/>
          </w:tcPr>
          <w:p>
            <w:pPr>
              <w:spacing w:after="0"/>
            </w:pPr>
            <w:r/>
            <w:r>
              <w:rPr>
                <w:b w:val="0"/>
              </w:rPr>
              <w:t>News Risk Score</w:t>
            </w:r>
          </w:p>
        </w:tc>
        <w:tc>
          <w:tcPr>
            <w:tcW w:type="dxa" w:w="3408"/>
            <w:vAlign w:val="top"/>
          </w:tcPr>
          <w:p>
            <w:pPr>
              <w:spacing w:after="0"/>
            </w:pPr>
            <w:r/>
            <w:r>
              <w:rPr>
                <w:b w:val="0"/>
              </w:rPr>
              <w:t>Recent event severity.</w:t>
            </w:r>
          </w:p>
        </w:tc>
        <w:tc>
          <w:tcPr>
            <w:tcW w:type="dxa" w:w="3408"/>
            <w:vAlign w:val="top"/>
          </w:tcPr>
          <w:p>
            <w:pPr>
              <w:spacing w:after="0"/>
            </w:pPr>
            <w:r/>
            <w:r>
              <w:rPr>
                <w:b w:val="0"/>
              </w:rPr>
              <w:t>Results miss, governance concern, regulatory action, capex announcement.</w:t>
            </w:r>
          </w:p>
        </w:tc>
      </w:tr>
      <w:tr>
        <w:tc>
          <w:tcPr>
            <w:tcW w:type="dxa" w:w="3408"/>
            <w:vAlign w:val="top"/>
          </w:tcPr>
          <w:p>
            <w:pPr>
              <w:spacing w:after="0"/>
            </w:pPr>
            <w:r/>
            <w:r>
              <w:rPr>
                <w:b w:val="0"/>
              </w:rPr>
              <w:t>Portfolio Fit Score</w:t>
            </w:r>
          </w:p>
        </w:tc>
        <w:tc>
          <w:tcPr>
            <w:tcW w:type="dxa" w:w="3408"/>
            <w:vAlign w:val="top"/>
          </w:tcPr>
          <w:p>
            <w:pPr>
              <w:spacing w:after="0"/>
            </w:pPr>
            <w:r/>
            <w:r>
              <w:rPr>
                <w:b w:val="0"/>
              </w:rPr>
              <w:t>How well the position fits the investor’s portfolio.</w:t>
            </w:r>
          </w:p>
        </w:tc>
        <w:tc>
          <w:tcPr>
            <w:tcW w:type="dxa" w:w="3408"/>
            <w:vAlign w:val="top"/>
          </w:tcPr>
          <w:p>
            <w:pPr>
              <w:spacing w:after="0"/>
            </w:pPr>
            <w:r/>
            <w:r>
              <w:rPr>
                <w:b w:val="0"/>
              </w:rPr>
              <w:t>Position size, sector concentration, overlap with mutual funds, volatility contribution.</w:t>
            </w:r>
          </w:p>
        </w:tc>
      </w:tr>
    </w:tbl>
    <w:p>
      <w:pPr>
        <w:spacing w:after="80"/>
      </w:pP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pPr>
            <w:r/>
            <w:r>
              <w:rPr>
                <w:b/>
              </w:rPr>
              <w:t>Final Classification</w:t>
            </w:r>
          </w:p>
        </w:tc>
        <w:tc>
          <w:tcPr>
            <w:tcW w:type="dxa" w:w="5112"/>
            <w:vAlign w:val="top"/>
            <w:shd w:fill="D9EAF7"/>
          </w:tcPr>
          <w:p>
            <w:pPr>
              <w:spacing w:after="0"/>
            </w:pPr>
            <w:r/>
            <w:r>
              <w:rPr>
                <w:b/>
              </w:rPr>
              <w:t>Suggested Meaning</w:t>
            </w:r>
          </w:p>
        </w:tc>
      </w:tr>
      <w:tr>
        <w:tc>
          <w:tcPr>
            <w:tcW w:type="dxa" w:w="5112"/>
            <w:vAlign w:val="top"/>
          </w:tcPr>
          <w:p>
            <w:pPr>
              <w:spacing w:after="0"/>
            </w:pPr>
            <w:r/>
            <w:r>
              <w:rPr>
                <w:b w:val="0"/>
              </w:rPr>
              <w:t>Hold</w:t>
            </w:r>
          </w:p>
        </w:tc>
        <w:tc>
          <w:tcPr>
            <w:tcW w:type="dxa" w:w="5112"/>
            <w:vAlign w:val="top"/>
          </w:tcPr>
          <w:p>
            <w:pPr>
              <w:spacing w:after="0"/>
            </w:pPr>
            <w:r/>
            <w:r>
              <w:rPr>
                <w:b w:val="0"/>
              </w:rPr>
              <w:t>No material negative change; position remains aligned with thesis.</w:t>
            </w:r>
          </w:p>
        </w:tc>
      </w:tr>
      <w:tr>
        <w:tc>
          <w:tcPr>
            <w:tcW w:type="dxa" w:w="5112"/>
            <w:vAlign w:val="top"/>
          </w:tcPr>
          <w:p>
            <w:pPr>
              <w:spacing w:after="0"/>
            </w:pPr>
            <w:r/>
            <w:r>
              <w:rPr>
                <w:b w:val="0"/>
              </w:rPr>
              <w:t>Watch</w:t>
            </w:r>
          </w:p>
        </w:tc>
        <w:tc>
          <w:tcPr>
            <w:tcW w:type="dxa" w:w="5112"/>
            <w:vAlign w:val="top"/>
          </w:tcPr>
          <w:p>
            <w:pPr>
              <w:spacing w:after="0"/>
            </w:pPr>
            <w:r/>
            <w:r>
              <w:rPr>
                <w:b w:val="0"/>
              </w:rPr>
              <w:t>Some risk or uncertainty emerged; no immediate action, but monitor closely.</w:t>
            </w:r>
          </w:p>
        </w:tc>
      </w:tr>
      <w:tr>
        <w:tc>
          <w:tcPr>
            <w:tcW w:type="dxa" w:w="5112"/>
            <w:vAlign w:val="top"/>
          </w:tcPr>
          <w:p>
            <w:pPr>
              <w:spacing w:after="0"/>
            </w:pPr>
            <w:r/>
            <w:r>
              <w:rPr>
                <w:b w:val="0"/>
              </w:rPr>
              <w:t>Accumulate Candidate</w:t>
            </w:r>
          </w:p>
        </w:tc>
        <w:tc>
          <w:tcPr>
            <w:tcW w:type="dxa" w:w="5112"/>
            <w:vAlign w:val="top"/>
          </w:tcPr>
          <w:p>
            <w:pPr>
              <w:spacing w:after="0"/>
            </w:pPr>
            <w:r/>
            <w:r>
              <w:rPr>
                <w:b w:val="0"/>
              </w:rPr>
              <w:t>Thesis intact, valuation/technicals attractive, portfolio weight below target.</w:t>
            </w:r>
          </w:p>
        </w:tc>
      </w:tr>
      <w:tr>
        <w:tc>
          <w:tcPr>
            <w:tcW w:type="dxa" w:w="5112"/>
            <w:vAlign w:val="top"/>
          </w:tcPr>
          <w:p>
            <w:pPr>
              <w:spacing w:after="0"/>
            </w:pPr>
            <w:r/>
            <w:r>
              <w:rPr>
                <w:b w:val="0"/>
              </w:rPr>
              <w:t>Trim Candidate</w:t>
            </w:r>
          </w:p>
        </w:tc>
        <w:tc>
          <w:tcPr>
            <w:tcW w:type="dxa" w:w="5112"/>
            <w:vAlign w:val="top"/>
          </w:tcPr>
          <w:p>
            <w:pPr>
              <w:spacing w:after="0"/>
            </w:pPr>
            <w:r/>
            <w:r>
              <w:rPr>
                <w:b w:val="0"/>
              </w:rPr>
              <w:t>Stock may still be good, but position size, valuation, or risk has become high.</w:t>
            </w:r>
          </w:p>
        </w:tc>
      </w:tr>
      <w:tr>
        <w:tc>
          <w:tcPr>
            <w:tcW w:type="dxa" w:w="5112"/>
            <w:vAlign w:val="top"/>
          </w:tcPr>
          <w:p>
            <w:pPr>
              <w:spacing w:after="0"/>
            </w:pPr>
            <w:r/>
            <w:r>
              <w:rPr>
                <w:b w:val="0"/>
              </w:rPr>
              <w:t>Exit Candidate</w:t>
            </w:r>
          </w:p>
        </w:tc>
        <w:tc>
          <w:tcPr>
            <w:tcW w:type="dxa" w:w="5112"/>
            <w:vAlign w:val="top"/>
          </w:tcPr>
          <w:p>
            <w:pPr>
              <w:spacing w:after="0"/>
            </w:pPr>
            <w:r/>
            <w:r>
              <w:rPr>
                <w:b w:val="0"/>
              </w:rPr>
              <w:t>Thesis materially impaired or risk/reward no longer fits investor objective.</w:t>
            </w:r>
          </w:p>
        </w:tc>
      </w:tr>
    </w:tbl>
    <w:p>
      <w:pPr>
        <w:spacing w:after="80"/>
      </w:pPr>
    </w:p>
    <w:p>
      <w:pPr>
        <w:pStyle w:val="Heading1"/>
        <w:spacing w:after="80"/>
      </w:pPr>
      <w:r>
        <w:t>9. Daily Report Template</w:t>
      </w:r>
    </w:p>
    <w:p>
      <w:pPr>
        <w:spacing w:after="80"/>
      </w:pPr>
      <w:r>
        <w:rPr>
          <w:b/>
        </w:rPr>
        <w:t>Recommended report structure:</w:t>
      </w:r>
    </w:p>
    <w:p>
      <w:pPr>
        <w:pStyle w:val="ListBullet"/>
        <w:spacing w:after="80"/>
      </w:pPr>
      <w:r>
        <w:t>Executive summary: portfolio status, major changes, number of stocks requiring attention.</w:t>
      </w:r>
    </w:p>
    <w:p>
      <w:pPr>
        <w:pStyle w:val="ListBullet"/>
        <w:spacing w:after="80"/>
      </w:pPr>
      <w:r>
        <w:t>Portfolio snapshot: value, P&amp;L, benchmark comparison, sector allocation, concentration.</w:t>
      </w:r>
    </w:p>
    <w:p>
      <w:pPr>
        <w:pStyle w:val="ListBullet"/>
        <w:spacing w:after="80"/>
      </w:pPr>
      <w:r>
        <w:t>Top movers: biggest gainers/losers and probable reasons.</w:t>
      </w:r>
    </w:p>
    <w:p>
      <w:pPr>
        <w:pStyle w:val="ListBullet"/>
        <w:spacing w:after="80"/>
      </w:pPr>
      <w:r>
        <w:t>Action queue: holdings classified as Watch / Trim Candidate / Exit Candidate.</w:t>
      </w:r>
    </w:p>
    <w:p>
      <w:pPr>
        <w:pStyle w:val="ListBullet"/>
        <w:spacing w:after="80"/>
      </w:pPr>
      <w:r>
        <w:t>Per-stock cards: price action, technicals, fundamentals/news, thesis status, suggested action, confidence, evidence.</w:t>
      </w:r>
    </w:p>
    <w:p>
      <w:pPr>
        <w:pStyle w:val="ListBullet"/>
        <w:spacing w:after="80"/>
      </w:pPr>
      <w:r>
        <w:t>Upcoming events: earnings, board meetings, dividends, record dates, macro events.</w:t>
      </w:r>
    </w:p>
    <w:p>
      <w:pPr>
        <w:pStyle w:val="ListBullet"/>
        <w:spacing w:after="80"/>
      </w:pPr>
      <w:r>
        <w:t>Mutual fund section later: NAV movement, category performance, overlap, XIRR, SIP status, direct/regular plan check.</w:t>
      </w:r>
    </w:p>
    <w:p>
      <w:pPr>
        <w:pStyle w:val="ListBullet"/>
        <w:spacing w:after="80"/>
      </w:pPr>
      <w:r>
        <w:t>Open questions: items the agent cannot resolve without user input.</w:t>
      </w:r>
    </w:p>
    <w:p>
      <w:pPr>
        <w:pStyle w:val="Heading1"/>
        <w:spacing w:after="80"/>
      </w:pPr>
      <w:r>
        <w:t>10. Example Stock Card Output</w:t>
      </w:r>
    </w:p>
    <w:tbl>
      <w:tblPr>
        <w:tblStyle w:val="TableGrid"/>
        <w:tblW w:type="auto" w:w="0"/>
        <w:tblLook w:firstColumn="1" w:firstRow="1" w:lastColumn="0" w:lastRow="0" w:noHBand="0" w:noVBand="1" w:val="04A0"/>
      </w:tblPr>
      <w:tblGrid>
        <w:gridCol w:w="10224"/>
      </w:tblGrid>
      <w:tr>
        <w:tc>
          <w:tcPr>
            <w:tcW w:type="dxa" w:w="10224"/>
            <w:shd w:fill="EAF2F8"/>
            <w:vAlign w:val="top"/>
          </w:tcPr>
          <w:p>
            <w:pPr>
              <w:spacing w:after="0"/>
            </w:pPr>
            <w:r/>
            <w:r>
              <w:rPr>
                <w:b w:val="0"/>
              </w:rPr>
              <w:t>Example: TCS</w:t>
              <w:br/>
              <w:t>Classification: Hold | Confidence: Medium-High</w:t>
              <w:br/>
              <w:t>24-day price context: +3.4%, outperforming NIFTY IT by 1.1%. Price remains above 20DMA and 50DMA.</w:t>
              <w:br/>
              <w:t>What changed: No material negative corporate announcement found. Sector commentary remains mixed due to discretionary spending softness.</w:t>
              <w:br/>
              <w:t>Thesis check: Long-term cash generation and dividend thesis intact. Growth acceleration not yet confirmed.</w:t>
              <w:br/>
              <w:t>Risk flags: IT sector demand softness; watch next results and large-deal commentary.</w:t>
              <w:br/>
              <w:t>Suggested investor action: Continue holding. Do not add unless valuation improves or growth commentary strengthens.</w:t>
              <w:br/>
              <w:t>Evidence: exchange announcements, quarterly results, sector index comparison, recent reputable news.</w:t>
            </w:r>
          </w:p>
        </w:tc>
      </w:tr>
    </w:tbl>
    <w:p>
      <w:pPr>
        <w:spacing w:after="80"/>
      </w:pPr>
    </w:p>
    <w:p>
      <w:pPr>
        <w:pStyle w:val="Heading1"/>
        <w:spacing w:after="80"/>
      </w:pPr>
      <w:r>
        <w:t>11. Future Mutual Fund Module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pPr>
              <w:spacing w:after="0"/>
            </w:pPr>
            <w:r/>
            <w:r>
              <w:rPr>
                <w:b/>
              </w:rPr>
              <w:t>Feature</w:t>
            </w:r>
          </w:p>
        </w:tc>
        <w:tc>
          <w:tcPr>
            <w:tcW w:type="dxa" w:w="5112"/>
            <w:vAlign w:val="top"/>
            <w:shd w:fill="D9EAF7"/>
          </w:tcPr>
          <w:p>
            <w:pPr>
              <w:spacing w:after="0"/>
            </w:pPr>
            <w:r/>
            <w:r>
              <w:rPr>
                <w:b/>
              </w:rPr>
              <w:t>Why It Matters</w:t>
            </w:r>
          </w:p>
        </w:tc>
      </w:tr>
      <w:tr>
        <w:tc>
          <w:tcPr>
            <w:tcW w:type="dxa" w:w="5112"/>
            <w:vAlign w:val="top"/>
          </w:tcPr>
          <w:p>
            <w:pPr>
              <w:spacing w:after="0"/>
            </w:pPr>
            <w:r/>
            <w:r>
              <w:rPr>
                <w:b w:val="0"/>
              </w:rPr>
              <w:t>MF holdings import</w:t>
            </w:r>
          </w:p>
        </w:tc>
        <w:tc>
          <w:tcPr>
            <w:tcW w:type="dxa" w:w="5112"/>
            <w:vAlign w:val="top"/>
          </w:tcPr>
          <w:p>
            <w:pPr>
              <w:spacing w:after="0"/>
            </w:pPr>
            <w:r/>
            <w:r>
              <w:rPr>
                <w:b w:val="0"/>
              </w:rPr>
              <w:t>Create unified portfolio view across stocks, ETFs, bonds, and funds.</w:t>
            </w:r>
          </w:p>
        </w:tc>
      </w:tr>
      <w:tr>
        <w:tc>
          <w:tcPr>
            <w:tcW w:type="dxa" w:w="5112"/>
            <w:vAlign w:val="top"/>
          </w:tcPr>
          <w:p>
            <w:pPr>
              <w:spacing w:after="0"/>
            </w:pPr>
            <w:r/>
            <w:r>
              <w:rPr>
                <w:b w:val="0"/>
              </w:rPr>
              <w:t>XIRR and absolute return</w:t>
            </w:r>
          </w:p>
        </w:tc>
        <w:tc>
          <w:tcPr>
            <w:tcW w:type="dxa" w:w="5112"/>
            <w:vAlign w:val="top"/>
          </w:tcPr>
          <w:p>
            <w:pPr>
              <w:spacing w:after="0"/>
            </w:pPr>
            <w:r/>
            <w:r>
              <w:rPr>
                <w:b w:val="0"/>
              </w:rPr>
              <w:t>Better than point-to-point return for SIPs and staggered investments.</w:t>
            </w:r>
          </w:p>
        </w:tc>
      </w:tr>
      <w:tr>
        <w:tc>
          <w:tcPr>
            <w:tcW w:type="dxa" w:w="5112"/>
            <w:vAlign w:val="top"/>
          </w:tcPr>
          <w:p>
            <w:pPr>
              <w:spacing w:after="0"/>
            </w:pPr>
            <w:r/>
            <w:r>
              <w:rPr>
                <w:b w:val="0"/>
              </w:rPr>
              <w:t>Direct vs regular plan check</w:t>
            </w:r>
          </w:p>
        </w:tc>
        <w:tc>
          <w:tcPr>
            <w:tcW w:type="dxa" w:w="5112"/>
            <w:vAlign w:val="top"/>
          </w:tcPr>
          <w:p>
            <w:pPr>
              <w:spacing w:after="0"/>
            </w:pPr>
            <w:r/>
            <w:r>
              <w:rPr>
                <w:b w:val="0"/>
              </w:rPr>
              <w:t>Expense ratio materially affects long-term returns.</w:t>
            </w:r>
          </w:p>
        </w:tc>
      </w:tr>
      <w:tr>
        <w:tc>
          <w:tcPr>
            <w:tcW w:type="dxa" w:w="5112"/>
            <w:vAlign w:val="top"/>
          </w:tcPr>
          <w:p>
            <w:pPr>
              <w:spacing w:after="0"/>
            </w:pPr>
            <w:r/>
            <w:r>
              <w:rPr>
                <w:b w:val="0"/>
              </w:rPr>
              <w:t>Category benchmarking</w:t>
            </w:r>
          </w:p>
        </w:tc>
        <w:tc>
          <w:tcPr>
            <w:tcW w:type="dxa" w:w="5112"/>
            <w:vAlign w:val="top"/>
          </w:tcPr>
          <w:p>
            <w:pPr>
              <w:spacing w:after="0"/>
            </w:pPr>
            <w:r/>
            <w:r>
              <w:rPr>
                <w:b w:val="0"/>
              </w:rPr>
              <w:t>Compare each fund against category and benchmark.</w:t>
            </w:r>
          </w:p>
        </w:tc>
      </w:tr>
      <w:tr>
        <w:tc>
          <w:tcPr>
            <w:tcW w:type="dxa" w:w="5112"/>
            <w:vAlign w:val="top"/>
          </w:tcPr>
          <w:p>
            <w:pPr>
              <w:spacing w:after="0"/>
            </w:pPr>
            <w:r/>
            <w:r>
              <w:rPr>
                <w:b w:val="0"/>
              </w:rPr>
              <w:t>Overlap analysis</w:t>
            </w:r>
          </w:p>
        </w:tc>
        <w:tc>
          <w:tcPr>
            <w:tcW w:type="dxa" w:w="5112"/>
            <w:vAlign w:val="top"/>
          </w:tcPr>
          <w:p>
            <w:pPr>
              <w:spacing w:after="0"/>
            </w:pPr>
            <w:r/>
            <w:r>
              <w:rPr>
                <w:b w:val="0"/>
              </w:rPr>
              <w:t>Detect when multiple funds hold the same large-cap stocks already owned directly.</w:t>
            </w:r>
          </w:p>
        </w:tc>
      </w:tr>
      <w:tr>
        <w:tc>
          <w:tcPr>
            <w:tcW w:type="dxa" w:w="5112"/>
            <w:vAlign w:val="top"/>
          </w:tcPr>
          <w:p>
            <w:pPr>
              <w:spacing w:after="0"/>
            </w:pPr>
            <w:r/>
            <w:r>
              <w:rPr>
                <w:b w:val="0"/>
              </w:rPr>
              <w:t>Style drift detection</w:t>
            </w:r>
          </w:p>
        </w:tc>
        <w:tc>
          <w:tcPr>
            <w:tcW w:type="dxa" w:w="5112"/>
            <w:vAlign w:val="top"/>
          </w:tcPr>
          <w:p>
            <w:pPr>
              <w:spacing w:after="0"/>
            </w:pPr>
            <w:r/>
            <w:r>
              <w:rPr>
                <w:b w:val="0"/>
              </w:rPr>
              <w:t>Check whether fund is still behaving like its stated category.</w:t>
            </w:r>
          </w:p>
        </w:tc>
      </w:tr>
      <w:tr>
        <w:tc>
          <w:tcPr>
            <w:tcW w:type="dxa" w:w="5112"/>
            <w:vAlign w:val="top"/>
          </w:tcPr>
          <w:p>
            <w:pPr>
              <w:spacing w:after="0"/>
            </w:pPr>
            <w:r/>
            <w:r>
              <w:rPr>
                <w:b w:val="0"/>
              </w:rPr>
              <w:t>SIP health</w:t>
            </w:r>
          </w:p>
        </w:tc>
        <w:tc>
          <w:tcPr>
            <w:tcW w:type="dxa" w:w="5112"/>
            <w:vAlign w:val="top"/>
          </w:tcPr>
          <w:p>
            <w:pPr>
              <w:spacing w:after="0"/>
            </w:pPr>
            <w:r/>
            <w:r>
              <w:rPr>
                <w:b w:val="0"/>
              </w:rPr>
              <w:t>Track missed SIPs, allocation drift, and whether SIP amount still matches plan.</w:t>
            </w:r>
          </w:p>
        </w:tc>
      </w:tr>
      <w:tr>
        <w:tc>
          <w:tcPr>
            <w:tcW w:type="dxa" w:w="5112"/>
            <w:vAlign w:val="top"/>
          </w:tcPr>
          <w:p>
            <w:pPr>
              <w:spacing w:after="0"/>
            </w:pPr>
            <w:r/>
            <w:r>
              <w:rPr>
                <w:b w:val="0"/>
              </w:rPr>
              <w:t>Tax view</w:t>
            </w:r>
          </w:p>
        </w:tc>
        <w:tc>
          <w:tcPr>
            <w:tcW w:type="dxa" w:w="5112"/>
            <w:vAlign w:val="top"/>
          </w:tcPr>
          <w:p>
            <w:pPr>
              <w:spacing w:after="0"/>
            </w:pPr>
            <w:r/>
            <w:r>
              <w:rPr>
                <w:b w:val="0"/>
              </w:rPr>
              <w:t>Flag equity/debt taxation rules and holding-period awareness; do not give tax advice without review.</w:t>
            </w:r>
          </w:p>
        </w:tc>
      </w:tr>
    </w:tbl>
    <w:p>
      <w:pPr>
        <w:spacing w:after="80"/>
      </w:pPr>
    </w:p>
    <w:p>
      <w:pPr>
        <w:pStyle w:val="Heading1"/>
        <w:spacing w:after="80"/>
      </w:pPr>
      <w:r>
        <w:t>12. Security and Privacy Requirements</w:t>
      </w:r>
    </w:p>
    <w:p>
      <w:pPr>
        <w:pStyle w:val="ListBullet"/>
        <w:spacing w:after="80"/>
      </w:pPr>
      <w:r>
        <w:t>Use read-only access wherever possible for early versions.</w:t>
      </w:r>
    </w:p>
    <w:p>
      <w:pPr>
        <w:pStyle w:val="ListBullet"/>
        <w:spacing w:after="80"/>
      </w:pPr>
      <w:r>
        <w:t>Store Kite API secrets and access tokens in a secure vault, not in code or plain-text config.</w:t>
      </w:r>
    </w:p>
    <w:p>
      <w:pPr>
        <w:pStyle w:val="ListBullet"/>
        <w:spacing w:after="80"/>
      </w:pPr>
      <w:r>
        <w:t>Encrypt database fields containing account IDs, tokens, holdings, and trade history.</w:t>
      </w:r>
    </w:p>
    <w:p>
      <w:pPr>
        <w:pStyle w:val="ListBullet"/>
        <w:spacing w:after="80"/>
      </w:pPr>
      <w:r>
        <w:t>Run the agent in a private environment controlled by the user.</w:t>
      </w:r>
    </w:p>
    <w:p>
      <w:pPr>
        <w:pStyle w:val="ListBullet"/>
        <w:spacing w:after="80"/>
      </w:pPr>
      <w:r>
        <w:t>Log every external call and every generated recommendation.</w:t>
      </w:r>
    </w:p>
    <w:p>
      <w:pPr>
        <w:pStyle w:val="ListBullet"/>
        <w:spacing w:after="80"/>
      </w:pPr>
      <w:r>
        <w:t>Use explicit allowlists for data sources; block random social-media tips from affecting recommendations unless clearly labeled as low-confidence sentiment.</w:t>
      </w:r>
    </w:p>
    <w:p>
      <w:pPr>
        <w:pStyle w:val="ListBullet"/>
        <w:spacing w:after="80"/>
      </w:pPr>
      <w:r>
        <w:t>Never send order placement calls unless the user has deliberately enabled an execution module and confirmed a specific order.</w:t>
      </w:r>
    </w:p>
    <w:p>
      <w:pPr>
        <w:pStyle w:val="Heading1"/>
        <w:spacing w:after="80"/>
      </w:pPr>
      <w:r>
        <w:t>13. Implementation Roadmap for Codex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b/>
              </w:rPr>
              <w:t>Phase</w:t>
            </w:r>
          </w:p>
        </w:tc>
        <w:tc>
          <w:tcPr>
            <w:tcW w:type="dxa" w:w="3408"/>
            <w:vAlign w:val="top"/>
            <w:shd w:fill="D9EAF7"/>
          </w:tcPr>
          <w:p>
            <w:pPr>
              <w:spacing w:after="0"/>
            </w:pPr>
            <w:r/>
            <w:r>
              <w:rPr>
                <w:b/>
              </w:rPr>
              <w:t>Scope</w:t>
            </w:r>
          </w:p>
        </w:tc>
        <w:tc>
          <w:tcPr>
            <w:tcW w:type="dxa" w:w="3408"/>
            <w:vAlign w:val="top"/>
            <w:shd w:fill="D9EAF7"/>
          </w:tcPr>
          <w:p>
            <w:pPr>
              <w:spacing w:after="0"/>
            </w:pPr>
            <w:r/>
            <w:r>
              <w:rPr>
                <w:b/>
              </w:rPr>
              <w:t>Deliverable</w:t>
            </w:r>
          </w:p>
        </w:tc>
      </w:tr>
      <w:tr>
        <w:tc>
          <w:tcPr>
            <w:tcW w:type="dxa" w:w="3408"/>
            <w:vAlign w:val="top"/>
          </w:tcPr>
          <w:p>
            <w:pPr>
              <w:spacing w:after="0"/>
            </w:pPr>
            <w:r/>
            <w:r>
              <w:rPr>
                <w:b w:val="0"/>
              </w:rPr>
              <w:t>Phase 0</w:t>
            </w:r>
          </w:p>
        </w:tc>
        <w:tc>
          <w:tcPr>
            <w:tcW w:type="dxa" w:w="3408"/>
            <w:vAlign w:val="top"/>
          </w:tcPr>
          <w:p>
            <w:pPr>
              <w:spacing w:after="0"/>
            </w:pPr>
            <w:r/>
            <w:r>
              <w:rPr>
                <w:b w:val="0"/>
              </w:rPr>
              <w:t>Project skeleton, config, secure secret handling, database schema.</w:t>
            </w:r>
          </w:p>
        </w:tc>
        <w:tc>
          <w:tcPr>
            <w:tcW w:type="dxa" w:w="3408"/>
            <w:vAlign w:val="top"/>
          </w:tcPr>
          <w:p>
            <w:pPr>
              <w:spacing w:after="0"/>
            </w:pPr>
            <w:r/>
            <w:r>
              <w:rPr>
                <w:b w:val="0"/>
              </w:rPr>
              <w:t>Runnable local repo with tests and mock portfolio.</w:t>
            </w:r>
          </w:p>
        </w:tc>
      </w:tr>
      <w:tr>
        <w:tc>
          <w:tcPr>
            <w:tcW w:type="dxa" w:w="3408"/>
            <w:vAlign w:val="top"/>
          </w:tcPr>
          <w:p>
            <w:pPr>
              <w:spacing w:after="0"/>
            </w:pPr>
            <w:r/>
            <w:r>
              <w:rPr>
                <w:b w:val="0"/>
              </w:rPr>
              <w:t>Phase 1</w:t>
            </w:r>
          </w:p>
        </w:tc>
        <w:tc>
          <w:tcPr>
            <w:tcW w:type="dxa" w:w="3408"/>
            <w:vAlign w:val="top"/>
          </w:tcPr>
          <w:p>
            <w:pPr>
              <w:spacing w:after="0"/>
            </w:pPr>
            <w:r/>
            <w:r>
              <w:rPr>
                <w:b w:val="0"/>
              </w:rPr>
              <w:t>Zerodha read-only holdings/positions connector.</w:t>
            </w:r>
          </w:p>
        </w:tc>
        <w:tc>
          <w:tcPr>
            <w:tcW w:type="dxa" w:w="3408"/>
            <w:vAlign w:val="top"/>
          </w:tcPr>
          <w:p>
            <w:pPr>
              <w:spacing w:after="0"/>
            </w:pPr>
            <w:r/>
            <w:r>
              <w:rPr>
                <w:b w:val="0"/>
              </w:rPr>
              <w:t>Daily portfolio snapshot stored in DB.</w:t>
            </w:r>
          </w:p>
        </w:tc>
      </w:tr>
      <w:tr>
        <w:tc>
          <w:tcPr>
            <w:tcW w:type="dxa" w:w="3408"/>
            <w:vAlign w:val="top"/>
          </w:tcPr>
          <w:p>
            <w:pPr>
              <w:spacing w:after="0"/>
            </w:pPr>
            <w:r/>
            <w:r>
              <w:rPr>
                <w:b w:val="0"/>
              </w:rPr>
              <w:t>Phase 2</w:t>
            </w:r>
          </w:p>
        </w:tc>
        <w:tc>
          <w:tcPr>
            <w:tcW w:type="dxa" w:w="3408"/>
            <w:vAlign w:val="top"/>
          </w:tcPr>
          <w:p>
            <w:pPr>
              <w:spacing w:after="0"/>
            </w:pPr>
            <w:r/>
            <w:r>
              <w:rPr>
                <w:b w:val="0"/>
              </w:rPr>
              <w:t>Historical price ingestion and technical metrics.</w:t>
            </w:r>
          </w:p>
        </w:tc>
        <w:tc>
          <w:tcPr>
            <w:tcW w:type="dxa" w:w="3408"/>
            <w:vAlign w:val="top"/>
          </w:tcPr>
          <w:p>
            <w:pPr>
              <w:spacing w:after="0"/>
            </w:pPr>
            <w:r/>
            <w:r>
              <w:rPr>
                <w:b w:val="0"/>
              </w:rPr>
              <w:t>Last 24 trading days analytics per holding.</w:t>
            </w:r>
          </w:p>
        </w:tc>
      </w:tr>
      <w:tr>
        <w:tc>
          <w:tcPr>
            <w:tcW w:type="dxa" w:w="3408"/>
            <w:vAlign w:val="top"/>
          </w:tcPr>
          <w:p>
            <w:pPr>
              <w:spacing w:after="0"/>
            </w:pPr>
            <w:r/>
            <w:r>
              <w:rPr>
                <w:b w:val="0"/>
              </w:rPr>
              <w:t>Phase 3</w:t>
            </w:r>
          </w:p>
        </w:tc>
        <w:tc>
          <w:tcPr>
            <w:tcW w:type="dxa" w:w="3408"/>
            <w:vAlign w:val="top"/>
          </w:tcPr>
          <w:p>
            <w:pPr>
              <w:spacing w:after="0"/>
            </w:pPr>
            <w:r/>
            <w:r>
              <w:rPr>
                <w:b w:val="0"/>
              </w:rPr>
              <w:t>Report generation without LLM recommendations.</w:t>
            </w:r>
          </w:p>
        </w:tc>
        <w:tc>
          <w:tcPr>
            <w:tcW w:type="dxa" w:w="3408"/>
            <w:vAlign w:val="top"/>
          </w:tcPr>
          <w:p>
            <w:pPr>
              <w:spacing w:after="0"/>
            </w:pPr>
            <w:r/>
            <w:r>
              <w:rPr>
                <w:b w:val="0"/>
              </w:rPr>
              <w:t>Deterministic daily markdown/HTML report.</w:t>
            </w:r>
          </w:p>
        </w:tc>
      </w:tr>
      <w:tr>
        <w:tc>
          <w:tcPr>
            <w:tcW w:type="dxa" w:w="3408"/>
            <w:vAlign w:val="top"/>
          </w:tcPr>
          <w:p>
            <w:pPr>
              <w:spacing w:after="0"/>
            </w:pPr>
            <w:r/>
            <w:r>
              <w:rPr>
                <w:b w:val="0"/>
              </w:rPr>
              <w:t>Phase 4</w:t>
            </w:r>
          </w:p>
        </w:tc>
        <w:tc>
          <w:tcPr>
            <w:tcW w:type="dxa" w:w="3408"/>
            <w:vAlign w:val="top"/>
          </w:tcPr>
          <w:p>
            <w:pPr>
              <w:spacing w:after="0"/>
            </w:pPr>
            <w:r/>
            <w:r>
              <w:rPr>
                <w:b w:val="0"/>
              </w:rPr>
              <w:t>LLM narrative layer with citations and guardrails.</w:t>
            </w:r>
          </w:p>
        </w:tc>
        <w:tc>
          <w:tcPr>
            <w:tcW w:type="dxa" w:w="3408"/>
            <w:vAlign w:val="top"/>
          </w:tcPr>
          <w:p>
            <w:pPr>
              <w:spacing w:after="0"/>
            </w:pPr>
            <w:r/>
            <w:r>
              <w:rPr>
                <w:b w:val="0"/>
              </w:rPr>
              <w:t>Evidence-backed report with Hold/Watch/Trim/Exit Candidate classifications.</w:t>
            </w:r>
          </w:p>
        </w:tc>
      </w:tr>
      <w:tr>
        <w:tc>
          <w:tcPr>
            <w:tcW w:type="dxa" w:w="3408"/>
            <w:vAlign w:val="top"/>
          </w:tcPr>
          <w:p>
            <w:pPr>
              <w:spacing w:after="0"/>
            </w:pPr>
            <w:r/>
            <w:r>
              <w:rPr>
                <w:b w:val="0"/>
              </w:rPr>
              <w:t>Phase 5</w:t>
            </w:r>
          </w:p>
        </w:tc>
        <w:tc>
          <w:tcPr>
            <w:tcW w:type="dxa" w:w="3408"/>
            <w:vAlign w:val="top"/>
          </w:tcPr>
          <w:p>
            <w:pPr>
              <w:spacing w:after="0"/>
            </w:pPr>
            <w:r/>
            <w:r>
              <w:rPr>
                <w:b w:val="0"/>
              </w:rPr>
              <w:t>Backtesting and recommendation QA.</w:t>
            </w:r>
          </w:p>
        </w:tc>
        <w:tc>
          <w:tcPr>
            <w:tcW w:type="dxa" w:w="3408"/>
            <w:vAlign w:val="top"/>
          </w:tcPr>
          <w:p>
            <w:pPr>
              <w:spacing w:after="0"/>
            </w:pPr>
            <w:r/>
            <w:r>
              <w:rPr>
                <w:b w:val="0"/>
              </w:rPr>
              <w:t>Compare past recommendations against subsequent outcomes; refine score weights.</w:t>
            </w:r>
          </w:p>
        </w:tc>
      </w:tr>
      <w:tr>
        <w:tc>
          <w:tcPr>
            <w:tcW w:type="dxa" w:w="3408"/>
            <w:vAlign w:val="top"/>
          </w:tcPr>
          <w:p>
            <w:pPr>
              <w:spacing w:after="0"/>
            </w:pPr>
            <w:r/>
            <w:r>
              <w:rPr>
                <w:b w:val="0"/>
              </w:rPr>
              <w:t>Phase 6</w:t>
            </w:r>
          </w:p>
        </w:tc>
        <w:tc>
          <w:tcPr>
            <w:tcW w:type="dxa" w:w="3408"/>
            <w:vAlign w:val="top"/>
          </w:tcPr>
          <w:p>
            <w:pPr>
              <w:spacing w:after="0"/>
            </w:pPr>
            <w:r/>
            <w:r>
              <w:rPr>
                <w:b w:val="0"/>
              </w:rPr>
              <w:t>Mutual fund support.</w:t>
            </w:r>
          </w:p>
        </w:tc>
        <w:tc>
          <w:tcPr>
            <w:tcW w:type="dxa" w:w="3408"/>
            <w:vAlign w:val="top"/>
          </w:tcPr>
          <w:p>
            <w:pPr>
              <w:spacing w:after="0"/>
            </w:pPr>
            <w:r/>
            <w:r>
              <w:rPr>
                <w:b w:val="0"/>
              </w:rPr>
              <w:t>Coin/MF import, XIRR, allocation and overlap analysis.</w:t>
            </w:r>
          </w:p>
        </w:tc>
      </w:tr>
      <w:tr>
        <w:tc>
          <w:tcPr>
            <w:tcW w:type="dxa" w:w="3408"/>
            <w:vAlign w:val="top"/>
          </w:tcPr>
          <w:p>
            <w:pPr>
              <w:spacing w:after="0"/>
            </w:pPr>
            <w:r/>
            <w:r>
              <w:rPr>
                <w:b w:val="0"/>
              </w:rPr>
              <w:t>Phase 7</w:t>
            </w:r>
          </w:p>
        </w:tc>
        <w:tc>
          <w:tcPr>
            <w:tcW w:type="dxa" w:w="3408"/>
            <w:vAlign w:val="top"/>
          </w:tcPr>
          <w:p>
            <w:pPr>
              <w:spacing w:after="0"/>
            </w:pPr>
            <w:r/>
            <w:r>
              <w:rPr>
                <w:b w:val="0"/>
              </w:rPr>
              <w:t>Dashboard and alerts.</w:t>
            </w:r>
          </w:p>
        </w:tc>
        <w:tc>
          <w:tcPr>
            <w:tcW w:type="dxa" w:w="3408"/>
            <w:vAlign w:val="top"/>
          </w:tcPr>
          <w:p>
            <w:pPr>
              <w:spacing w:after="0"/>
            </w:pPr>
            <w:r/>
            <w:r>
              <w:rPr>
                <w:b w:val="0"/>
              </w:rPr>
              <w:t>Web UI plus email/Telegram/Slack morning delivery.</w:t>
            </w:r>
          </w:p>
        </w:tc>
      </w:tr>
    </w:tbl>
    <w:p>
      <w:pPr>
        <w:spacing w:after="80"/>
      </w:pPr>
    </w:p>
    <w:p>
      <w:pPr>
        <w:pStyle w:val="Heading1"/>
        <w:spacing w:after="80"/>
      </w:pPr>
      <w:r>
        <w:t>14. Suggested Repository Structure</w:t>
      </w:r>
    </w:p>
    <w:p>
      <w:pPr>
        <w:spacing w:after="80"/>
      </w:pPr>
      <w:r>
        <w:rPr>
          <w:rFonts w:ascii="Courier New" w:hAnsi="Courier New"/>
          <w:sz w:val="17"/>
        </w:rPr>
        <w:t>portfolio-agent/</w:t>
        <w:br/>
        <w:t xml:space="preserve">  app/</w:t>
        <w:br/>
        <w:t xml:space="preserve">    connectors/zerodha.py</w:t>
        <w:br/>
        <w:t xml:space="preserve">    connectors/market_data.py</w:t>
        <w:br/>
        <w:t xml:space="preserve">    connectors/news.py</w:t>
        <w:br/>
        <w:t xml:space="preserve">    analytics/technicals.py</w:t>
        <w:br/>
        <w:t xml:space="preserve">    analytics/fundamentals.py</w:t>
        <w:br/>
        <w:t xml:space="preserve">    analytics/portfolio_risk.py</w:t>
        <w:br/>
        <w:t xml:space="preserve">    reasoning/prompts.py</w:t>
        <w:br/>
        <w:t xml:space="preserve">    reasoning/recommender.py</w:t>
        <w:br/>
        <w:t xml:space="preserve">    reports/daily_report.py</w:t>
        <w:br/>
        <w:t xml:space="preserve">    storage/models.py</w:t>
        <w:br/>
        <w:t xml:space="preserve">    storage/db.py</w:t>
        <w:br/>
        <w:t xml:space="preserve">    safety/guardrails.py</w:t>
        <w:br/>
        <w:t xml:space="preserve">  tests/</w:t>
        <w:br/>
        <w:t xml:space="preserve">  config.example.yaml</w:t>
        <w:br/>
        <w:t xml:space="preserve">  README.md</w:t>
        <w:br/>
        <w:t xml:space="preserve">  pyproject.toml</w:t>
      </w:r>
    </w:p>
    <w:p>
      <w:pPr>
        <w:pStyle w:val="Heading1"/>
        <w:spacing w:after="80"/>
      </w:pPr>
      <w:r>
        <w:t>15. Starter Prompt for Codex</w:t>
      </w:r>
    </w:p>
    <w:tbl>
      <w:tblPr>
        <w:tblStyle w:val="TableGrid"/>
        <w:tblW w:type="auto" w:w="0"/>
        <w:tblLook w:firstColumn="1" w:firstRow="1" w:lastColumn="0" w:lastRow="0" w:noHBand="0" w:noVBand="1" w:val="04A0"/>
      </w:tblPr>
      <w:tblGrid>
        <w:gridCol w:w="10224"/>
      </w:tblGrid>
      <w:tr>
        <w:tc>
          <w:tcPr>
            <w:tcW w:type="dxa" w:w="10224"/>
            <w:shd w:fill="F2F2F2"/>
            <w:vAlign w:val="top"/>
          </w:tcPr>
          <w:p>
            <w:pPr>
              <w:spacing w:after="0"/>
            </w:pPr>
            <w:r/>
            <w:r>
              <w:rPr>
                <w:b w:val="0"/>
              </w:rPr>
              <w:t>Build a Python portfolio intelligence agent for the Indian market using Zerodha Kite Connect. Start with a read-only implementation. Create modules for authentication, holdings/positions snapshot, historical candle ingestion, analytics, report generation, and safety guardrails. Use PostgreSQL or SQLite for local development. The daily report should analyze the last 24 trading days, compare each holding against NIFTY and relevant sector indices, flag material news/corporate actions, and classify each holding as Hold, Watch, Accumulate Candidate, Trim Candidate, or Exit Candidate. Do not place trades. All recommendations must include reasoning, confidence, and evidence. Include unit tests and mock data so the project can run without real credentials.</w:t>
            </w:r>
          </w:p>
        </w:tc>
      </w:tr>
    </w:tbl>
    <w:p>
      <w:pPr>
        <w:spacing w:after="80"/>
      </w:pPr>
    </w:p>
    <w:p>
      <w:pPr>
        <w:pStyle w:val="Heading1"/>
        <w:spacing w:after="80"/>
      </w:pPr>
      <w:r>
        <w:t>16. Metrics to Track from Day One</w:t>
      </w:r>
    </w:p>
    <w:p>
      <w:pPr>
        <w:pStyle w:val="ListBullet"/>
        <w:spacing w:after="80"/>
      </w:pPr>
      <w:r>
        <w:t>Portfolio total value and daily/weekly/monthly return.</w:t>
      </w:r>
    </w:p>
    <w:p>
      <w:pPr>
        <w:pStyle w:val="ListBullet"/>
        <w:spacing w:after="80"/>
      </w:pPr>
      <w:r>
        <w:t>Position weights and top 5 concentration.</w:t>
      </w:r>
    </w:p>
    <w:p>
      <w:pPr>
        <w:pStyle w:val="ListBullet"/>
        <w:spacing w:after="80"/>
      </w:pPr>
      <w:r>
        <w:t>Sector allocation and deviation from target allocation.</w:t>
      </w:r>
    </w:p>
    <w:p>
      <w:pPr>
        <w:pStyle w:val="ListBullet"/>
        <w:spacing w:after="80"/>
      </w:pPr>
      <w:r>
        <w:t>Position-level unrealized P&amp;L and realized P&amp;L.</w:t>
      </w:r>
    </w:p>
    <w:p>
      <w:pPr>
        <w:pStyle w:val="ListBullet"/>
        <w:spacing w:after="80"/>
      </w:pPr>
      <w:r>
        <w:t>1D, 5D, 20D return and relative strength vs benchmark.</w:t>
      </w:r>
    </w:p>
    <w:p>
      <w:pPr>
        <w:pStyle w:val="ListBullet"/>
        <w:spacing w:after="80"/>
      </w:pPr>
      <w:r>
        <w:t>Maximum drawdown from recent high.</w:t>
      </w:r>
    </w:p>
    <w:p>
      <w:pPr>
        <w:pStyle w:val="ListBullet"/>
        <w:spacing w:after="80"/>
      </w:pPr>
      <w:r>
        <w:t>Volatility and volume spike.</w:t>
      </w:r>
    </w:p>
    <w:p>
      <w:pPr>
        <w:pStyle w:val="ListBullet"/>
        <w:spacing w:after="80"/>
      </w:pPr>
      <w:r>
        <w:t>Corporate action and earnings calendar proximity.</w:t>
      </w:r>
    </w:p>
    <w:p>
      <w:pPr>
        <w:pStyle w:val="ListBullet"/>
        <w:spacing w:after="80"/>
      </w:pPr>
      <w:r>
        <w:t>Recommendation changes and reason for change.</w:t>
      </w:r>
    </w:p>
    <w:p>
      <w:pPr>
        <w:pStyle w:val="ListBullet"/>
        <w:spacing w:after="80"/>
      </w:pPr>
      <w:r>
        <w:t>Accuracy/backtest metrics: how Watch/Trim/Exit flags behaved after 7, 30, and 90 days.</w:t>
      </w:r>
    </w:p>
    <w:p>
      <w:pPr>
        <w:pStyle w:val="Heading1"/>
        <w:spacing w:after="80"/>
      </w:pPr>
      <w:r>
        <w:t>17. Source Notes Used for This Specification</w:t>
      </w:r>
    </w:p>
    <w:p>
      <w:pPr>
        <w:pStyle w:val="ListBullet"/>
        <w:spacing w:after="80"/>
      </w:pPr>
      <w:r>
        <w:t>Zerodha Kite Connect portfolio APIs describe holdings and positions APIs with up-to-date P&amp;L computations.</w:t>
      </w:r>
    </w:p>
    <w:p>
      <w:pPr>
        <w:pStyle w:val="ListBullet"/>
        <w:spacing w:after="80"/>
      </w:pPr>
      <w:r>
        <w:t>Zerodha Kite Connect historical candle APIs provide archived OHLCV candle data across intervals including daily candles.</w:t>
      </w:r>
    </w:p>
    <w:p>
      <w:pPr>
        <w:pStyle w:val="ListBullet"/>
        <w:spacing w:after="80"/>
      </w:pPr>
      <w:r>
        <w:t>Zerodha Kite Connect mutual fund APIs cover Coin mutual fund workflows; successful purchases are delivered to DEMAT, but API order placement is constrained by payment requirements.</w:t>
      </w:r>
    </w:p>
    <w:p>
      <w:pPr>
        <w:pStyle w:val="ListBullet"/>
        <w:spacing w:after="80"/>
      </w:pPr>
      <w:r>
        <w:t>Zerodha states Kite Connect exposes REST-like APIs for trading, portfolio management, and live market data streaming.</w:t>
      </w:r>
    </w:p>
    <w:p>
      <w:pPr>
        <w:pStyle w:val="ListBullet"/>
        <w:spacing w:after="80"/>
      </w:pPr>
      <w:r>
        <w:t>SEBI Investment Adviser regulations apply to investment advice in India; commercial/public advisory use should be reviewed for registration and compliance obligations.</w:t>
      </w:r>
    </w:p>
    <w:p>
      <w:pPr>
        <w:pStyle w:val="Heading1"/>
        <w:spacing w:after="80"/>
      </w:pPr>
      <w:r>
        <w:t>18. Recommended First Build Decision</w:t>
      </w:r>
    </w:p>
    <w:p>
      <w:pPr>
        <w:spacing w:after="80"/>
      </w:pPr>
      <w:r>
        <w:t>Build Version 1 as a private, read-only, daily report generator. Do not include order placement. The first success criterion should be: “Every morning, I understand what changed in my portfolio, which stocks need attention, and why.” Once the report is consistently useful, add mutual funds, then dashboarding, then optional human-approved order drafting.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Indian Market Portfolio Intelligence Agent | Zerodha / Kite | Decision-support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