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Screen Navigation &amp; Workflow Guide</w:t>
      </w:r>
    </w:p>
    <w:p>
      <w:pPr>
        <w:shd w:fill="FFF4E5" w:val="clear"/>
        <w:spacing w:after="150"/>
      </w:pPr>
      <w:r>
        <w:rPr>
          <w:i/>
          <w:iCs/>
          <w:color w:val="8A5A00"/>
        </w:rPr>
        <w:t xml:space="preserve">SYNTHETIC TEST DATA — This document was generated for RAG system development and testing only. It does not represent real clinical guidance, a real hospital policy, or real patient information. Do not use for actual patient care.</w:t>
      </w:r>
    </w:p>
    <w:p>
      <w:pPr>
        <w:spacing w:after="200"/>
      </w:pPr>
      <w:r>
        <w:rPr>
          <w:color w:val="5B6B7B"/>
          <w:sz w:val="18"/>
          <w:szCs w:val="18"/>
        </w:rPr>
        <w:t xml:space="preserve">Document ID: DOC_090   |   Type: app_documentation   |   Domain: general_medicine</w:t>
      </w:r>
    </w:p>
    <w:p>
      <w:pPr>
        <w:pStyle w:val="Heading2"/>
      </w:pPr>
      <w:r>
        <w:t xml:space="preserve">Purpose</w:t>
      </w:r>
    </w:p>
    <w:p>
      <w:r>
        <w:t xml:space="preserve">Reference documentation for the medical application's structure, supporting both human users and the future Medical AI Agent's understanding of the platform it operates within.</w:t>
      </w:r>
    </w:p>
    <w:p>
      <w:pPr>
        <w:pStyle w:val="Heading2"/>
        <w:spacing w:before="200"/>
      </w:pPr>
      <w:r>
        <w:t xml:space="preserve">Reference Table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Workflow ID</w:t>
            </w:r>
          </w:p>
        </w:tc>
        <w:tc>
          <w:tcPr>
            <w:tcW w:type="dxa" w:w="22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Screen Count</w:t>
            </w:r>
          </w:p>
        </w:tc>
        <w:tc>
          <w:tcPr>
            <w:tcW w:type="dxa" w:w="4800"/>
            <w:shd w:fill="1464A5" w:val="clear"/>
          </w:tcPr>
          <w:p>
            <w:r>
              <w:rPr>
                <w:b/>
                <w:bCs/>
                <w:color w:val="FFFFFF"/>
              </w:rPr>
              <w:t xml:space="preserve">Entry Trigger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WF_001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6</w:t>
            </w:r>
          </w:p>
        </w:tc>
        <w:tc>
          <w:tcPr>
            <w:tcW w:type="dxa" w:w="4800"/>
            <w:shd w:fill="FFFFFF" w:val="clear"/>
          </w:tcPr>
          <w:p>
            <w:r>
              <w:t xml:space="preserve">Active order or referral</w:t>
            </w:r>
          </w:p>
        </w:tc>
      </w:tr>
      <w:tr>
        <w:tc>
          <w:tcPr>
            <w:tcW w:type="dxa" w:w="2200"/>
            <w:shd w:fill="F2F6FA" w:val="clear"/>
          </w:tcPr>
          <w:p>
            <w:r>
              <w:t xml:space="preserve">WF_002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4</w:t>
            </w:r>
          </w:p>
        </w:tc>
        <w:tc>
          <w:tcPr>
            <w:tcW w:type="dxa" w:w="4800"/>
            <w:shd w:fill="F2F6FA" w:val="clear"/>
          </w:tcPr>
          <w:p>
            <w:r>
              <w:t xml:space="preserve">Active order or referral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WF_003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5</w:t>
            </w:r>
          </w:p>
        </w:tc>
        <w:tc>
          <w:tcPr>
            <w:tcW w:type="dxa" w:w="4800"/>
            <w:shd w:fill="FFFFFF" w:val="clear"/>
          </w:tcPr>
          <w:p>
            <w:r>
              <w:t xml:space="preserve">Active order or referral</w:t>
            </w:r>
          </w:p>
        </w:tc>
      </w:tr>
      <w:tr>
        <w:tc>
          <w:tcPr>
            <w:tcW w:type="dxa" w:w="2200"/>
            <w:shd w:fill="F2F6FA" w:val="clear"/>
          </w:tcPr>
          <w:p>
            <w:r>
              <w:t xml:space="preserve">WF_004</w:t>
            </w:r>
          </w:p>
        </w:tc>
        <w:tc>
          <w:tcPr>
            <w:tcW w:type="dxa" w:w="2200"/>
            <w:shd w:fill="F2F6FA" w:val="clear"/>
          </w:tcPr>
          <w:p>
            <w:r>
              <w:t xml:space="preserve">5</w:t>
            </w:r>
          </w:p>
        </w:tc>
        <w:tc>
          <w:tcPr>
            <w:tcW w:type="dxa" w:w="4800"/>
            <w:shd w:fill="F2F6FA" w:val="clear"/>
          </w:tcPr>
          <w:p>
            <w:r>
              <w:t xml:space="preserve">Active order or referral</w:t>
            </w:r>
          </w:p>
        </w:tc>
      </w:tr>
      <w:tr>
        <w:tc>
          <w:tcPr>
            <w:tcW w:type="dxa" w:w="2200"/>
            <w:shd w:fill="FFFFFF" w:val="clear"/>
          </w:tcPr>
          <w:p>
            <w:r>
              <w:t xml:space="preserve">WF_005</w:t>
            </w:r>
          </w:p>
        </w:tc>
        <w:tc>
          <w:tcPr>
            <w:tcW w:type="dxa" w:w="2200"/>
            <w:shd w:fill="FFFFFF" w:val="clear"/>
          </w:tcPr>
          <w:p>
            <w:r>
              <w:t xml:space="preserve">4</w:t>
            </w:r>
          </w:p>
        </w:tc>
        <w:tc>
          <w:tcPr>
            <w:tcW w:type="dxa" w:w="4800"/>
            <w:shd w:fill="FFFFFF" w:val="clear"/>
          </w:tcPr>
          <w:p>
            <w:r>
              <w:t xml:space="preserve">Active order or referral</w:t>
            </w:r>
          </w:p>
        </w:tc>
      </w:tr>
    </w:tbl>
    <w:p>
      <w:pPr>
        <w:spacing w:after="150"/>
      </w:pPr>
    </w:p>
    <w:p>
      <w:pPr>
        <w:pStyle w:val="Heading2"/>
      </w:pPr>
      <w:r>
        <w:t xml:space="preserve">Reference Visual (Synthetic)</w:t>
      </w:r>
    </w:p>
    <w:p>
      <w:r>
        <w:drawing>
          <wp:inline distT="0" distB="0" distL="0" distR="0">
            <wp:extent cx="40005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</w:p>
    <w:p>
      <w:r>
        <w:t xml:space="preserve">This is a synthetic example document created for RAG system testing. It is not a substitute for actual institutional policy or clinical guidance.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00794effa52905e1cd39d16414cfd0371ebc8c7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2026-08-11T14:16:05.413Z</dcterms:created>
  <dcterms:modified xsi:type="dcterms:W3CDTF">2026-08-11T14:16:05.413Z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