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Error Recovery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DOC_105   |   Type: agent_procedure   |   Domain: agent_operations</w:t>
      </w:r>
    </w:p>
    <w:p>
      <w:pPr>
        <w:pStyle w:val="Heading2"/>
      </w:pPr>
      <w:r>
        <w:t xml:space="preserve">Purpose</w:t>
      </w:r>
    </w:p>
    <w:p>
      <w:r>
        <w:t xml:space="preserve">Defines how the future Medical AI Agent should behave for this operational scenario, consistent with the RAG-provides-knowledge / Agent-provides-decisions separation of responsibilities.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Detect the error class (validation failure, scan mismatch, connectivity loss, other)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Retrieve the relevant error-handling guidance for that error class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Attempt one bounded retry where the error class supports it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Escalate to a human operator if the retry does not resolve the error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2026-08-11T14:16:05.884Z</dcterms:created>
  <dcterms:modified xsi:type="dcterms:W3CDTF">2026-08-11T14:16:05.884Z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