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66DDD" w14:textId="6D736621" w:rsidR="003B6785" w:rsidRPr="003B6785" w:rsidRDefault="003B6785" w:rsidP="003B678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B6785">
        <w:rPr>
          <w:rFonts w:ascii="Arial" w:hAnsi="Arial" w:cs="Arial"/>
          <w:b/>
          <w:bCs/>
          <w:sz w:val="32"/>
          <w:szCs w:val="32"/>
        </w:rPr>
        <w:t>Capability Modelling for Kudzu Species using GIS</w:t>
      </w:r>
    </w:p>
    <w:p w14:paraId="529CD584" w14:textId="2DBE6B30" w:rsidR="003B6785" w:rsidRDefault="003B6785" w:rsidP="003B678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B6785">
        <w:rPr>
          <w:rFonts w:ascii="Arial" w:hAnsi="Arial" w:cs="Arial"/>
          <w:b/>
          <w:bCs/>
          <w:sz w:val="32"/>
          <w:szCs w:val="32"/>
        </w:rPr>
        <w:t>Srinivas Konreddy</w:t>
      </w:r>
    </w:p>
    <w:p w14:paraId="7896A2F9" w14:textId="77777777" w:rsidR="003B6785" w:rsidRDefault="003B6785" w:rsidP="003B6785">
      <w:pPr>
        <w:rPr>
          <w:rFonts w:ascii="Arial" w:hAnsi="Arial" w:cs="Arial"/>
          <w:b/>
          <w:bCs/>
          <w:sz w:val="32"/>
          <w:szCs w:val="32"/>
        </w:rPr>
      </w:pPr>
    </w:p>
    <w:p w14:paraId="3699A23A" w14:textId="42DC226C" w:rsidR="003B6785" w:rsidRDefault="003B6785" w:rsidP="003B678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Project Overview:</w:t>
      </w:r>
    </w:p>
    <w:p w14:paraId="2630051A" w14:textId="3AC012DB" w:rsidR="003B6785" w:rsidRDefault="003B6785" w:rsidP="003B6785">
      <w:pPr>
        <w:rPr>
          <w:rFonts w:ascii="Arial" w:hAnsi="Arial" w:cs="Arial"/>
        </w:rPr>
      </w:pPr>
      <w:r w:rsidRPr="003B6785">
        <w:rPr>
          <w:rFonts w:ascii="Arial" w:hAnsi="Arial" w:cs="Arial"/>
        </w:rPr>
        <w:t>This lab focused on environmental suitability analysis using raster-based capability modeling to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determine where the invasive plant species Kudzu could potentially grow across the contiguous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United States. The modeling integrated climatic and topographic data, including elevation, annual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precipitation, temperature, and frost-free days. Using ArcGIS tools like Raster Calculator, Zonal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 xml:space="preserve">Statistics, and Map Algebra, binary thresholds were applied to environmental </w:t>
      </w:r>
      <w:proofErr w:type="gramStart"/>
      <w:r w:rsidRPr="003B6785">
        <w:rPr>
          <w:rFonts w:ascii="Arial" w:hAnsi="Arial" w:cs="Arial"/>
        </w:rPr>
        <w:t>raster’s</w:t>
      </w:r>
      <w:proofErr w:type="gramEnd"/>
      <w:r w:rsidRPr="003B6785">
        <w:rPr>
          <w:rFonts w:ascii="Arial" w:hAnsi="Arial" w:cs="Arial"/>
        </w:rPr>
        <w:t xml:space="preserve"> to evaluate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regions' capacity to support Kudzu growth. The objective was to create a pass/fail model that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visualizes where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environmental conditions are sufficient for Kudzu to survive or thrive, based on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thresholds for precipitation and temperature.</w:t>
      </w:r>
    </w:p>
    <w:p w14:paraId="1C9DCDB5" w14:textId="2E732423" w:rsidR="003B6785" w:rsidRDefault="003B6785" w:rsidP="003B6785">
      <w:pPr>
        <w:rPr>
          <w:rFonts w:ascii="Arial" w:hAnsi="Arial" w:cs="Arial"/>
        </w:rPr>
      </w:pPr>
      <w:r w:rsidRPr="003B6785">
        <w:rPr>
          <w:rFonts w:ascii="Arial" w:hAnsi="Arial" w:cs="Arial"/>
        </w:rPr>
        <w:t>Core skills applied include raster reclassification, binary modeling, regression-based prediction of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frost-free days, and raster-vector transformations for spatial statistical modeling.</w:t>
      </w:r>
      <w:r>
        <w:rPr>
          <w:rFonts w:ascii="Arial" w:hAnsi="Arial" w:cs="Arial"/>
        </w:rPr>
        <w:br/>
      </w:r>
    </w:p>
    <w:p w14:paraId="72DBFC50" w14:textId="3B5F0730" w:rsidR="003B6785" w:rsidRDefault="003B6785" w:rsidP="003B67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Map 1: </w:t>
      </w:r>
      <w:r w:rsidRPr="003B6785">
        <w:rPr>
          <w:rFonts w:ascii="Arial" w:hAnsi="Arial" w:cs="Arial"/>
        </w:rPr>
        <w:t>Elevation Statistics by State</w:t>
      </w:r>
    </w:p>
    <w:p w14:paraId="69F6F165" w14:textId="73F28464" w:rsidR="003B6785" w:rsidRDefault="003B6785" w:rsidP="003B6785">
      <w:pPr>
        <w:rPr>
          <w:rFonts w:ascii="Arial" w:hAnsi="Arial" w:cs="Arial"/>
        </w:rPr>
      </w:pPr>
      <w:r w:rsidRPr="003B6785">
        <w:rPr>
          <w:rFonts w:ascii="Arial" w:hAnsi="Arial" w:cs="Arial"/>
        </w:rPr>
        <w:t>This map pair displays the Mean and Maximum Elevation values across selected U.S. states (Georgia, California, Texas). The data was derived using Zonal Statistics applied to an elevation raster (</w:t>
      </w:r>
      <w:proofErr w:type="gramStart"/>
      <w:r w:rsidRPr="003B6785">
        <w:rPr>
          <w:rFonts w:ascii="Arial" w:hAnsi="Arial" w:cs="Arial"/>
        </w:rPr>
        <w:t>elev10k</w:t>
      </w:r>
      <w:proofErr w:type="gramEnd"/>
      <w:r w:rsidRPr="003B6785">
        <w:rPr>
          <w:rFonts w:ascii="Arial" w:hAnsi="Arial" w:cs="Arial"/>
        </w:rPr>
        <w:t>). These visualizations support environmental analysis by highlighting topographic variability that may influence ecological distributions.</w:t>
      </w:r>
    </w:p>
    <w:p w14:paraId="6BBAFB05" w14:textId="7F3CDAAC" w:rsidR="003B6785" w:rsidRDefault="003B6785" w:rsidP="003B6785">
      <w:pPr>
        <w:rPr>
          <w:rFonts w:ascii="Arial" w:hAnsi="Arial" w:cs="Arial"/>
        </w:rPr>
      </w:pPr>
      <w:r w:rsidRPr="001619CB">
        <w:rPr>
          <w:rFonts w:ascii="Calibri Light" w:hAnsi="Calibri Light" w:cs="Calibri Light"/>
          <w:b/>
          <w:noProof/>
        </w:rPr>
        <w:drawing>
          <wp:inline distT="0" distB="0" distL="0" distR="0" wp14:anchorId="5C9DF7A3" wp14:editId="7235C4C7">
            <wp:extent cx="4983480" cy="2660015"/>
            <wp:effectExtent l="0" t="0" r="7620" b="6985"/>
            <wp:docPr id="1633269048" name="Picture 1" descr="A map of the united states with different color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69048" name="Picture 1" descr="A map of the united states with different colored stat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390" cy="26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4C5" w14:textId="029CDF87" w:rsidR="003B6785" w:rsidRDefault="003B6785" w:rsidP="003B67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Map 2: Precipitation Threshold Map</w:t>
      </w:r>
    </w:p>
    <w:p w14:paraId="39524CA6" w14:textId="290FE059" w:rsidR="003B6785" w:rsidRDefault="003B6785" w:rsidP="003B6785">
      <w:pPr>
        <w:rPr>
          <w:rFonts w:ascii="Arial" w:hAnsi="Arial" w:cs="Arial"/>
        </w:rPr>
      </w:pPr>
      <w:r w:rsidRPr="003B6785">
        <w:rPr>
          <w:rFonts w:ascii="Arial" w:hAnsi="Arial" w:cs="Arial"/>
        </w:rPr>
        <w:t>This binary classification map shows areas that meet or fall below an annual precipitation threshold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of 4000 mm, a condition necessary for Kudzu survival. Using a conditional raster calculation, the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dataset was reclassified to mark suitable areas (1) and unsuitable areas (0) for precipitation.</w:t>
      </w:r>
    </w:p>
    <w:p w14:paraId="1ABD3006" w14:textId="6CE8F293" w:rsidR="003B6785" w:rsidRDefault="003B6785" w:rsidP="003B6785">
      <w:pPr>
        <w:rPr>
          <w:rFonts w:ascii="Arial" w:hAnsi="Arial" w:cs="Arial"/>
        </w:rPr>
      </w:pPr>
      <w:r w:rsidRPr="00A81DD9">
        <w:rPr>
          <w:rFonts w:ascii="Calibri Light" w:hAnsi="Calibri Light" w:cs="Calibri Light"/>
          <w:bCs/>
          <w:noProof/>
        </w:rPr>
        <w:drawing>
          <wp:inline distT="0" distB="0" distL="0" distR="0" wp14:anchorId="3FAED6DB" wp14:editId="2266F443">
            <wp:extent cx="5413333" cy="3345180"/>
            <wp:effectExtent l="0" t="0" r="0" b="7620"/>
            <wp:docPr id="1503429655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9655" name="Picture 1" descr="A map of the united stat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836" cy="33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7FA" w14:textId="65F46827" w:rsidR="003B6785" w:rsidRDefault="003B6785" w:rsidP="003B6785">
      <w:pPr>
        <w:rPr>
          <w:rFonts w:ascii="Arial" w:hAnsi="Arial" w:cs="Arial"/>
        </w:rPr>
      </w:pPr>
      <w:r>
        <w:rPr>
          <w:rFonts w:ascii="Arial" w:hAnsi="Arial" w:cs="Arial"/>
        </w:rPr>
        <w:t>Map 3: Frost Free Requirements Days Map</w:t>
      </w:r>
    </w:p>
    <w:p w14:paraId="4E198314" w14:textId="6970B9B7" w:rsidR="003B6785" w:rsidRDefault="003B6785" w:rsidP="003B6785">
      <w:pPr>
        <w:rPr>
          <w:rFonts w:ascii="Arial" w:hAnsi="Arial" w:cs="Arial"/>
        </w:rPr>
      </w:pPr>
      <w:r w:rsidRPr="00DC26CF">
        <w:rPr>
          <w:rFonts w:ascii="Calibri Light" w:hAnsi="Calibri Light" w:cs="Calibri Light"/>
          <w:b/>
          <w:noProof/>
        </w:rPr>
        <w:drawing>
          <wp:inline distT="0" distB="0" distL="0" distR="0" wp14:anchorId="2491A38F" wp14:editId="78B60C96">
            <wp:extent cx="5326380" cy="3216366"/>
            <wp:effectExtent l="0" t="0" r="7620" b="3175"/>
            <wp:docPr id="1035688224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8224" name="Picture 1" descr="A map of the united stat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394" cy="32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64D" w14:textId="4B506B99" w:rsidR="003B6785" w:rsidRDefault="003B6785" w:rsidP="003B67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Map 4: Capability Model Map</w:t>
      </w:r>
    </w:p>
    <w:p w14:paraId="02B45D7A" w14:textId="11A3036B" w:rsidR="003B6785" w:rsidRDefault="003B6785" w:rsidP="003B6785">
      <w:pPr>
        <w:rPr>
          <w:rFonts w:ascii="Arial" w:hAnsi="Arial" w:cs="Arial"/>
        </w:rPr>
      </w:pPr>
      <w:r w:rsidRPr="003B6785">
        <w:rPr>
          <w:rFonts w:ascii="Arial" w:hAnsi="Arial" w:cs="Arial"/>
        </w:rPr>
        <w:t xml:space="preserve">This final map overlays the reclassified precipitation and frost-free </w:t>
      </w:r>
      <w:r w:rsidRPr="003B6785">
        <w:rPr>
          <w:rFonts w:ascii="Arial" w:hAnsi="Arial" w:cs="Arial"/>
        </w:rPr>
        <w:t>raster</w:t>
      </w:r>
      <w:r w:rsidRPr="003B6785">
        <w:rPr>
          <w:rFonts w:ascii="Arial" w:hAnsi="Arial" w:cs="Arial"/>
        </w:rPr>
        <w:t xml:space="preserve"> into a composite suitability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index using a concatenation method. The resulting grid codes reflect all possible environmental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outcomes (e.g., sufficient precipitation and optimal warmth). This comprehensive model identifies</w:t>
      </w:r>
      <w:r>
        <w:rPr>
          <w:rFonts w:ascii="Arial" w:hAnsi="Arial" w:cs="Arial"/>
        </w:rPr>
        <w:t xml:space="preserve"> </w:t>
      </w:r>
      <w:r w:rsidRPr="003B6785">
        <w:rPr>
          <w:rFonts w:ascii="Arial" w:hAnsi="Arial" w:cs="Arial"/>
        </w:rPr>
        <w:t>areas where Kudzu can thrive, survive, or fail, enabling strategic ecological planning.</w:t>
      </w:r>
    </w:p>
    <w:p w14:paraId="2878A591" w14:textId="0E4A0E93" w:rsidR="003B6785" w:rsidRPr="003B6785" w:rsidRDefault="003B6785" w:rsidP="003B6785">
      <w:pPr>
        <w:rPr>
          <w:rFonts w:ascii="Arial" w:hAnsi="Arial" w:cs="Arial"/>
        </w:rPr>
      </w:pPr>
      <w:r w:rsidRPr="00025AED">
        <w:rPr>
          <w:rFonts w:ascii="Calibri Light" w:hAnsi="Calibri Light" w:cs="Calibri Light"/>
          <w:b/>
          <w:noProof/>
        </w:rPr>
        <w:drawing>
          <wp:inline distT="0" distB="0" distL="0" distR="0" wp14:anchorId="4A1DC736" wp14:editId="6DE36A5E">
            <wp:extent cx="5943600" cy="3626656"/>
            <wp:effectExtent l="0" t="0" r="0" b="0"/>
            <wp:docPr id="1747917415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17415" name="Picture 1" descr="A map of the united stat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785" w:rsidRPr="003B6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785"/>
    <w:rsid w:val="003B6785"/>
    <w:rsid w:val="00B03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DC8F"/>
  <w15:chartTrackingRefBased/>
  <w15:docId w15:val="{BB3A0C5F-9321-4D71-B81F-CA6DBB43E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7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7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7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7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7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7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7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7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7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7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Konreddy</dc:creator>
  <cp:keywords/>
  <dc:description/>
  <cp:lastModifiedBy>Srinivas Konreddy</cp:lastModifiedBy>
  <cp:revision>1</cp:revision>
  <cp:lastPrinted>2025-04-23T18:47:00Z</cp:lastPrinted>
  <dcterms:created xsi:type="dcterms:W3CDTF">2025-04-23T18:37:00Z</dcterms:created>
  <dcterms:modified xsi:type="dcterms:W3CDTF">2025-04-23T18:47:00Z</dcterms:modified>
</cp:coreProperties>
</file>