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Classify Song Genres from Audio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1"/>
          <w:szCs w:val="21"/>
          <w:highlight w:val="white"/>
          <w:rtl w:val="0"/>
        </w:rPr>
        <w:t xml:space="preserve">Over the past few years, streaming services with huge catalogs have become the primary means through which most people listen to their favorite music. But at the same time, the sheer amount of music on offer can mean users might be a bit overwhelmed when trying to look for newer music that suits their tastes.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Balancing our data has removed bias towards the more prevalent class. To get a good sense of how well our models are actually performing, we can apply what's called </w:t>
      </w:r>
      <w:r w:rsidDel="00000000" w:rsidR="00000000" w:rsidRPr="00000000">
        <w:rPr>
          <w:b w:val="1"/>
          <w:sz w:val="21"/>
          <w:szCs w:val="21"/>
          <w:highlight w:val="white"/>
          <w:rtl w:val="0"/>
        </w:rPr>
        <w:t xml:space="preserve">cross-validation</w:t>
      </w:r>
      <w:r w:rsidDel="00000000" w:rsidR="00000000" w:rsidRPr="00000000">
        <w:rPr>
          <w:sz w:val="21"/>
          <w:szCs w:val="21"/>
          <w:highlight w:val="white"/>
          <w:rtl w:val="0"/>
        </w:rPr>
        <w:t xml:space="preserve"> (CV).</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K-fold first splits the data into K different, equally sized subsets. Then, it iteratively uses each subset as a test set while using the remainder of the data as train sets. Finally, we can then aggregate the results from each fold for a final model performance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