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36d7e89ff5a0035776f985ae837b0a8adb7be8e"/>
    <w:p>
      <w:pPr>
        <w:pStyle w:val="Heading1"/>
      </w:pPr>
      <w:r>
        <w:t xml:space="preserve">Early Post-Marketing Safety Signals of Datopotamab Deruxtecan: FAERS Disproportionality with Active-Comparator and JADER Sensitivity Analyses</w:t>
      </w:r>
    </w:p>
    <w:bookmarkStart w:id="9" w:name="abstract"/>
    <w:p>
      <w:pPr>
        <w:pStyle w:val="Heading2"/>
      </w:pPr>
      <w:r>
        <w:t xml:space="preserve">Abstract</w:t>
      </w:r>
    </w:p>
    <w:p>
      <w:pPr>
        <w:pStyle w:val="FirstParagraph"/>
      </w:pPr>
      <w:r>
        <w:rPr>
          <w:b/>
          <w:bCs/>
        </w:rPr>
        <w:t xml:space="preserve">Objective.</w:t>
      </w:r>
      <w:r>
        <w:t xml:space="preserve"> </w:t>
      </w:r>
      <w:r>
        <w:t xml:space="preserve">To characterize spontaneous adverse event reporting patterns for datopotamab deruxtecan, a TROP2-directed antibody-drug conjugate, using multi-algorithm FAERS disproportionality analysis with breast-cancer active comparators and an independent JADER sensitivity analysis.</w:t>
      </w:r>
    </w:p>
    <w:p>
      <w:pPr>
        <w:pStyle w:val="BodyText"/>
      </w:pPr>
      <w:r>
        <w:rPr>
          <w:b/>
          <w:bCs/>
        </w:rPr>
        <w:t xml:space="preserve">Methods.</w:t>
      </w:r>
      <w:r>
        <w:t xml:space="preserve"> </w:t>
      </w:r>
      <w:r>
        <w:t xml:space="preserve">FAERS quarterly data for 2025Q1-2026Q1 were searched for datopotamab deruxtecan under six name variants; records were restricted to Primary Suspect reports, deduplicated by FDA-standard rules (latest FDA_DT, tie-broken by highest PRIMARYID), and checked against FDA’s deleted-case lists. Reaction terms were coded as MedDRA Preferred Terms. Four disproportionality algorithms were computed: reporting odds ratio (ROR), proportional reporting ratio (PRR) with Yates-corrected chi-square, an approximate BCPNN Information Component (IC), and a single-component Gamma-Poisson empirical Bayes shrinkage analogous to MGPS (EBGM/EB05). A primary signal required ROR CI lower bound &gt;1 (≥3 cases) and IC025 &gt;0; PRR/chi-square and EB05 were retained as sensitivity measures. The indication-linked breast-cancer analysis used a prespecified hierarchy of full FAERS, trial-aligned chemotherapy, T-DXd alone, and SG alone, with leave-one-drug-out analysis of the chemotherapy pool. An independent JADER analysis was not pooled with FAERS. Time to onset was modeled with a Weibull distribution.</w:t>
      </w:r>
    </w:p>
    <w:p>
      <w:pPr>
        <w:pStyle w:val="BodyText"/>
      </w:pPr>
      <w:r>
        <w:rPr>
          <w:b/>
          <w:bCs/>
        </w:rPr>
        <w:t xml:space="preserve">Results.</w:t>
      </w:r>
      <w:r>
        <w:t xml:space="preserve"> </w:t>
      </w:r>
      <w:r>
        <w:t xml:space="preserve">After deduplication, 416 unique Primary Suspect FAERS cases were analyzed (Table 1). Eight preferred terms met the ROR+IC signal rule, including stomatitis, interstitial lung disease (ILD), dry eye, and infusion-related reaction, alongside oncology-population reporting artifacts (Table 3). After excluding explicitly linked TNBC, HER2-positive, and HR-negative indications, 182 HR-positive/HER2-negative-compatible breast-cancer cases remained. Stomatitis was positive against full FAERS (ROR 91.59), trial-aligned chemotherapy (ROR 26.20), T-DXd alone (ROR 114.51), and SG alone (ROR 97.75), and survived every leave-one-drug-out analysis. ILD did not meet the ROR+IC rule in any of these tiers. JADER contained 50 compatible Dato-DXd breast-cancer report versions; ILD was reported in 14 and met the rule only against full JADER (ROR 8.49). Quarterly Dato-DXd reporting rose from 23 cases in 2025Q1 to 127 in 2026Q1. Time to onset in FAERS (available for 21.6%) had a median of 22.0 days (IQR 3.0-55.75).</w:t>
      </w:r>
    </w:p>
    <w:p>
      <w:pPr>
        <w:pStyle w:val="BodyText"/>
      </w:pPr>
      <w:r>
        <w:rPr>
          <w:b/>
          <w:bCs/>
        </w:rPr>
        <w:t xml:space="preserve">Conclusion.</w:t>
      </w:r>
      <w:r>
        <w:t xml:space="preserve"> </w:t>
      </w:r>
      <w:r>
        <w:t xml:space="preserve">Disproportionality signals were broadly consistent with datopotamab deruxtecan’s labeled toxicity profile. Stomatitis was robust to clinically relevant FAERS comparator choices, whereas ILD was strongly sensitive to comparator definition, consistent with indication and ADC-class confounding. Given the short observation window, small JADER cohort, and consequent low counts for individual terms, these findings are hypothesis-generating and require confirmation as both databases mature.</w:t>
      </w:r>
    </w:p>
    <w:bookmarkEnd w:id="9"/>
    <w:bookmarkStart w:id="10" w:name="introduction"/>
    <w:p>
      <w:pPr>
        <w:pStyle w:val="Heading2"/>
      </w:pPr>
      <w:r>
        <w:t xml:space="preserve">Introduction</w:t>
      </w:r>
    </w:p>
    <w:p>
      <w:pPr>
        <w:pStyle w:val="FirstParagraph"/>
      </w:pPr>
      <w:r>
        <w:t xml:space="preserve">Datopotamab deruxtecan (Datroway; Dato-DXd; DS-1062a; datopotamab deruxtecan-dlnk) is a TROP2 (trophoblast cell-surface antigen 2)-directed antibody-drug conjugate. A humanized IgG1 monoclonal antibody against TROP2 is joined by a cleavable linker to DXd, an exatecan-derivative topoisomerase I inhibitor payload; after the antibody binds TROP2-expressing tumor cells and the conjugate is internalized, DXd is released intracellularly, causing DNA damage and cell death, with bystander killing of adjacent TROP2-low or -negative cells proposed as part of its mechanism.</w:t>
      </w:r>
    </w:p>
    <w:p>
      <w:pPr>
        <w:pStyle w:val="BodyText"/>
      </w:pPr>
      <w:r>
        <w:t xml:space="preserve">The drug’s US regulatory history has been rapid. It received Japanese approval on 27 December 2024 for HR-positive, HER2-negative unresectable or recurrent breast cancer, followed by US FDA approval on 17 January 2025 for unresectable or metastatic HR-positive, HER2-negative breast cancer. Accelerated approval for locally advanced or metastatic EGFR-mutated non-small cell lung cancer (NSCLC) followed on 23 June 2025, and a first-line indication in unresectable or metastatic triple-negative breast cancer (TNBC), for patients ineligible for PD-1/PD-L1 inhibitor therapy, was granted on 22 May 2026. Three US indications were therefore added within roughly sixteen months of first approval, and the drug’s exposed population has been expanding throughout the period studied here.</w:t>
      </w:r>
    </w:p>
    <w:p>
      <w:pPr>
        <w:pStyle w:val="BodyText"/>
      </w:pPr>
      <w:r>
        <w:t xml:space="preserve">The current US label carries four Warnings and Precautions: interstitial lung disease (ILD)/pneumonitis (reported in 7% of NSCLC and 3% of breast cancer trial patients), ocular adverse reactions (38% of patients across pooled trials, including dry eye, keratitis, and conjunctivitis), stomatitis (63% of patients in pooled safety data, including mouth ulcers and oral mucositis), and embryo-fetal toxicity. Infusion-related reactions are addressed in the label’s dosing and monitoring guidance rather than as a numbered Warnings and Precautions subsection, but are a recognized adverse event of special interest (AESI) in the clinical literature.</w:t>
      </w:r>
    </w:p>
    <w:p>
      <w:pPr>
        <w:pStyle w:val="BodyText"/>
      </w:pPr>
      <w:r>
        <w:t xml:space="preserve">An iterative literature search (PubMed, web search, preprint servers, conducted 2026-07-08 and documented in full in</w:t>
      </w:r>
      <w:r>
        <w:t xml:space="preserve"> </w:t>
      </w:r>
      <w:r>
        <w:rPr>
          <w:rStyle w:val="VerbatimChar"/>
        </w:rPr>
        <w:t xml:space="preserve">docs/candidate_justification.md</w:t>
      </w:r>
      <w:r>
        <w:t xml:space="preserve">) across all known name variants of the drug and adjacent framings (TROP2 antibody-drug conjugate safety, ADC-class pneumonitis disproportionality) found no dedicated, full disproportionality analysis of datopotamab deruxtecan using FAERS, VigiBase, or any other spontaneous-report pharmacovigilance database. The nearest overlap, a 2026 class-level FAERS analysis of antibody-drug conjugate payload components, lists datopotamab deruxtecan among fourteen approved ADCs but reports no drug-level disproportionality statistic for it, most plausibly because that study’s data window (through 2024Q4) closed at or before the drug’s US approval. This is consistent with, not despite, the short interval since approval: existing ADC-class FAERS studies are mechanically excluded from covering this drug by their own data windows.</w:t>
      </w:r>
    </w:p>
    <w:p>
      <w:pPr>
        <w:pStyle w:val="BodyText"/>
      </w:pPr>
      <w:r>
        <w:t xml:space="preserve">This study’s objective was to conduct a multi-algorithm disproportionality analysis of datopotamab deruxtecan using FAERS data spanning its first five available quarters on the US market (2025Q1-2026Q1), test the robustness of findings using breast-cancer active comparators and an independent JADER analysis, compare recovered signals against the current label, and describe reporting demographics, serious-outcome patterns, and time to onset, while explicitly quantifying the statistical limitations imposed by the drug’s short market history.</w:t>
      </w:r>
    </w:p>
    <w:bookmarkEnd w:id="10"/>
    <w:bookmarkStart w:id="21" w:name="methods"/>
    <w:p>
      <w:pPr>
        <w:pStyle w:val="Heading2"/>
      </w:pPr>
      <w:r>
        <w:t xml:space="preserve">Methods</w:t>
      </w:r>
    </w:p>
    <w:bookmarkStart w:id="11" w:name="data-source-and-window"/>
    <w:p>
      <w:pPr>
        <w:pStyle w:val="Heading3"/>
      </w:pPr>
      <w:r>
        <w:t xml:space="preserve">Data source and window</w:t>
      </w:r>
    </w:p>
    <w:p>
      <w:pPr>
        <w:pStyle w:val="FirstParagraph"/>
      </w:pPr>
      <w:r>
        <w:t xml:space="preserve">Case-level data were obtained from the FDA Adverse Event Reporting System (FAERS) quarterly ASCII data files (DEMO, DRUG, REAC, OUTC, THER, INDI tables), downloaded directly from FDA’s public quarterly export service. All quarters FDA had published as of the acquisition date (2026-07-08) were used: 2025Q1, 2025Q2, 2025Q3, 2025Q4, and 2026Q1 (2026Q2 was not yet available). This window begins at the start of the calendar quarter of the drug’s first US approval (17 January 2025) and represents the entirety of its US post-marketing history available in FAERS at the time of analysis.</w:t>
      </w:r>
    </w:p>
    <w:bookmarkEnd w:id="11"/>
    <w:bookmarkStart w:id="12" w:name="X686a078b8f35a452817235f80a761870383a172"/>
    <w:p>
      <w:pPr>
        <w:pStyle w:val="Heading3"/>
      </w:pPr>
      <w:r>
        <w:t xml:space="preserve">Drug identification and Primary Suspect selection</w:t>
      </w:r>
    </w:p>
    <w:p>
      <w:pPr>
        <w:pStyle w:val="FirstParagraph"/>
      </w:pPr>
      <w:r>
        <w:t xml:space="preserve">Records were matched against six name variants of the drug (datopotamab deruxtecan, datopotamab deruxtecan-dlnk, Datroway, Dato-DXd, DS-1062, DS-1062a), searched case-insensitively against the DRUG table’s</w:t>
      </w:r>
      <w:r>
        <w:t xml:space="preserve"> </w:t>
      </w:r>
      <w:r>
        <w:rPr>
          <w:rStyle w:val="VerbatimChar"/>
        </w:rPr>
        <w:t xml:space="preserve">drugname</w:t>
      </w:r>
      <w:r>
        <w:t xml:space="preserve"> </w:t>
      </w:r>
      <w:r>
        <w:t xml:space="preserve">and</w:t>
      </w:r>
      <w:r>
        <w:t xml:space="preserve"> </w:t>
      </w:r>
      <w:r>
        <w:rPr>
          <w:rStyle w:val="VerbatimChar"/>
        </w:rPr>
        <w:t xml:space="preserve">prod_ai</w:t>
      </w:r>
      <w:r>
        <w:t xml:space="preserve"> </w:t>
      </w:r>
      <w:r>
        <w:t xml:space="preserve">fields. This yielded 619, 518, 518, 0, 0, and 0 matching drug records respectively (records may match more than one synonym); the two abbreviated development-code variants (Dato-DXd, DS-1062/DS-1062a) never appeared as a submitted drug name in this dataset, confirmed by manual inspection of the small number of raw substring hits, which traced instead to free-text dosing annotations on unrelated concomitant drugs referencing the same clinical trial. Records were then restricted to</w:t>
      </w:r>
      <w:r>
        <w:t xml:space="preserve"> </w:t>
      </w:r>
      <w:r>
        <w:rPr>
          <w:rStyle w:val="VerbatimChar"/>
        </w:rPr>
        <w:t xml:space="preserve">role_cod == "PS"</w:t>
      </w:r>
      <w:r>
        <w:t xml:space="preserve"> </w:t>
      </w:r>
      <w:r>
        <w:t xml:space="preserve">(Primary Suspect), yielding 460 drug records across 444 report versions.</w:t>
      </w:r>
    </w:p>
    <w:bookmarkEnd w:id="12"/>
    <w:bookmarkStart w:id="13" w:name="deduplication-and-case-selection"/>
    <w:p>
      <w:pPr>
        <w:pStyle w:val="Heading3"/>
      </w:pPr>
      <w:r>
        <w:t xml:space="preserve">Deduplication and case selection</w:t>
      </w:r>
    </w:p>
    <w:p>
      <w:pPr>
        <w:pStyle w:val="FirstParagraph"/>
      </w:pPr>
      <w:r>
        <w:t xml:space="preserve">Duplicate case report versions (the same FAERS</w:t>
      </w:r>
      <w:r>
        <w:t xml:space="preserve"> </w:t>
      </w:r>
      <w:r>
        <w:rPr>
          <w:rStyle w:val="VerbatimChar"/>
        </w:rPr>
        <w:t xml:space="preserve">caseid</w:t>
      </w:r>
      <w:r>
        <w:t xml:space="preserve"> </w:t>
      </w:r>
      <w:r>
        <w:t xml:space="preserve">submitted or updated more than once) were resolved using the FDA-standard rule: within each caseid, the record with the latest</w:t>
      </w:r>
      <w:r>
        <w:t xml:space="preserve"> </w:t>
      </w:r>
      <w:r>
        <w:rPr>
          <w:rStyle w:val="VerbatimChar"/>
        </w:rPr>
        <w:t xml:space="preserve">FDA_DT</w:t>
      </w:r>
      <w:r>
        <w:t xml:space="preserve"> </w:t>
      </w:r>
      <w:r>
        <w:t xml:space="preserve">was retained, with ties broken by the highest</w:t>
      </w:r>
      <w:r>
        <w:t xml:space="preserve"> </w:t>
      </w:r>
      <w:r>
        <w:rPr>
          <w:rStyle w:val="VerbatimChar"/>
        </w:rPr>
        <w:t xml:space="preserve">PRIMARYID</w:t>
      </w:r>
      <w:r>
        <w:t xml:space="preserve">. Cases present on any FAERS quarterly deleted-case list for the study window were removed. This reduced 444 raw Primary-Suspect report versions to 416 unique analytic cases; no cases were removed as FDA-deleted. Primary Suspect restriction was applied at the acquisition stage, prior to deduplication; every case entering deduplication was independently verified to be backed by a Primary Suspect drug record for datopotamab deruxtecan.</w:t>
      </w:r>
    </w:p>
    <w:bookmarkEnd w:id="13"/>
    <w:bookmarkStart w:id="14" w:name="event-coding"/>
    <w:p>
      <w:pPr>
        <w:pStyle w:val="Heading3"/>
      </w:pPr>
      <w:r>
        <w:t xml:space="preserve">Event coding</w:t>
      </w:r>
    </w:p>
    <w:p>
      <w:pPr>
        <w:pStyle w:val="FirstParagraph"/>
      </w:pPr>
      <w:r>
        <w:t xml:space="preserve">Adverse event terms were taken from the REAC table, pre-coded by FAERS as MedDRA Preferred Terms (PTs). The MedDRA version underlying this coding is not constant across the study window: direct inspection of the FAERS XML extract’s</w:t>
      </w:r>
      <w:r>
        <w:t xml:space="preserve"> </w:t>
      </w:r>
      <w:r>
        <w:rPr>
          <w:rStyle w:val="VerbatimChar"/>
        </w:rPr>
        <w:t xml:space="preserve">&lt;reactionmeddraversionpt&gt;</w:t>
      </w:r>
      <w:r>
        <w:t xml:space="preserve"> </w:t>
      </w:r>
      <w:r>
        <w:t xml:space="preserve">tag (not carried by the ASCII files used for the main data pull) showed MedDRA version 27.1 in 2025Q1, advancing to version 28.1 by 2026Q1. PT-to-System-Organ-Class (SOC) mapping was attempted but could not be completed: MedDRA’s hierarchy is licensed by the International Council for Harmonisation’s Maintenance and Support Services Organisation and is not freely redistributable, and no licensed crosswalk was available for this analysis.</w:t>
      </w:r>
    </w:p>
    <w:bookmarkEnd w:id="14"/>
    <w:bookmarkStart w:id="15" w:name="disproportionality-analysis"/>
    <w:p>
      <w:pPr>
        <w:pStyle w:val="Heading3"/>
      </w:pPr>
      <w:r>
        <w:t xml:space="preserve">Disproportionality analysis</w:t>
      </w:r>
    </w:p>
    <w:p>
      <w:pPr>
        <w:pStyle w:val="FirstParagraph"/>
      </w:pPr>
      <w:r>
        <w:t xml:space="preserve">For every PT reported at least once with datopotamab deruxtecan, a 2×2 contingency table was constructed against a whole-database background comprising all FAERS cases in the study window, regardless of drug or role:</w:t>
      </w:r>
      <w:r>
        <w:t xml:space="preserve"> </w:t>
      </w:r>
      <w:r>
        <w:rPr>
          <w:i/>
          <w:iCs/>
        </w:rPr>
        <w:t xml:space="preserve">a</w:t>
      </w:r>
      <w:r>
        <w:t xml:space="preserve">, cases with the drug and the PT;</w:t>
      </w:r>
      <w:r>
        <w:t xml:space="preserve"> </w:t>
      </w:r>
      <w:r>
        <w:rPr>
          <w:i/>
          <w:iCs/>
        </w:rPr>
        <w:t xml:space="preserve">b</w:t>
      </w:r>
      <w:r>
        <w:t xml:space="preserve">, cases with the drug but not the PT;</w:t>
      </w:r>
      <w:r>
        <w:t xml:space="preserve"> </w:t>
      </w:r>
      <w:r>
        <w:rPr>
          <w:i/>
          <w:iCs/>
        </w:rPr>
        <w:t xml:space="preserve">c</w:t>
      </w:r>
      <w:r>
        <w:t xml:space="preserve">, cases with the PT but not the drug;</w:t>
      </w:r>
      <w:r>
        <w:t xml:space="preserve"> </w:t>
      </w:r>
      <w:r>
        <w:rPr>
          <w:i/>
          <w:iCs/>
        </w:rPr>
        <w:t xml:space="preserve">d</w:t>
      </w:r>
      <w:r>
        <w:t xml:space="preserve">, cases with neither. The background case universe (all drugs, all roles) was deduplicated using the same FDA-standard rule described above, yielding 1,810,135 unique cases as the denominator.</w:t>
      </w:r>
    </w:p>
    <w:p>
      <w:pPr>
        <w:pStyle w:val="BodyText"/>
      </w:pPr>
      <w:r>
        <w:t xml:space="preserve">Four disproportionality measures were computed:</w:t>
      </w:r>
    </w:p>
    <w:p>
      <w:pPr>
        <w:pStyle w:val="Compact"/>
        <w:numPr>
          <w:ilvl w:val="0"/>
          <w:numId w:val="1001"/>
        </w:numPr>
      </w:pPr>
      <w:r>
        <w:rPr>
          <w:b/>
          <w:bCs/>
        </w:rPr>
        <w:t xml:space="preserve">Reporting odds ratio (ROR)</w:t>
      </w:r>
      <w:r>
        <w:t xml:space="preserve">, with a 95% confidence interval by the log method (SE = √[1/a + 1/b + 1/c + 1/d]). Signal criterion: CI lower bound &gt;1 and</w:t>
      </w:r>
      <w:r>
        <w:t xml:space="preserve"> </w:t>
      </w:r>
      <w:r>
        <w:rPr>
          <w:i/>
          <w:iCs/>
        </w:rPr>
        <w:t xml:space="preserve">a</w:t>
      </w:r>
      <w:r>
        <w:t xml:space="preserve"> </w:t>
      </w:r>
      <w:r>
        <w:t xml:space="preserve">≥3.</w:t>
      </w:r>
    </w:p>
    <w:p>
      <w:pPr>
        <w:pStyle w:val="Compact"/>
        <w:numPr>
          <w:ilvl w:val="0"/>
          <w:numId w:val="1001"/>
        </w:numPr>
      </w:pPr>
      <w:r>
        <w:rPr>
          <w:b/>
          <w:bCs/>
        </w:rPr>
        <w:t xml:space="preserve">Proportional reporting ratio (PRR)</w:t>
      </w:r>
      <w:r>
        <w:t xml:space="preserve">, with a Yates-corrected chi-square statistic. Signal criterion (Evans): PRR ≥2, chi-square ≥4, and</w:t>
      </w:r>
      <w:r>
        <w:t xml:space="preserve"> </w:t>
      </w:r>
      <w:r>
        <w:rPr>
          <w:i/>
          <w:iCs/>
        </w:rPr>
        <w:t xml:space="preserve">a</w:t>
      </w:r>
      <w:r>
        <w:t xml:space="preserve"> </w:t>
      </w:r>
      <w:r>
        <w:t xml:space="preserve">≥3.</w:t>
      </w:r>
    </w:p>
    <w:p>
      <w:pPr>
        <w:pStyle w:val="Compact"/>
        <w:numPr>
          <w:ilvl w:val="0"/>
          <w:numId w:val="1001"/>
        </w:numPr>
      </w:pPr>
      <w:r>
        <w:rPr>
          <w:b/>
          <w:bCs/>
        </w:rPr>
        <w:t xml:space="preserve">Bayesian Confidence Propagation Neural Network Information Component (IC)</w:t>
      </w:r>
      <w:r>
        <w:t xml:space="preserve">, with an IC025 lower bound. This implementation is an approximation, not the full hierarchical Bayes posterior: it treats the observed count and the expected count under independence as approximately Poisson and applies the standard delta-method variance for the log-ratio of two independent Poisson counts, with a 0.5 continuity correction — the practical substitute widely used in the disproportionality literature when a full hierarchical Bayes fit is not performed. Signal criterion: IC025 &gt;0.</w:t>
      </w:r>
    </w:p>
    <w:p>
      <w:pPr>
        <w:pStyle w:val="Compact"/>
        <w:numPr>
          <w:ilvl w:val="0"/>
          <w:numId w:val="1001"/>
        </w:numPr>
      </w:pPr>
      <w:r>
        <w:rPr>
          <w:b/>
          <w:bCs/>
        </w:rPr>
        <w:t xml:space="preserve">Empirical Bayes geometric mean (EBGM) with EB05</w:t>
      </w:r>
      <w:r>
        <w:t xml:space="preserve">, via a single-component Gamma-Poisson shrinker fit by method of moments on this drug’s own within-drug distribution of observed-to-expected ratios across its reported PTs. This is a simplified analogue of the Multi-item Gamma Poisson Shrinker (MGPS), which fits a two-component Gamma mixture prior by expectation-maximization across the entire multi-drug database; fitting the full two-component model across all drug-PT combinations in FAERS was outside this project’s scope, and this single-component, within-drug approximation is disclosed as such rather than presented as full MGPS output. Signal criterion: EB05 &gt;2.</w:t>
      </w:r>
    </w:p>
    <w:p>
      <w:pPr>
        <w:pStyle w:val="FirstParagraph"/>
      </w:pPr>
      <w:r>
        <w:t xml:space="preserve">The primary consensus signal definition required ROR CI lower bound &gt;1 with</w:t>
      </w:r>
      <w:r>
        <w:t xml:space="preserve"> </w:t>
      </w:r>
      <w:r>
        <w:rPr>
          <w:i/>
          <w:iCs/>
        </w:rPr>
        <w:t xml:space="preserve">a</w:t>
      </w:r>
      <w:r>
        <w:t xml:space="preserve"> </w:t>
      </w:r>
      <w:r>
        <w:t xml:space="preserve">≥3 and IC025 &gt;0. Evans’ PRR/chi-square criteria and EB05 &gt;2 were retained as a four-algorithm sensitivity definition. ROR and PRR are correlated transformations of the same 2×2 table and were not counted as independent confirmation. EBGM/EB05 was also not included in the primary rule because the implementation used here is the least fully validated component: a simplified single-component approximation rather than production MGPS.</w:t>
      </w:r>
    </w:p>
    <w:bookmarkEnd w:id="15"/>
    <w:bookmarkStart w:id="16" w:name="X90a06c7935f9725406a9e38f9404262999bd472"/>
    <w:p>
      <w:pPr>
        <w:pStyle w:val="Heading3"/>
      </w:pPr>
      <w:r>
        <w:t xml:space="preserve">Indication-restricted and active-comparator sensitivity analyses</w:t>
      </w:r>
    </w:p>
    <w:p>
      <w:pPr>
        <w:pStyle w:val="FirstParagraph"/>
      </w:pPr>
      <w:r>
        <w:t xml:space="preserve">To reduce confounding by indication and oncology treatment context, a prespecified sensitivity analysis was restricted to deduplicated Dato-DXd FAERS cases with an explicitly linked breast-cancer indication. DRUG and INDI records were joined using both</w:t>
      </w:r>
      <w:r>
        <w:t xml:space="preserve"> </w:t>
      </w:r>
      <w:r>
        <w:rPr>
          <w:rStyle w:val="VerbatimChar"/>
        </w:rPr>
        <w:t xml:space="preserve">primaryid</w:t>
      </w:r>
      <w:r>
        <w:t xml:space="preserve"> </w:t>
      </w:r>
      <w:r>
        <w:t xml:space="preserve">and</w:t>
      </w:r>
      <w:r>
        <w:t xml:space="preserve"> </w:t>
      </w:r>
      <w:r>
        <w:rPr>
          <w:rStyle w:val="VerbatimChar"/>
        </w:rPr>
        <w:t xml:space="preserve">drug_seq</w:t>
      </w:r>
      <w:r>
        <w:t xml:space="preserve">; a breast-cancer indication attached to a concomitant drug therefore could not qualify the Dato-DXd record. To approximate the HR-positive/HER2-negative population while retaining reports whose receptor status was merely unreported, cases with an explicitly linked TNBC, HER2-positive, or hormone-receptor-negative indication were excluded at case level; nonspecific breast-cancer, metastatic/recurrent, HER2-low, and partially specified receptor-status terms remained eligible. The same rule was applied to active comparators.</w:t>
      </w:r>
    </w:p>
    <w:p>
      <w:pPr>
        <w:pStyle w:val="BodyText"/>
      </w:pPr>
      <w:r>
        <w:t xml:space="preserve">Four comparator tiers were prespecified over the same window: (1) all deduplicated FAERS reports excluding every Dato-DXd report; (2) qualifying Primary-Suspect breast-cancer reports for the trial-aligned chemotherapy set capecitabine, eribulin, vinorelbine, and gemcitabine; (3) trastuzumab deruxtecan alone; and (4) sacituzumab govitecan alone. T-DXd and SG were kept separate because pooling clinically heterogeneous ADCs can conceal drug-specific event masking. For every PT positive against the base trial-aligned pool, the analysis was repeated after removing each component drug in turn. A broader chemotherapy pool and the former pooled nine-drug comparator were retained as supplemental analyses. Comparator choice was treated as a design sensitivity rather than a search for a favorable result, consistent with published work on active-comparator restriction, comparator bias, and masking [14-18].</w:t>
      </w:r>
    </w:p>
    <w:bookmarkEnd w:id="16"/>
    <w:bookmarkStart w:id="17" w:name="jader-sensitivity-analysis"/>
    <w:p>
      <w:pPr>
        <w:pStyle w:val="Heading3"/>
      </w:pPr>
      <w:r>
        <w:t xml:space="preserve">JADER sensitivity analysis</w:t>
      </w:r>
    </w:p>
    <w:p>
      <w:pPr>
        <w:pStyle w:val="FirstParagraph"/>
      </w:pPr>
      <w:r>
        <w:t xml:space="preserve">An independent sensitivity analysis used the PMDA JADER June 2026 public CSV release (</w:t>
      </w:r>
      <w:r>
        <w:rPr>
          <w:rStyle w:val="VerbatimChar"/>
        </w:rPr>
        <w:t xml:space="preserve">demo202606</w:t>
      </w:r>
      <w:r>
        <w:t xml:space="preserve">,</w:t>
      </w:r>
      <w:r>
        <w:t xml:space="preserve"> </w:t>
      </w:r>
      <w:r>
        <w:rPr>
          <w:rStyle w:val="VerbatimChar"/>
        </w:rPr>
        <w:t xml:space="preserve">drug202606</w:t>
      </w:r>
      <w:r>
        <w:t xml:space="preserve">, and</w:t>
      </w:r>
      <w:r>
        <w:t xml:space="preserve"> </w:t>
      </w:r>
      <w:r>
        <w:rPr>
          <w:rStyle w:val="VerbatimChar"/>
        </w:rPr>
        <w:t xml:space="preserve">reac202606</w:t>
      </w:r>
      <w:r>
        <w:t xml:space="preserve">). The CP932-encoded source files were read without changing their Japanese source values. One</w:t>
      </w:r>
      <w:r>
        <w:t xml:space="preserve"> </w:t>
      </w:r>
      <w:r>
        <w:rPr>
          <w:rStyle w:val="VerbatimChar"/>
        </w:rPr>
        <w:t xml:space="preserve">identifier + report_count</w:t>
      </w:r>
      <w:r>
        <w:t xml:space="preserve"> </w:t>
      </w:r>
      <w:r>
        <w:t xml:space="preserve">pair was treated as one report version because JADER does not provide a cross-reporter master patient identifier. The target comprised Dato-DXd suspected-drug report versions with an explicit breast-cancer reason for use after the analogous report-version-level exclusion of explicitly discordant TNBC, HER2-positive, and hormone-receptor-negative reasons; no target report version was removed by this rule. Comparator designs mirrored FAERS: all JADER report versions excluding Dato-DXd, the same indication-filtered active breast-cancer drugs, and the active comparator after exclusion of sacituzumab govitecan and trastuzumab deruxtecan. Reactions were deduplicated within report version and Japanese PT. Curated English display labels were added only for PTs observed in the target cohort; the Japanese PT remained authoritative because no licensed bilingual MedDRA crosswalk was used. FAERS and JADER were analyzed separately rather than pooled because no reliable shared identifier is available to detect reports submitted to both systems.</w:t>
      </w:r>
    </w:p>
    <w:bookmarkEnd w:id="17"/>
    <w:bookmarkStart w:id="18" w:name="X1027e35fb6c06e6a38cbb85136136b916dd801c"/>
    <w:p>
      <w:pPr>
        <w:pStyle w:val="Heading3"/>
      </w:pPr>
      <w:r>
        <w:t xml:space="preserve">Demographic, outcome, and subgroup analysis</w:t>
      </w:r>
    </w:p>
    <w:p>
      <w:pPr>
        <w:pStyle w:val="FirstParagraph"/>
      </w:pPr>
      <w:r>
        <w:t xml:space="preserve">Demographic and reporting characteristics (sex, age band, reporter type, report year, reporting country) and FAERS-coded serious-outcome flags (death, life-threatening, hospitalization, disability, congenital anomaly, required intervention, other serious) were tabulated for the 416-case cohort. Age was converted to years from the FAERS</w:t>
      </w:r>
      <w:r>
        <w:t xml:space="preserve"> </w:t>
      </w:r>
      <w:r>
        <w:rPr>
          <w:rStyle w:val="VerbatimChar"/>
        </w:rPr>
        <w:t xml:space="preserve">age</w:t>
      </w:r>
      <w:r>
        <w:t xml:space="preserve">/</w:t>
      </w:r>
      <w:r>
        <w:rPr>
          <w:rStyle w:val="VerbatimChar"/>
        </w:rPr>
        <w:t xml:space="preserve">age_cod</w:t>
      </w:r>
      <w:r>
        <w:t xml:space="preserve"> </w:t>
      </w:r>
      <w:r>
        <w:t xml:space="preserve">fields and banded as &lt;18, 18-64, 65-74, ≥75, and unknown. ROR with 95% CI was recomputed within sex and age-band subgroups for the consensus-signal PTs, against the same whole-database background stratified by the same subgroup variable; a Haldane-Anscombe continuity correction (adding 0.5 to all four cells) was applied whenever any subgroup cell was zero. A PT was flagged as subgroup-concentrated when 80% or more of its drug-side cases fell within a single subgroup level.</w:t>
      </w:r>
    </w:p>
    <w:bookmarkEnd w:id="18"/>
    <w:bookmarkStart w:id="19" w:name="time-to-onset"/>
    <w:p>
      <w:pPr>
        <w:pStyle w:val="Heading3"/>
      </w:pPr>
      <w:r>
        <w:t xml:space="preserve">Time to onset</w:t>
      </w:r>
    </w:p>
    <w:p>
      <w:pPr>
        <w:pStyle w:val="FirstParagraph"/>
      </w:pPr>
      <w:r>
        <w:t xml:space="preserve">Onset time was computed as the case’s</w:t>
      </w:r>
      <w:r>
        <w:t xml:space="preserve"> </w:t>
      </w:r>
      <w:r>
        <w:rPr>
          <w:rStyle w:val="VerbatimChar"/>
        </w:rPr>
        <w:t xml:space="preserve">EVENT_DT</w:t>
      </w:r>
      <w:r>
        <w:t xml:space="preserve"> </w:t>
      </w:r>
      <w:r>
        <w:t xml:space="preserve">(DEMO table) minus the drug-specific therapy start date (</w:t>
      </w:r>
      <w:r>
        <w:rPr>
          <w:rStyle w:val="VerbatimChar"/>
        </w:rPr>
        <w:t xml:space="preserve">START_DT</w:t>
      </w:r>
      <w:r>
        <w:t xml:space="preserve">, THER table), joined via the drug sequence number (</w:t>
      </w:r>
      <w:r>
        <w:rPr>
          <w:rStyle w:val="VerbatimChar"/>
        </w:rPr>
        <w:t xml:space="preserve">drug_seq</w:t>
      </w:r>
      <w:r>
        <w:t xml:space="preserve">) specific to datopotamab deruxtecan within each case, rather than any concomitant medication’s start date. Cases with a negative onset time (event before therapy start) or an onset exceeding 3,650 days (10 years) were excluded, with counts logged at each exclusion step. Median and interquartile range were computed overall and for four label-anchored AESI groupings (ILD/pneumonitis, ocular, stomatitis, infusion-related reaction). A Weibull distribution was fit to onset times (lifelines</w:t>
      </w:r>
      <w:r>
        <w:t xml:space="preserve"> </w:t>
      </w:r>
      <w:r>
        <w:rPr>
          <w:rStyle w:val="VerbatimChar"/>
        </w:rPr>
        <w:t xml:space="preserve">WeibullFitter</w:t>
      </w:r>
      <w:r>
        <w:t xml:space="preserve">), and the shape parameter (β) with its 95% confidence interval was used to classify the hazard pattern: β &lt;1, early failure (decreasing hazard); β ≈1 (CI spanning 1), consistent with random/constant hazard; β &gt;1, wear-out (increasing hazard).</w:t>
      </w:r>
    </w:p>
    <w:bookmarkEnd w:id="19"/>
    <w:bookmarkStart w:id="20" w:name="software"/>
    <w:p>
      <w:pPr>
        <w:pStyle w:val="Heading3"/>
      </w:pPr>
      <w:r>
        <w:t xml:space="preserve">Software</w:t>
      </w:r>
    </w:p>
    <w:p>
      <w:pPr>
        <w:pStyle w:val="FirstParagraph"/>
      </w:pPr>
      <w:r>
        <w:t xml:space="preserve">All analyses were conducted in Python 3.14 using pandas, NumPy, SciPy, statsmodels, and lifelines, with exact package versions recorded in</w:t>
      </w:r>
      <w:r>
        <w:t xml:space="preserve"> </w:t>
      </w:r>
      <w:r>
        <w:rPr>
          <w:rStyle w:val="VerbatimChar"/>
        </w:rPr>
        <w:t xml:space="preserve">docs/environment.md</w:t>
      </w:r>
      <w:r>
        <w:t xml:space="preserve">.</w:t>
      </w:r>
    </w:p>
    <w:bookmarkEnd w:id="20"/>
    <w:bookmarkEnd w:id="21"/>
    <w:bookmarkStart w:id="30" w:name="results"/>
    <w:p>
      <w:pPr>
        <w:pStyle w:val="Heading2"/>
      </w:pPr>
      <w:r>
        <w:t xml:space="preserve">Results</w:t>
      </w:r>
    </w:p>
    <w:bookmarkStart w:id="22" w:name="report-counts-and-provenance"/>
    <w:p>
      <w:pPr>
        <w:pStyle w:val="Heading3"/>
      </w:pPr>
      <w:r>
        <w:t xml:space="preserve">Report counts and provenance</w:t>
      </w:r>
    </w:p>
    <w:p>
      <w:pPr>
        <w:pStyle w:val="FirstParagraph"/>
      </w:pPr>
      <w:r>
        <w:t xml:space="preserve">Of 619 drug records matching the primary name variant</w:t>
      </w:r>
      <w:r>
        <w:t xml:space="preserve"> </w:t>
      </w:r>
      <w:r>
        <w:t xml:space="preserve">“datopotamab deruxtecan”</w:t>
      </w:r>
      <w:r>
        <w:t xml:space="preserve"> </w:t>
      </w:r>
      <w:r>
        <w:t xml:space="preserve">(any role, any of the six synonyms), 460 records across 444 report versions named the drug as Primary Suspect. FDA-standard deduplication reduced this to 416 unique analytic cases; no cases were removed as FDA-deleted (Table 1).</w:t>
      </w:r>
    </w:p>
    <w:p>
      <w:pPr>
        <w:pStyle w:val="BodyText"/>
      </w:pPr>
      <w:r>
        <w:t xml:space="preserve">Quarterly reporting increased across the early post-marketing window: 23 cases in 2025Q1, 62 in 2025Q2, 101 in 2025Q3, 103 in 2025Q4, and 127 in 2026Q1 (Figure 6). This descriptive rise coincides with expanding indications and uptake; without exposure denominators, it cannot be interpreted as increasing event incidence.</w:t>
      </w:r>
    </w:p>
    <w:bookmarkEnd w:id="22"/>
    <w:bookmarkStart w:id="23" w:name="X3e9bf5fb1d5087073482db6a0d0250790bb29e5"/>
    <w:p>
      <w:pPr>
        <w:pStyle w:val="Heading3"/>
      </w:pPr>
      <w:r>
        <w:t xml:space="preserve">Demographics and reporting characteristics</w:t>
      </w:r>
    </w:p>
    <w:p>
      <w:pPr>
        <w:pStyle w:val="FirstParagraph"/>
      </w:pPr>
      <w:r>
        <w:t xml:space="preserve">Reporters were predominantly female (76.7%, n=319) compared with male (17.3%, n=72) and unknown/unreported sex (6.0%, n=25) (Table 1). Age was unrecorded for the majority of cases (52.9%, n=220); among cases with a recorded age, the 18-64 band was most represented (26.9%, n=112), followed by 65-74 (14.9%, n=62) and ≥75 (5.3%, n=22); no cases were recorded in the &lt;18 band (Table 1). Reports were most often submitted by physicians (48.8%, n=203) and other health professionals (24.5%, n=102) (Table 1). Reporting volume was higher in 2025 (72.8%, n=303) than in the partial 2026 window captured by this pull (27.2%, n=113) (Table 1). The United States (62.3%, n=259) and Japan (28.1%, n=117) accounted for the large majority of reports by reporter country (Table 1).</w:t>
      </w:r>
    </w:p>
    <w:bookmarkEnd w:id="23"/>
    <w:bookmarkStart w:id="24" w:name="serious-outcomes"/>
    <w:p>
      <w:pPr>
        <w:pStyle w:val="Heading3"/>
      </w:pPr>
      <w:r>
        <w:t xml:space="preserve">Serious outcomes</w:t>
      </w:r>
    </w:p>
    <w:p>
      <w:pPr>
        <w:pStyle w:val="FirstParagraph"/>
      </w:pPr>
      <w:r>
        <w:t xml:space="preserve">Of the 416 analytic cases, 54.1% (n=225) were coded with at least one FAERS serious-outcome flag (Table 1). Death was the single most common serious-outcome code (24.5%, n=102), followed by hospitalization (16.6%, n=69); life-threatening and disability outcomes were uncommon (0.5% and 1.2%, respectively), and no cases were coded for congenital anomaly or required intervention (Table 1). Among the 102 fatal cases,</w:t>
      </w:r>
      <w:r>
        <w:t xml:space="preserve"> </w:t>
      </w:r>
      <w:r>
        <w:t xml:space="preserve">“Disease progression”</w:t>
      </w:r>
      <w:r>
        <w:t xml:space="preserve"> </w:t>
      </w:r>
      <w:r>
        <w:t xml:space="preserve">was the most frequently co-reported PT (n=50), followed by</w:t>
      </w:r>
      <w:r>
        <w:t xml:space="preserve"> </w:t>
      </w:r>
      <w:r>
        <w:t xml:space="preserve">“Death”</w:t>
      </w:r>
      <w:r>
        <w:t xml:space="preserve"> </w:t>
      </w:r>
      <w:r>
        <w:t xml:space="preserve">itself (n=25) and</w:t>
      </w:r>
      <w:r>
        <w:t xml:space="preserve"> </w:t>
      </w:r>
      <w:r>
        <w:t xml:space="preserve">“Off label use”</w:t>
      </w:r>
      <w:r>
        <w:t xml:space="preserve"> </w:t>
      </w:r>
      <w:r>
        <w:t xml:space="preserve">(n=12);</w:t>
      </w:r>
      <w:r>
        <w:t xml:space="preserve"> </w:t>
      </w:r>
      <w:r>
        <w:t xml:space="preserve">“Stomatitis”</w:t>
      </w:r>
      <w:r>
        <w:t xml:space="preserve"> </w:t>
      </w:r>
      <w:r>
        <w:t xml:space="preserve">(n=11) and</w:t>
      </w:r>
      <w:r>
        <w:t xml:space="preserve"> </w:t>
      </w:r>
      <w:r>
        <w:t xml:space="preserve">“Interstitial lung disease”</w:t>
      </w:r>
      <w:r>
        <w:t xml:space="preserve"> </w:t>
      </w:r>
      <w:r>
        <w:t xml:space="preserve">(n=5) were also represented. The same pattern held among the 225 serious cases overall, where</w:t>
      </w:r>
      <w:r>
        <w:t xml:space="preserve"> </w:t>
      </w:r>
      <w:r>
        <w:t xml:space="preserve">“Disease progression”</w:t>
      </w:r>
      <w:r>
        <w:t xml:space="preserve"> </w:t>
      </w:r>
      <w:r>
        <w:t xml:space="preserve">(n=79) and</w:t>
      </w:r>
      <w:r>
        <w:t xml:space="preserve"> </w:t>
      </w:r>
      <w:r>
        <w:t xml:space="preserve">“Stomatitis”</w:t>
      </w:r>
      <w:r>
        <w:t xml:space="preserve"> </w:t>
      </w:r>
      <w:r>
        <w:t xml:space="preserve">(n=30) were the leading co-reported terms. The prominence of</w:t>
      </w:r>
      <w:r>
        <w:t xml:space="preserve"> </w:t>
      </w:r>
      <w:r>
        <w:t xml:space="preserve">“Disease progression”</w:t>
      </w:r>
      <w:r>
        <w:t xml:space="preserve"> </w:t>
      </w:r>
      <w:r>
        <w:t xml:space="preserve">among fatal and serious cases reflects the expected reporting behavior of a heavily pretreated, life-limiting oncology population and should not be read as an adverse drug reaction.</w:t>
      </w:r>
    </w:p>
    <w:bookmarkEnd w:id="24"/>
    <w:bookmarkStart w:id="25" w:name="frequency-ranking-and-signal-strength"/>
    <w:p>
      <w:pPr>
        <w:pStyle w:val="Heading3"/>
      </w:pPr>
      <w:r>
        <w:t xml:space="preserve">Frequency ranking and signal strength</w:t>
      </w:r>
    </w:p>
    <w:p>
      <w:pPr>
        <w:pStyle w:val="FirstParagraph"/>
      </w:pPr>
      <w:r>
        <w:t xml:space="preserve">Among the 284 distinct PTs reported with datopotamab deruxtecan, the fifteen most frequently reported are ranked in Table 2 alongside ROR, IC, and label status.</w:t>
      </w:r>
      <w:r>
        <w:t xml:space="preserve"> </w:t>
      </w:r>
      <w:r>
        <w:t xml:space="preserve">“Disease progression”</w:t>
      </w:r>
      <w:r>
        <w:t xml:space="preserve"> </w:t>
      </w:r>
      <w:r>
        <w:t xml:space="preserve">(n=86),</w:t>
      </w:r>
      <w:r>
        <w:t xml:space="preserve"> </w:t>
      </w:r>
      <w:r>
        <w:t xml:space="preserve">“Off label use”</w:t>
      </w:r>
      <w:r>
        <w:t xml:space="preserve"> </w:t>
      </w:r>
      <w:r>
        <w:t xml:space="preserve">(n=66), and</w:t>
      </w:r>
      <w:r>
        <w:t xml:space="preserve"> </w:t>
      </w:r>
      <w:r>
        <w:t xml:space="preserve">“Stomatitis”</w:t>
      </w:r>
      <w:r>
        <w:t xml:space="preserve"> </w:t>
      </w:r>
      <w:r>
        <w:t xml:space="preserve">(n=64) were the three most frequently reported terms; eight of the fifteen were label-listed and seven were not.</w:t>
      </w:r>
    </w:p>
    <w:p>
      <w:pPr>
        <w:pStyle w:val="BodyText"/>
      </w:pPr>
      <w:r>
        <w:t xml:space="preserve">Eight PTs met the primary ROR+IC definition (Table 3). Ranked by ROR, they were: Stomatitis (ROR 59.12, 95% CI 45.23-77.26), Disease progression (ROR 44.12, 95% CI 34.78-55.98), Prescribed underdose (ROR 19.29, 95% CI 9.95-37.40), Interstitial lung disease (ROR 15.20, 95% CI 9.21-25.07), No adverse event (ROR 10.23, 95% CI 7.43-14.08), Dry eye (ROR 7.63, 95% CI 4.39-13.26), Infusion related reaction (ROR 7.34, 95% CI 4.31-12.51), and Off label use (ROR 2.56, 95% CI 1.97-3.33) (Table 3, Figure 3). The relationship between report count and ROR is shown in Figure 2. The complete four-algorithm sensitivity results are reported only in</w:t>
      </w:r>
      <w:r>
        <w:t xml:space="preserve"> </w:t>
      </w:r>
      <w:r>
        <w:rPr>
          <w:rStyle w:val="VerbatimChar"/>
        </w:rPr>
        <w:t xml:space="preserve">docs/supplemental_comparator_analyses.md</w:t>
      </w:r>
      <w:r>
        <w:t xml:space="preserve">.</w:t>
      </w:r>
    </w:p>
    <w:p>
      <w:pPr>
        <w:pStyle w:val="BodyText"/>
      </w:pPr>
      <w:r>
        <w:t xml:space="preserve">Of the eight consensus signals, four (Disease progression, Off label use, No adverse event, Prescribed underdose) are FAERS administrative or case-context codes rather than clinical adverse events, and should not be interpreted as safety signals in the ordinary sense. The remaining four (Stomatitis, Interstitial lung disease, Dry eye, Infusion related reaction) correspond directly to the drug’s labeled Warnings and Precautions or recognized AESIs.</w:t>
      </w:r>
    </w:p>
    <w:p>
      <w:pPr>
        <w:pStyle w:val="BodyText"/>
      </w:pPr>
      <w:r>
        <w:t xml:space="preserve">The related PT</w:t>
      </w:r>
      <w:r>
        <w:t xml:space="preserve"> </w:t>
      </w:r>
      <w:r>
        <w:t xml:space="preserve">“Pneumonitis”</w:t>
      </w:r>
      <w:r>
        <w:t xml:space="preserve"> </w:t>
      </w:r>
      <w:r>
        <w:t xml:space="preserve">did not itself reach the primary consensus threshold (a=6, ROR 8.85, 95% CI 3.95-19.83; full per-PT results in</w:t>
      </w:r>
      <w:r>
        <w:t xml:space="preserve"> </w:t>
      </w:r>
      <w:r>
        <w:rPr>
          <w:rStyle w:val="VerbatimChar"/>
        </w:rPr>
        <w:t xml:space="preserve">outputs/tables/signals_all.csv</w:t>
      </w:r>
      <w:r>
        <w:t xml:space="preserve">, the complete 284-PT table underlying Table 3’s consensus subset), failing only the approximate BCPNN criterion (IC025 -0.37) despite clearly meeting both the ROR and Evans PRR/chi-square criteria. This was investigated rather than accepted at face value: the arithmetic underlying all four algorithms for this term was checked by hand and confirmed correct. The discrepancy traces to this term’s low case count, which leaves the approximate BCPNN variance dominated by a small expected-count term; it is a known conservative property of this delta-method approximation at low counts, compounded here by the short observation window, rather than an error in the analysis.</w:t>
      </w:r>
    </w:p>
    <w:bookmarkEnd w:id="25"/>
    <w:bookmarkStart w:id="26" w:name="X00f10f8e0dd6c85d1508edeea256203ca2078a6"/>
    <w:p>
      <w:pPr>
        <w:pStyle w:val="Heading3"/>
      </w:pPr>
      <w:r>
        <w:t xml:space="preserve">Comparator hierarchy and leave-one-out results</w:t>
      </w:r>
    </w:p>
    <w:p>
      <w:pPr>
        <w:pStyle w:val="FirstParagraph"/>
      </w:pPr>
      <w:r>
        <w:t xml:space="preserve">The indication-linked FAERS target contained 182 compatible cases. Comparator cohorts contained 1,809,719 full-background cases, 940 trial-aligned chemotherapy cases, 1,630 T-DXd cases, and 348 SG cases. Stomatitis occurred in 40 target cases and met the primary rule in every tier: ROR 91.59 (95% CI 64.42-130.21) against full FAERS, 26.20 (12.81-53.56) against trial-aligned chemotherapy, 114.51 (40.39-324.63) against T-DXd, and 97.75 (13.31-717.88) against SG (Figure 7). Dry eye and infusion-related reaction met the primary rule only against full FAERS. ILD occurred in seven target cases but did not meet the combined ROR+IC rule in any primary tier: its full-FAERS ROR was 15.20 (7.14-32.37) with IC025 -0.10, and active-comparator IC025 values were also below zero.</w:t>
      </w:r>
    </w:p>
    <w:p>
      <w:pPr>
        <w:pStyle w:val="BodyText"/>
      </w:pPr>
      <w:r>
        <w:t xml:space="preserve">Four PTs were positive against the base trial-aligned pool: Stomatitis, Disease progression, Off label use, and Prescribed underdose. Stomatitis, Disease progression, and Off label use remained positive after removing each chemotherapy drug in turn. Prescribed underdose, a nine-case administrative term, lost IC025 positivity after removal of capecitabine or eribulin (Figure 8). Complete primary and supplemental comparator results are provided in</w:t>
      </w:r>
      <w:r>
        <w:t xml:space="preserve"> </w:t>
      </w:r>
      <w:r>
        <w:rPr>
          <w:rStyle w:val="VerbatimChar"/>
        </w:rPr>
        <w:t xml:space="preserve">docs/supplemental_comparator_analyses.md</w:t>
      </w:r>
      <w:r>
        <w:t xml:space="preserve"> </w:t>
      </w:r>
      <w:r>
        <w:t xml:space="preserve">and</w:t>
      </w:r>
      <w:r>
        <w:t xml:space="preserve"> </w:t>
      </w:r>
      <w:r>
        <w:rPr>
          <w:rStyle w:val="VerbatimChar"/>
        </w:rPr>
        <w:t xml:space="preserve">outputs/tables/faers_signals_comparator_all.csv</w:t>
      </w:r>
      <w:r>
        <w:t xml:space="preserve">.</w:t>
      </w:r>
    </w:p>
    <w:p>
      <w:pPr>
        <w:pStyle w:val="BodyText"/>
      </w:pPr>
      <w:r>
        <w:t xml:space="preserve">The JADER target contained 50 compatible breast-cancer report versions and 65 reaction rows representing 33 Japanese PTs; none had an explicitly discordant indication. Comparator cohorts contained 1,037,111 full-background report versions, 4,541 indication-filtered active-comparator report versions, and 4,158 after ADC-class exclusion. ILD was the most frequent target reaction (14/50) and the only PT meeting the primary ROR+IC rule against full JADER (ROR 8.49, 95% CI 4.58-15.75). Its ROR was 2.13 (1.14-3.97) against active comparators and 2.69 (1.44-5.01) after class exclusion, but IC025 remained below zero. Stomatitis occurred in six report versions and infusion-related reaction in four, but conservative IC025 values prevented primary calls in the 50-report-version cohort. JADER is an independent sensitivity analysis and is not part of the primary FAERS hierarchy.</w:t>
      </w:r>
    </w:p>
    <w:bookmarkEnd w:id="26"/>
    <w:bookmarkStart w:id="27" w:name="system-organ-class-distribution"/>
    <w:p>
      <w:pPr>
        <w:pStyle w:val="Heading3"/>
      </w:pPr>
      <w:r>
        <w:t xml:space="preserve">System Organ Class distribution</w:t>
      </w:r>
    </w:p>
    <w:p>
      <w:pPr>
        <w:pStyle w:val="FirstParagraph"/>
      </w:pPr>
      <w:r>
        <w:t xml:space="preserve">Rollup of the 284 tested PTs by MedDRA System Organ Class could not be performed: no licensed MedDRA PT-to-SOC crosswalk was available, and all 284 PTs (867 total case-PT occurrences, summed across all PTs) fell into a single unmapped category (Table 4, Figure 1). This is a data-availability limitation of the analysis, not a finding, and is discussed further below.</w:t>
      </w:r>
    </w:p>
    <w:bookmarkEnd w:id="27"/>
    <w:bookmarkStart w:id="28" w:name="subgroup-disproportionality"/>
    <w:p>
      <w:pPr>
        <w:pStyle w:val="Heading3"/>
      </w:pPr>
      <w:r>
        <w:t xml:space="preserve">Subgroup disproportionality</w:t>
      </w:r>
    </w:p>
    <w:p>
      <w:pPr>
        <w:pStyle w:val="FirstParagraph"/>
      </w:pPr>
      <w:r>
        <w:t xml:space="preserve">Stratified by sex, ROR for four of the eight consensus-signal PTs (Stomatitis, Disease progression, Prescribed underdose, Infusion related reaction) was concentrated (≥80% of drug-side cases) in female patients. Stratified by age band, one PT (Dry eye) showed apparent concentration in the</w:t>
      </w:r>
      <w:r>
        <w:t xml:space="preserve"> </w:t>
      </w:r>
      <w:r>
        <w:t xml:space="preserve">“unknown”</w:t>
      </w:r>
      <w:r>
        <w:t xml:space="preserve"> </w:t>
      </w:r>
      <w:r>
        <w:t xml:space="preserve">age category; given that age was unrecorded for 52.9% of the cohort, this reflects the high baseline rate of missing age data rather than a genuine age-related subgroup effect, and is not interpreted as such (Figure 5).</w:t>
      </w:r>
    </w:p>
    <w:bookmarkEnd w:id="28"/>
    <w:bookmarkStart w:id="29" w:name="time-to-onset-1"/>
    <w:p>
      <w:pPr>
        <w:pStyle w:val="Heading3"/>
      </w:pPr>
      <w:r>
        <w:t xml:space="preserve">Time to onset</w:t>
      </w:r>
    </w:p>
    <w:p>
      <w:pPr>
        <w:pStyle w:val="FirstParagraph"/>
      </w:pPr>
      <w:r>
        <w:t xml:space="preserve">A drug-specific therapy start date and event date sufficient to compute onset time were available for 90 of 416 cases (21.6%); 207 cases had no THER record at all for the drug’s own drug sequence number, a further 36 had only a partial (year- or year-month-level) start date, and 149 lacked an event date (Table 5). Among the 90 cases with computable onset, the median time to onset was 22.0 days (IQR 3.0-55.75) (Table 5, Figure 4). The fitted Weibull shape parameter was 0.656 (95% CI 0.546-0.766), consistent with an early-failure (decreasing hazard) pattern, indicating that reported events cluster relatively soon after treatment initiation and become progressively less likely to be first reported as treatment continues (Table 5, Figure 4).</w:t>
      </w:r>
    </w:p>
    <w:p>
      <w:pPr>
        <w:pStyle w:val="BodyText"/>
      </w:pPr>
      <w:r>
        <w:t xml:space="preserve">Onset times for the four label-anchored AESI groupings were based on small samples (ILD/pneumonitis, n=3; ocular, n=4; stomatitis, n=8; infusion-related reaction, n=6) and are reported with substantial caution (Table 5). The infusion-related reaction group had a median onset of 0.0 days (IQR 0.0-15.75) and a Weibull shape parameter of 0.469 (95% CI 0.187-0.751), consistent with the expected clinical pattern of reactions occurring during or immediately after infusion. The ILD/pneumonitis, ocular, and stomatitis subgroup Weibull estimates had confidence intervals spanning 1 and are not interpreted beyond noting that the data are insufficient to characterize their hazard pattern with confidence at this sample size (Table 5).</w:t>
      </w:r>
    </w:p>
    <w:bookmarkEnd w:id="29"/>
    <w:bookmarkEnd w:id="30"/>
    <w:bookmarkStart w:id="31" w:name="discussion"/>
    <w:p>
      <w:pPr>
        <w:pStyle w:val="Heading2"/>
      </w:pPr>
      <w:r>
        <w:t xml:space="preserve">Discussion</w:t>
      </w:r>
    </w:p>
    <w:p>
      <w:pPr>
        <w:pStyle w:val="FirstParagraph"/>
      </w:pPr>
      <w:r>
        <w:t xml:space="preserve">This analysis recovered disproportionality signals for four PTs that map directly onto datopotamab deruxtecan’s labeled toxicity profile: interstitial lung disease, dry eye, stomatitis, and infusion-related reaction (Table 3). Stomatitis was both the most strongly disproportionate labeled signal (ROR 59.12, 95% CI 45.23-77.26; Table 3) and among the most frequently reported PTs overall (n=64; Table 2), consistent with the label’s description of stomatitis in 63% of patients in pooled trial safety data and with this drug class’s recognized topoisomerase-payload-related mucosal toxicity. Interstitial lung disease reached a comparable ROR (15.20, 95% CI 9.21-25.07; Table 3) despite a much smaller case count (n=16; Table 2), reflecting the substantially lower background reporting rate for ILD relative to stomatitis across the whole database.</w:t>
      </w:r>
    </w:p>
    <w:p>
      <w:pPr>
        <w:pStyle w:val="BodyText"/>
      </w:pPr>
      <w:r>
        <w:t xml:space="preserve">The recovery of an ILD/pneumonitis signal in this analysis is broadly consistent with the disproportionality profile previously described for other topoisomerase-I-payload antibody-drug conjugates sharing the DXd moiety. In a FAERS-based analysis of interstitial lung disease across antibody-drug conjugates (Shi et al., 2024), trastuzumab deruxtecan showed the strongest ILD correlation among the ten ADCs studied (IC025 = 5.75) and the strongest pneumonitis correlation (IC025 = 4.90). A direct numerical comparison between that study’s estimates and this one is not appropriate, since the two studies used different background definitions, different data windows, and, in this analysis, an approximate rather than fully hierarchical BCPNN implementation; the comparison offered here is qualitative. Both the shared DXd payload and the class-recognized pulmonary toxicity of deruxtecan-based ADCs offer a plausible, though unconfirmed, mechanistic rationale for the ILD signal recovered here, and this analysis’s finding is consistent with, rather than independent confirmation of, that class-level pattern.</w:t>
      </w:r>
    </w:p>
    <w:p>
      <w:pPr>
        <w:pStyle w:val="BodyText"/>
      </w:pPr>
      <w:r>
        <w:t xml:space="preserve">Four of the eight consensus signals recovered here (Disease progression, Off label use, No adverse event, Prescribed underdose) are FAERS administrative or case-context codes rather than adverse drug reactions, and their statistical disproportionality reflects reporting conventions in a heavily pretreated oncology population rather than a drug safety concern. Their presence in the consensus signal set is a useful demonstration of what whole-database disproportionality analysis in an oncology population routinely surfaces, and underscores that automated signal detection output requires clinical review before being presented as a set of safety findings.</w:t>
      </w:r>
    </w:p>
    <w:p>
      <w:pPr>
        <w:pStyle w:val="BodyText"/>
      </w:pPr>
      <w:r>
        <w:t xml:space="preserve">The comparator hierarchy shows that both magnitude and binary classification depend strongly on the selected background. Stomatitis was the only clinical AESI positive against full FAERS, trial-aligned chemotherapy, T-DXd, and SG; its stability under every leave-one-drug-out deletion strengthens the conclusion that the result is not driven by one chemotherapy component. ILD had a strongly elevated full-background ROR but a negative IC025 and remained negative under all primary comparator tiers. This does not negate its established clinical risk; it shows that, in these sparse spontaneous-report data, the combined ROR+IC reporting criterion is sensitive to the event prevalence and size of the comparison cohort. Separate T-DXd and SG estimates are more interpretable than a joint ADC pool because the two drugs have different event profiles and opportunities for masking. JADER’s full-background ILD result supports continued surveillance for a labeled toxicity but does not establish a Japan-specific incidence or susceptibility difference.</w:t>
      </w:r>
    </w:p>
    <w:p>
      <w:pPr>
        <w:pStyle w:val="BodyText"/>
      </w:pPr>
      <w:r>
        <w:t xml:space="preserve">The subgroup concentration of several signals (Stomatitis, Disease progression, Prescribed underdose, Infusion related reaction) in female patients parallels this cohort’s overall sex skew (76.7% female; Table 1), itself consistent with the drug’s current indications being predominantly breast-cancer-driven during this study window; whether this reflects a true sex-differential risk or is fully explained by indication distribution cannot be determined from these data.</w:t>
      </w:r>
    </w:p>
    <w:p>
      <w:pPr>
        <w:pStyle w:val="BodyText"/>
      </w:pPr>
      <w:r>
        <w:t xml:space="preserve">The time-to-onset finding for infusion-related reaction (median 0 days, early-failure hazard; Table 5) matches the well-established clinical expectation that infusion reactions present during or immediately following administration, and serves as an internal validity check on the onset-time methodology used here. The overall cohort’s early-failure hazard pattern (Weibull β=0.656, 95% CI 0.546-0.766; Table 5) is consistent with adverse events in general being more likely to prompt a report soon after treatment initiation, a pattern common across drug classes and not specific to this ADC.</w:t>
      </w:r>
    </w:p>
    <w:p>
      <w:pPr>
        <w:pStyle w:val="BodyText"/>
      </w:pPr>
      <w:r>
        <w:t xml:space="preserve">Clinically, these findings are directionally consistent with, and do not suggest any need to revise, the current label’s emphasis on early monitoring for interstitial lung disease/pneumonitis, ocular toxicity, stomatitis, and infusion-related reactions. The available evidence at this early post-marketing stage does not identify a candidate off-label safety signal warranting a specific new monitoring recommendation beyond what the label already specifies.</w:t>
      </w:r>
    </w:p>
    <w:bookmarkEnd w:id="31"/>
    <w:bookmarkStart w:id="32" w:name="limitations"/>
    <w:p>
      <w:pPr>
        <w:pStyle w:val="Heading2"/>
      </w:pPr>
      <w:r>
        <w:t xml:space="preserve">Limitations</w:t>
      </w:r>
    </w:p>
    <w:p>
      <w:pPr>
        <w:pStyle w:val="FirstParagraph"/>
      </w:pPr>
      <w:r>
        <w:t xml:space="preserve">This study shares the general limitations of spontaneous-report pharmacovigilance analysis. FAERS reports lack a reliable denominator of drug exposure, so no incidence or absolute risk can be estimated from these data, and disproportionality measures reflect relative reporting patterns, not epidemiological risk. Reports are voluntary and subject to substantial under-reporting, of unknown and likely non-uniform magnitude across event types and reporter groups. Causality cannot be established from a spontaneous report: a temporal association between drug and event does not establish that the drug caused the event, and confounding by underlying disease, concomitant medications, and comorbidities cannot be excluded. A newly approved, high-profile oncology drug is also subject to the Weber effect and notoriety bias, whereby reporting intensity for a new drug is elevated independent of true event rates, particularly during the early post-marketing period this study covers.</w:t>
      </w:r>
    </w:p>
    <w:p>
      <w:pPr>
        <w:pStyle w:val="BodyText"/>
      </w:pPr>
      <w:r>
        <w:t xml:space="preserve">Indication confounding is a specific concern in this cohort: datopotamab deruxtecan is used in an oncology population with substantial background morbidity and mortality from underlying malignancy, and this study’s own results illustrate the consequence directly, with</w:t>
      </w:r>
      <w:r>
        <w:t xml:space="preserve"> </w:t>
      </w:r>
      <w:r>
        <w:t xml:space="preserve">“Disease progression”</w:t>
      </w:r>
      <w:r>
        <w:t xml:space="preserve"> </w:t>
      </w:r>
      <w:r>
        <w:t xml:space="preserve">among the most frequent and most disproportionate reported terms (Tables 2, 3) despite reflecting disease course rather than drug toxicity.</w:t>
      </w:r>
    </w:p>
    <w:p>
      <w:pPr>
        <w:pStyle w:val="BodyText"/>
      </w:pPr>
      <w:r>
        <w:t xml:space="preserve">MedDRA-related limitations are notable in this analysis. The MedDRA version underlying PT coding was not constant across the study window (version 27.1 at the start, 28.1 by the most recent quarter), which could in principle introduce coding inconsistency for terms renamed, added, or deprecated between releases, though this was not directly assessed. System Organ Class rollup was not possible in this analysis at all, because no licensed MedDRA PT-to-SOC crosswalk was available (Table 4); this is a genuine gap in this study’s output, not a null finding, and should be closed before any conclusions are drawn about organ-system-level signal distribution.</w:t>
      </w:r>
    </w:p>
    <w:p>
      <w:pPr>
        <w:pStyle w:val="BodyText"/>
      </w:pPr>
      <w:r>
        <w:t xml:space="preserve">Most importantly, this analysis covers only the first five quarters of datopotamab deruxtecan’s US marketing history. This short window has two direct statistical consequences, both visible in this study’s own results. First, case counts for individual PTs are frequently low: of the 284 tested PTs, several nominally strong ROR point estimates were built on fewer than ten reports (Table 2), and the related label AESI</w:t>
      </w:r>
      <w:r>
        <w:t xml:space="preserve"> </w:t>
      </w:r>
      <w:r>
        <w:t xml:space="preserve">“Pneumonitis”</w:t>
      </w:r>
      <w:r>
        <w:t xml:space="preserve"> </w:t>
      </w:r>
      <w:r>
        <w:t xml:space="preserve">(a=6) failed to reach the primary consensus threshold at this case count even though the separately-coded</w:t>
      </w:r>
      <w:r>
        <w:t xml:space="preserve"> </w:t>
      </w:r>
      <w:r>
        <w:t xml:space="preserve">“Interstitial lung disease”</w:t>
      </w:r>
      <w:r>
        <w:t xml:space="preserve"> </w:t>
      </w:r>
      <w:r>
        <w:t xml:space="preserve">(a=16) did (Results). Second, and directly related, confidence intervals throughout this analysis are wide relative to what would be expected in a more mature dataset (Table 3), and the time-to-onset AESI subgroup estimates in particular (n=3 to n=8; Table 5) are too small to support confident hazard-pattern classification. Every signal reported here should accordingly be treated as hypothesis-generating rather than confirmatory, and re-examined as additional post-marketing quarters accumulate.</w:t>
      </w:r>
    </w:p>
    <w:p>
      <w:pPr>
        <w:pStyle w:val="BodyText"/>
      </w:pPr>
      <w:r>
        <w:t xml:space="preserve">Two further methodological choices constrain interpretation. The BCPNN and MGPS/EBGM implementations used here are documented approximations of the full published methods (a Poisson-normal delta-method approximation to IC, and a single-component within-drug Gamma-Poisson shrinker rather than the full two-component, whole-database MGPS mixture). The approximate IC is retained in the primary two-measure rule, but should not be regarded as equivalent to a full WHO-grade posterior; EBGM/EB05 is used only as sensitivity evidence. Time-to-onset results are additionally limited by data completeness: a usable onset time could be computed for only 21.6% of the cohort (Table 5), and the reported medians and Weibull fits describe that subset, not the full cohort.</w:t>
      </w:r>
    </w:p>
    <w:p>
      <w:pPr>
        <w:pStyle w:val="BodyText"/>
      </w:pPr>
      <w:r>
        <w:t xml:space="preserve">The sensitivity analyses introduce additional limitations. Restriction to an explicitly reported breast-cancer indication excludes reports with missing, non-breast, or differently coded indications and may select a nonrepresentative subset. Nonspecific breast-cancer terms were retained, so the 182-case cohort is compatible with, but not confirmed as, HR-positive/HER2-negative disease. Trial-aligned chemotherapy improves clinical relevance but cannot balance treatment line, biomarker eligibility, channeling, disease severity, market tenure, or concomitant therapy. Leave-one-drug-out analysis identifies domination by a component drug but further reduces already sparse comparator counts. The individual ADC cohorts are also small, particularly SG (N=348), producing wide intervals. JADER’s</w:t>
      </w:r>
      <w:r>
        <w:t xml:space="preserve"> </w:t>
      </w:r>
      <w:r>
        <w:rPr>
          <w:rStyle w:val="VerbatimChar"/>
        </w:rPr>
        <w:t xml:space="preserve">identifier + report_count</w:t>
      </w:r>
      <w:r>
        <w:t xml:space="preserve"> </w:t>
      </w:r>
      <w:r>
        <w:t xml:space="preserve">unit is a report version rather than a confirmed unique patient, and its 50-report target provides limited power. FAERS and JADER were not pooled because no shared identifier can verify overlap; cross-database ROR differences cannot be interpreted as geographic differences in incidence or susceptibility.</w:t>
      </w:r>
    </w:p>
    <w:bookmarkEnd w:id="32"/>
    <w:bookmarkStart w:id="33" w:name="conclusion"/>
    <w:p>
      <w:pPr>
        <w:pStyle w:val="Heading2"/>
      </w:pPr>
      <w:r>
        <w:t xml:space="preserve">Conclusion</w:t>
      </w:r>
    </w:p>
    <w:p>
      <w:pPr>
        <w:pStyle w:val="FirstParagraph"/>
      </w:pPr>
      <w:r>
        <w:t xml:space="preserve">In the first five quarters of datopotamab deruxtecan’s US marketing history, FAERS disproportionality recovered labeled clinical toxicities alongside expected oncology reporting artifacts. In the indication-compatible cohort, stomatitis was the only clinical AESI positive against full FAERS, trial-aligned chemotherapy, T-DXd, and SG, and it remained positive in every leave-one-drug-out analysis. ILD remained clinically important but did not meet the combined ROR+IC rule in any primary FAERS comparator tier; JADER recovered it only against the full database. No candidate outside the current label warranted a new monitoring recommendation. The increasing quarterly report count, sparse individual-event cells, and spontaneous-report design make all findings hypothesis-generating and require re-analysis as the databases mature.</w:t>
      </w:r>
    </w:p>
    <w:bookmarkEnd w:id="33"/>
    <w:bookmarkStart w:id="34" w:name="references"/>
    <w:p>
      <w:pPr>
        <w:pStyle w:val="Heading2"/>
      </w:pPr>
      <w:r>
        <w:t xml:space="preserve">References</w:t>
      </w:r>
    </w:p>
    <w:p>
      <w:pPr>
        <w:pStyle w:val="Compact"/>
        <w:numPr>
          <w:ilvl w:val="0"/>
          <w:numId w:val="1002"/>
        </w:numPr>
      </w:pPr>
      <w:r>
        <w:t xml:space="preserve">FDA. FDA approves datopotamab deruxtecan-dlnk for unresectable or metastatic, HR-positive, HER2-negative breast cancer. https://www.fda.gov/drugs/resources-information-approved-drugs/fda-approves-datopotamab-deruxtecan-dlnk-unresectable-or-metastatic-hr-positive-her2-negative-breast</w:t>
      </w:r>
    </w:p>
    <w:p>
      <w:pPr>
        <w:pStyle w:val="Compact"/>
        <w:numPr>
          <w:ilvl w:val="0"/>
          <w:numId w:val="1002"/>
        </w:numPr>
      </w:pPr>
      <w:r>
        <w:t xml:space="preserve">FDA. FDA grants accelerated approval to datopotamab deruxtecan-dlnk for EGFR-mutated non-small cell lung cancer. https://www.fda.gov/drugs/resources-information-approved-drugs/fda-grants-accelerated-approval-datopotamab-deruxtecan-dlnk-egfr-mutated-non-small-cell-lung-cancer</w:t>
      </w:r>
    </w:p>
    <w:p>
      <w:pPr>
        <w:pStyle w:val="Compact"/>
        <w:numPr>
          <w:ilvl w:val="0"/>
          <w:numId w:val="1002"/>
        </w:numPr>
      </w:pPr>
      <w:r>
        <w:t xml:space="preserve">FDA. FDA approves datopotamab deruxtecan-dlnk for unresectable or metastatic triple-negative breast cancer. https://www.fda.gov/drugs/resources-information-approved-drugs/fda-approves-datopotamab-deruxtecan-dlnk-unresectable-or-metastatic-triple-negative-breast-cancer</w:t>
      </w:r>
    </w:p>
    <w:p>
      <w:pPr>
        <w:pStyle w:val="Compact"/>
        <w:numPr>
          <w:ilvl w:val="0"/>
          <w:numId w:val="1002"/>
        </w:numPr>
      </w:pPr>
      <w:r>
        <w:t xml:space="preserve">DailyMed. DATROWAY - datopotamab deruxtecan injection, powder, lyophilized, for solution. https://dailymed.nlm.nih.gov/dailymed/drugInfo.cfm?setid=2950227c-6230-4ca4-a135-46e44d9424a0</w:t>
      </w:r>
    </w:p>
    <w:p>
      <w:pPr>
        <w:pStyle w:val="Compact"/>
        <w:numPr>
          <w:ilvl w:val="0"/>
          <w:numId w:val="1002"/>
        </w:numPr>
      </w:pPr>
      <w:r>
        <w:t xml:space="preserve">Datopotamab Deruxtecan: First Approval. PubMed 40323341. https://pubmed.ncbi.nlm.nih.gov/40323341/</w:t>
      </w:r>
    </w:p>
    <w:p>
      <w:pPr>
        <w:pStyle w:val="Compact"/>
        <w:numPr>
          <w:ilvl w:val="0"/>
          <w:numId w:val="1002"/>
        </w:numPr>
      </w:pPr>
      <w:r>
        <w:t xml:space="preserve">Lisberg A, Huppert LA, Halmos B, Ledezma B, Soto-Romano V, Traina TA. Datopotamab deruxtecan-associated select adverse events: clinical practices and institutional protocols on prophylaxis, monitoring, and management. Oncologist. 2025. PubMed 40700616. https://pubmed.ncbi.nlm.nih.gov/40700616/</w:t>
      </w:r>
    </w:p>
    <w:p>
      <w:pPr>
        <w:pStyle w:val="Compact"/>
        <w:numPr>
          <w:ilvl w:val="0"/>
          <w:numId w:val="1002"/>
        </w:numPr>
      </w:pPr>
      <w:r>
        <w:t xml:space="preserve">Clinical management, monitoring, and prophylaxis of adverse events of special interest associated with datopotamab deruxtecan. Cancer Treat Rev. PubMed 38502995. https://pubmed.ncbi.nlm.nih.gov/38502995/</w:t>
      </w:r>
    </w:p>
    <w:p>
      <w:pPr>
        <w:pStyle w:val="Compact"/>
        <w:numPr>
          <w:ilvl w:val="0"/>
          <w:numId w:val="1002"/>
        </w:numPr>
      </w:pPr>
      <w:r>
        <w:t xml:space="preserve">US expert Delphi consensus on the prevention and management of stomatitis in patients treated with datopotamab deruxtecan. PMC12325563. https://pmc.ncbi.nlm.nih.gov/articles/PMC12325563/</w:t>
      </w:r>
    </w:p>
    <w:p>
      <w:pPr>
        <w:pStyle w:val="Compact"/>
        <w:numPr>
          <w:ilvl w:val="0"/>
          <w:numId w:val="1002"/>
        </w:numPr>
      </w:pPr>
      <w:r>
        <w:t xml:space="preserve">A real-world study of adverse event profiles associated with the four key components of antibody-drug conjugates based on the FAERS database. Front Pharmacol. 2026. https://www.frontiersin.org/journals/pharmacology/articles/10.3389/fphar.2026.1702195/full</w:t>
      </w:r>
    </w:p>
    <w:p>
      <w:pPr>
        <w:pStyle w:val="Compact"/>
        <w:numPr>
          <w:ilvl w:val="0"/>
          <w:numId w:val="1002"/>
        </w:numPr>
      </w:pPr>
      <w:r>
        <w:t xml:space="preserve">Shi J, Liu X, Wu L, Jiang Y, Zhang Y, Wang Y. Interstitial lung disease with antibody-drug conjugates: a real-world pharmacovigilance study based on the FAERS database during the period 2014-2023. Ther Adv Med Oncol. 2024. PMC11635890. https://pmc.ncbi.nlm.nih.gov/articles/PMC11635890/</w:t>
      </w:r>
    </w:p>
    <w:p>
      <w:pPr>
        <w:pStyle w:val="Compact"/>
        <w:numPr>
          <w:ilvl w:val="0"/>
          <w:numId w:val="1002"/>
        </w:numPr>
      </w:pPr>
      <w:r>
        <w:t xml:space="preserve">Wang H, Zhao R, Song Y, Wang X, Yang X. Research on adverse drug reactions of GLP-1RA based on the FAERS database. Chin J Mod Appl Pharm. 2026;43(2):298-306.</w:t>
      </w:r>
    </w:p>
    <w:p>
      <w:pPr>
        <w:pStyle w:val="Compact"/>
        <w:numPr>
          <w:ilvl w:val="0"/>
          <w:numId w:val="1002"/>
        </w:numPr>
      </w:pPr>
      <w:r>
        <w:t xml:space="preserve">Böhm R, von Hehn L, Herdegen T, Klein H-J, Bruhn O, Petri H, Höcker J. OpenVigil FDA - inspection of U.S. American adverse drug events pharmacovigilance data and novel clinical applications. PLoS ONE. 2016;11(6):e0157753. doi:10.1371/journal.pone.0157753</w:t>
      </w:r>
    </w:p>
    <w:p>
      <w:pPr>
        <w:pStyle w:val="Compact"/>
        <w:numPr>
          <w:ilvl w:val="0"/>
          <w:numId w:val="1002"/>
        </w:numPr>
      </w:pPr>
      <w:r>
        <w:t xml:space="preserve">Pharmaceuticals and Medical Devices Agency. Japanese Adverse Drug Event Report database (JADER), public CSV release pmdacasereport202606. Release documentation updated 2026-05-15; MedDRA/J 29.0.</w:t>
      </w:r>
    </w:p>
    <w:p>
      <w:pPr>
        <w:pStyle w:val="Compact"/>
        <w:numPr>
          <w:ilvl w:val="0"/>
          <w:numId w:val="1002"/>
        </w:numPr>
      </w:pPr>
      <w:r>
        <w:t xml:space="preserve">Alkabbani W, Gamble JM. Active-comparator restricted disproportionality analysis for pharmacovigilance signal detection studies of chronic disease medications: an example using sodium/glucose cotransporter 2 inhibitors. Br J Clin Pharmacol. 2023;89:431-439. doi:10.1111/bcp.15178.</w:t>
      </w:r>
    </w:p>
    <w:p>
      <w:pPr>
        <w:pStyle w:val="Compact"/>
        <w:numPr>
          <w:ilvl w:val="0"/>
          <w:numId w:val="1002"/>
        </w:numPr>
      </w:pPr>
      <w:r>
        <w:t xml:space="preserve">Gravel CA, Douros A. Considerations on the use of different comparators in pharmacovigilance: a methodological review. Br J Clin Pharmacol. 2023;89:2671-2676. doi:10.1111/bcp.15802.</w:t>
      </w:r>
    </w:p>
    <w:p>
      <w:pPr>
        <w:pStyle w:val="Compact"/>
        <w:numPr>
          <w:ilvl w:val="0"/>
          <w:numId w:val="1002"/>
        </w:numPr>
      </w:pPr>
      <w:r>
        <w:t xml:space="preserve">Gravel CA, Bai W, Douros A. Comparators in pharmacovigilance: a quasi-quantification bias analysis. Drug Saf. 2024;47:809-819. doi:10.1007/s40264-024-01433-5.</w:t>
      </w:r>
    </w:p>
    <w:p>
      <w:pPr>
        <w:pStyle w:val="Compact"/>
        <w:numPr>
          <w:ilvl w:val="0"/>
          <w:numId w:val="1002"/>
        </w:numPr>
      </w:pPr>
      <w:r>
        <w:t xml:space="preserve">Bai W, Douros A, Gravel CA. Masking in active comparator designs in pharmacovigilance: a retrospective bias analysis on the spontaneous reporting of thiazolidinediones and cardiovascular events. Pharmacoepidemiol Drug Saf. 2025;34:e70102. doi:10.1002/pds.70102.</w:t>
      </w:r>
    </w:p>
    <w:p>
      <w:pPr>
        <w:pStyle w:val="Compact"/>
        <w:numPr>
          <w:ilvl w:val="0"/>
          <w:numId w:val="1002"/>
        </w:numPr>
      </w:pPr>
      <w:r>
        <w:t xml:space="preserve">Seabroke S, Candore G, Juhlin K, et al. Performance of stratified and subgrouped disproportionality analyses in spontaneous databases. Drug Saf. 2016;39:355-364. doi:10.1007/s40264-015-0388-3.</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2026-07-17T07:56:36Z</dcterms:created>
  <dcterms:modified xsi:type="dcterms:W3CDTF">2026-07-17T07:56:36Z</dcterms:modified>
</cp:coreProperties>
</file>

<file path=docProps/custom.xml><?xml version="1.0" encoding="utf-8"?>
<Properties xmlns="http://schemas.openxmlformats.org/officeDocument/2006/custom-properties" xmlns:vt="http://schemas.openxmlformats.org/officeDocument/2006/docPropsVTypes"/>
</file>