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jc w:val="center"/>
      </w:pPr>
      <w:r>
        <w:rPr>
          <w:rFonts w:ascii="Bookman Old Style" w:cs="Bookman Old Style" w:eastAsia="Bookman Old Style" w:hAnsi="Bookman Old Style"/>
          <w:b/>
          <w:bCs/>
          <w:i w:val="false"/>
          <w:iCs w:val="false"/>
          <w:sz w:val="28"/>
          <w:szCs w:val="28"/>
        </w:rPr>
        <w:t xml:space="preserve">MARRI LAXMAN REDDY INSTITUTE OF TECHNOLOGY AND MANAGEMENT</w:t>
      </w:r>
    </w:p>
    <w:p>
      <w:pPr>
        <w:spacing w:after="100"/>
        <w:jc w:val="center"/>
      </w:pPr>
      <w:r>
        <w:rPr>
          <w:rFonts w:ascii="Bookman Old Style" w:cs="Bookman Old Style" w:eastAsia="Bookman Old Style" w:hAnsi="Bookman Old Style"/>
          <w:b w:val="false"/>
          <w:bCs w:val="false"/>
          <w:i w:val="false"/>
          <w:iCs w:val="false"/>
          <w:sz w:val="24"/>
          <w:szCs w:val="24"/>
        </w:rPr>
        <w:t xml:space="preserve">Dundigal, Hyderabad – 500 043, Telangana, India</w:t>
      </w:r>
    </w:p>
    <w:p>
      <w:pPr>
        <w:spacing w:after="400"/>
        <w:jc w:val="center"/>
      </w:pPr>
      <w:r>
        <w:rPr>
          <w:rFonts w:ascii="Bookman Old Style" w:cs="Bookman Old Style" w:eastAsia="Bookman Old Style" w:hAnsi="Bookman Old Style"/>
          <w:b/>
          <w:bCs/>
          <w:i w:val="false"/>
          <w:iCs w:val="false"/>
          <w:sz w:val="26"/>
          <w:szCs w:val="26"/>
        </w:rPr>
        <w:t xml:space="preserve">Department of Computer Science and Engineering</w:t>
      </w:r>
    </w:p>
    <w:p>
      <w:pPr>
        <w:spacing w:after="600"/>
        <w:jc w:val="center"/>
      </w:pPr>
      <w:r>
        <w:rPr>
          <w:rFonts w:ascii="Bookman Old Style" w:cs="Bookman Old Style" w:eastAsia="Bookman Old Style" w:hAnsi="Bookman Old Style"/>
          <w:b w:val="false"/>
          <w:bCs w:val="false"/>
          <w:i/>
          <w:iCs/>
          <w:sz w:val="24"/>
          <w:szCs w:val="24"/>
        </w:rPr>
        <w:t xml:space="preserve">M. Tech in Computer Science and Engineering</w:t>
      </w:r>
    </w:p>
    <w:p>
      <w:pPr>
        <w:spacing w:after="80"/>
        <w:jc w:val="center"/>
      </w:pPr>
      <w:r>
        <w:rPr>
          <w:rFonts w:ascii="Bookman Old Style" w:cs="Bookman Old Style" w:eastAsia="Bookman Old Style" w:hAnsi="Bookman Old Style"/>
          <w:b w:val="false"/>
          <w:bCs w:val="false"/>
          <w:i w:val="false"/>
          <w:iCs w:val="false"/>
          <w:sz w:val="24"/>
          <w:szCs w:val="24"/>
        </w:rPr>
        <w:t xml:space="preserve">A Mini Project Report Submitted in Partial Fulfillment of the Requirements</w:t>
      </w:r>
    </w:p>
    <w:p>
      <w:pPr>
        <w:spacing w:after="80"/>
        <w:jc w:val="center"/>
      </w:pPr>
      <w:r>
        <w:rPr>
          <w:rFonts w:ascii="Bookman Old Style" w:cs="Bookman Old Style" w:eastAsia="Bookman Old Style" w:hAnsi="Bookman Old Style"/>
          <w:b w:val="false"/>
          <w:bCs w:val="false"/>
          <w:i w:val="false"/>
          <w:iCs w:val="false"/>
          <w:sz w:val="24"/>
          <w:szCs w:val="24"/>
        </w:rPr>
        <w:t xml:space="preserve">for the Award of the Degree of</w:t>
      </w:r>
    </w:p>
    <w:p>
      <w:pPr>
        <w:spacing w:after="600"/>
        <w:jc w:val="center"/>
      </w:pPr>
      <w:r>
        <w:rPr>
          <w:rFonts w:ascii="Bookman Old Style" w:cs="Bookman Old Style" w:eastAsia="Bookman Old Style" w:hAnsi="Bookman Old Style"/>
          <w:b/>
          <w:bCs/>
          <w:i w:val="false"/>
          <w:iCs w:val="false"/>
          <w:sz w:val="26"/>
          <w:szCs w:val="26"/>
        </w:rPr>
        <w:t xml:space="preserve">Master of Technology</w:t>
      </w:r>
    </w:p>
    <w:p>
      <w:pPr>
        <w:spacing w:after="80"/>
        <w:jc w:val="center"/>
      </w:pPr>
      <w:r>
        <w:rPr>
          <w:rFonts w:ascii="Bookman Old Style" w:cs="Bookman Old Style" w:eastAsia="Bookman Old Style" w:hAnsi="Bookman Old Style"/>
          <w:b/>
          <w:bCs/>
          <w:i w:val="false"/>
          <w:iCs w:val="false"/>
          <w:sz w:val="28"/>
          <w:szCs w:val="28"/>
        </w:rPr>
        <w:t xml:space="preserve">EXPLAINABLE MULTI-AGENT HIERARCHICAL REINFORCEMENT</w:t>
      </w:r>
    </w:p>
    <w:p>
      <w:pPr>
        <w:spacing w:after="80"/>
        <w:jc w:val="center"/>
      </w:pPr>
      <w:r>
        <w:rPr>
          <w:rFonts w:ascii="Bookman Old Style" w:cs="Bookman Old Style" w:eastAsia="Bookman Old Style" w:hAnsi="Bookman Old Style"/>
          <w:b/>
          <w:bCs/>
          <w:i w:val="false"/>
          <w:iCs w:val="false"/>
          <w:sz w:val="28"/>
          <w:szCs w:val="28"/>
        </w:rPr>
        <w:t xml:space="preserve">LEARNING FOR COOPERATIVE SEARCH AND RESCUE</w:t>
      </w:r>
    </w:p>
    <w:p>
      <w:pPr>
        <w:spacing w:after="600"/>
        <w:jc w:val="center"/>
      </w:pPr>
      <w:r>
        <w:rPr>
          <w:rFonts w:ascii="Bookman Old Style" w:cs="Bookman Old Style" w:eastAsia="Bookman Old Style" w:hAnsi="Bookman Old Style"/>
          <w:b/>
          <w:bCs/>
          <w:i w:val="false"/>
          <w:iCs w:val="false"/>
          <w:sz w:val="28"/>
          <w:szCs w:val="28"/>
        </w:rPr>
        <w:t xml:space="preserve">IN DYNAMIC GRIDS</w:t>
      </w:r>
    </w:p>
    <w:p>
      <w:pPr>
        <w:spacing w:after="80"/>
        <w:jc w:val="center"/>
      </w:pPr>
      <w:r>
        <w:rPr>
          <w:rFonts w:ascii="Bookman Old Style" w:cs="Bookman Old Style" w:eastAsia="Bookman Old Style" w:hAnsi="Bookman Old Style"/>
          <w:b w:val="false"/>
          <w:bCs w:val="false"/>
          <w:i w:val="false"/>
          <w:iCs w:val="false"/>
          <w:sz w:val="24"/>
          <w:szCs w:val="24"/>
        </w:rPr>
        <w:t xml:space="preserve">Submitted by</w:t>
      </w:r>
    </w:p>
    <w:p>
      <w:pPr>
        <w:spacing w:after="80"/>
        <w:jc w:val="center"/>
      </w:pPr>
      <w:r>
        <w:rPr>
          <w:rFonts w:ascii="Bookman Old Style" w:cs="Bookman Old Style" w:eastAsia="Bookman Old Style" w:hAnsi="Bookman Old Style"/>
          <w:b/>
          <w:bCs/>
          <w:i w:val="false"/>
          <w:iCs w:val="false"/>
          <w:sz w:val="26"/>
          <w:szCs w:val="26"/>
        </w:rPr>
        <w:t xml:space="preserve">SRINIVAS RAO TAMMIREDDY</w:t>
      </w:r>
    </w:p>
    <w:p>
      <w:pPr>
        <w:spacing w:after="500"/>
        <w:jc w:val="center"/>
      </w:pPr>
      <w:r>
        <w:rPr>
          <w:rFonts w:ascii="Bookman Old Style" w:cs="Bookman Old Style" w:eastAsia="Bookman Old Style" w:hAnsi="Bookman Old Style"/>
          <w:b w:val="false"/>
          <w:bCs w:val="false"/>
          <w:i w:val="false"/>
          <w:iCs w:val="false"/>
          <w:sz w:val="24"/>
          <w:szCs w:val="24"/>
        </w:rPr>
        <w:t xml:space="preserve">Roll No: 23R21A0501</w:t>
      </w:r>
    </w:p>
    <w:p>
      <w:pPr>
        <w:spacing w:after="80"/>
        <w:jc w:val="center"/>
      </w:pPr>
      <w:r>
        <w:rPr>
          <w:rFonts w:ascii="Bookman Old Style" w:cs="Bookman Old Style" w:eastAsia="Bookman Old Style" w:hAnsi="Bookman Old Style"/>
          <w:b w:val="false"/>
          <w:bCs w:val="false"/>
          <w:i w:val="false"/>
          <w:iCs w:val="false"/>
          <w:sz w:val="24"/>
          <w:szCs w:val="24"/>
        </w:rPr>
        <w:t xml:space="preserve">Under the Guidance of</w:t>
      </w:r>
    </w:p>
    <w:p>
      <w:pPr>
        <w:spacing w:after="80"/>
        <w:jc w:val="center"/>
      </w:pPr>
      <w:r>
        <w:rPr>
          <w:rFonts w:ascii="Bookman Old Style" w:cs="Bookman Old Style" w:eastAsia="Bookman Old Style" w:hAnsi="Bookman Old Style"/>
          <w:b/>
          <w:bCs/>
          <w:i w:val="false"/>
          <w:iCs w:val="false"/>
          <w:sz w:val="26"/>
          <w:szCs w:val="26"/>
        </w:rPr>
        <w:t xml:space="preserve">Dr. S. Pratap Singh</w:t>
      </w:r>
    </w:p>
    <w:p>
      <w:pPr>
        <w:spacing w:after="500"/>
        <w:jc w:val="center"/>
      </w:pPr>
      <w:r>
        <w:rPr>
          <w:rFonts w:ascii="Bookman Old Style" w:cs="Bookman Old Style" w:eastAsia="Bookman Old Style" w:hAnsi="Bookman Old Style"/>
          <w:b w:val="false"/>
          <w:bCs w:val="false"/>
          <w:i w:val="false"/>
          <w:iCs w:val="false"/>
          <w:sz w:val="24"/>
          <w:szCs w:val="24"/>
        </w:rPr>
        <w:t xml:space="preserve">Professor, Department of Computer Science and Engineering</w:t>
      </w:r>
    </w:p>
    <w:p>
      <w:pPr>
        <w:spacing w:after="100"/>
        <w:jc w:val="center"/>
      </w:pPr>
      <w:r>
        <w:rPr>
          <w:rFonts w:ascii="Bookman Old Style" w:cs="Bookman Old Style" w:eastAsia="Bookman Old Style" w:hAnsi="Bookman Old Style"/>
          <w:b w:val="false"/>
          <w:bCs w:val="false"/>
          <w:i w:val="false"/>
          <w:iCs w:val="false"/>
          <w:sz w:val="24"/>
          <w:szCs w:val="24"/>
        </w:rPr>
        <w:t xml:space="preserve">Academic Year: 2024-2025</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DECLARATION</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I, Srinivas Rao Tammireddy, Roll No. 23R21A0501, pursuing M.Tech in Computer Science and Engineering at Marri Laxman Reddy Institute of Technology and Management, Dundigal, Hyderabad, hereby declare that the mini project report titled "Explainable Multi-Agent Hierarchical Reinforcement Learning for Cooperative Search and Rescue in Dynamic Grids" submitted in partial fulfillment of the requirements for the award of the degree of Master of Technology is a record of my original work carried out under the supervision of Dr. S. Pratap Singh, Professor, Department of Computer Science and Engineering.</w:t>
      </w:r>
    </w:p>
    <w:p>
      <w:pPr>
        <w:spacing w:after="180" w:line="276" w:lineRule="auto"/>
        <w:jc w:val="both"/>
      </w:pPr>
      <w:r>
        <w:rPr>
          <w:rFonts w:ascii="Bookman Old Style" w:cs="Bookman Old Style" w:eastAsia="Bookman Old Style" w:hAnsi="Bookman Old Style"/>
          <w:sz w:val="24"/>
          <w:szCs w:val="24"/>
        </w:rPr>
        <w:t xml:space="preserve">I further declare that this project report has not been submitted elsewhere, in part or in full, for the award of any other degree or diploma in any university or institution. All sources of information and references used in this work have been duly acknowledged. Any resemblance to any previously published work is purely coincidental and unintentional.</w:t>
      </w:r>
    </w:p>
    <w:p>
      <w:pPr>
        <w:spacing w:after="180" w:line="276" w:lineRule="auto"/>
        <w:jc w:val="both"/>
      </w:pPr>
      <w:r>
        <w:rPr>
          <w:rFonts w:ascii="Bookman Old Style" w:cs="Bookman Old Style" w:eastAsia="Bookman Old Style" w:hAnsi="Bookman Old Style"/>
          <w:sz w:val="24"/>
          <w:szCs w:val="24"/>
        </w:rPr>
        <w:t xml:space="preserve">The work presented in this project report is genuine, original, and has been completed under the academic and research guidance provided by the faculty of the Department of Computer Science and Engineering.</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Place: Hyderabad</w:t>
      </w:r>
    </w:p>
    <w:p>
      <w:pPr>
        <w:spacing w:after="400"/>
      </w:pPr>
      <w:r>
        <w:rPr>
          <w:rFonts w:ascii="Bookman Old Style" w:cs="Bookman Old Style" w:eastAsia="Bookman Old Style" w:hAnsi="Bookman Old Style"/>
          <w:sz w:val="24"/>
          <w:szCs w:val="24"/>
        </w:rPr>
        <w:t xml:space="preserve">Date: _______________</w:t>
      </w:r>
    </w:p>
    <w:p>
      <w:pPr>
        <w:spacing w:after="200"/>
        <w:jc w:val="center"/>
      </w:pPr>
      <w:r>
        <w:rPr>
          <w:rFonts w:ascii="Bookman Old Style" w:cs="Bookman Old Style" w:eastAsia="Bookman Old Style" w:hAnsi="Bookman Old Style"/>
          <w:b w:val="false"/>
          <w:bCs w:val="false"/>
          <w:i w:val="false"/>
          <w:iCs w:val="false"/>
          <w:sz w:val="24"/>
          <w:szCs w:val="24"/>
        </w:rPr>
        <w:t xml:space="preserve">(Srinivas Rao Tammireddy)</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CERTIFICATE</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This is to certify that the mini project report titled "Explainable Multi-Agent Hierarchical Reinforcement Learning for Cooperative Search and Rescue in Dynamic Grids" submitted by Srinivas Rao Tammireddy (Roll No: 23R21A0501) in partial fulfillment of the requirements for the award of the degree of Master of Technology in Computer Science and Engineering at Marri Laxman Reddy Institute of Technology and Management, Dundigal, Hyderabad, is a record of original and independent work carried out by the candidate under my supervision and guidance.</w:t>
      </w:r>
    </w:p>
    <w:p>
      <w:pPr>
        <w:spacing w:after="180" w:line="276" w:lineRule="auto"/>
        <w:jc w:val="both"/>
      </w:pPr>
      <w:r>
        <w:rPr>
          <w:rFonts w:ascii="Bookman Old Style" w:cs="Bookman Old Style" w:eastAsia="Bookman Old Style" w:hAnsi="Bookman Old Style"/>
          <w:sz w:val="24"/>
          <w:szCs w:val="24"/>
        </w:rPr>
        <w:t xml:space="preserve">To the best of my knowledge, the work presented in this project report is genuine and original. No part of this report has been submitted previously for the award of any other degree or diploma in any university or institution. The candidate has fulfilled all the requirements as per the guidelines of the Jawaharlal Nehru Technological University, Hyderabad.</w:t>
      </w:r>
    </w:p>
    <w:p>
      <w:pPr>
        <w:spacing w:after="180" w:line="276" w:lineRule="auto"/>
        <w:jc w:val="both"/>
      </w:pPr>
      <w:r>
        <w:rPr>
          <w:rFonts w:ascii="Bookman Old Style" w:cs="Bookman Old Style" w:eastAsia="Bookman Old Style" w:hAnsi="Bookman Old Style"/>
          <w:sz w:val="24"/>
          <w:szCs w:val="24"/>
        </w:rPr>
        <w:t xml:space="preserve">I recommend this project report to be placed before the examination committee for evaluation and approval.</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Place: Hyderabad</w:t>
      </w:r>
    </w:p>
    <w:p>
      <w:pPr>
        <w:spacing w:after="400"/>
      </w:pPr>
      <w:r>
        <w:rPr>
          <w:rFonts w:ascii="Bookman Old Style" w:cs="Bookman Old Style" w:eastAsia="Bookman Old Style" w:hAnsi="Bookman Old Style"/>
          <w:sz w:val="24"/>
          <w:szCs w:val="24"/>
        </w:rPr>
        <w:t xml:space="preserve">Date: _______________</w:t>
      </w:r>
    </w:p>
    <w:p>
      <w:pPr>
        <w:spacing w:after="80"/>
      </w:pPr>
      <w:r>
        <w:rPr>
          <w:rFonts w:ascii="Bookman Old Style" w:cs="Bookman Old Style" w:eastAsia="Bookman Old Style" w:hAnsi="Bookman Old Style"/>
          <w:b/>
          <w:bCs/>
          <w:sz w:val="24"/>
          <w:szCs w:val="24"/>
        </w:rPr>
        <w:t xml:space="preserve">Dr. S. Pratap Singh</w:t>
      </w:r>
    </w:p>
    <w:p>
      <w:pPr>
        <w:spacing w:after="180" w:line="276" w:lineRule="auto"/>
        <w:jc w:val="both"/>
      </w:pPr>
      <w:r>
        <w:rPr>
          <w:rFonts w:ascii="Bookman Old Style" w:cs="Bookman Old Style" w:eastAsia="Bookman Old Style" w:hAnsi="Bookman Old Style"/>
          <w:sz w:val="24"/>
          <w:szCs w:val="24"/>
        </w:rPr>
        <w:t xml:space="preserve">Professor and Project Supervisor</w:t>
      </w:r>
    </w:p>
    <w:p>
      <w:pPr>
        <w:spacing w:after="180" w:line="276" w:lineRule="auto"/>
        <w:jc w:val="both"/>
      </w:pPr>
      <w:r>
        <w:rPr>
          <w:rFonts w:ascii="Bookman Old Style" w:cs="Bookman Old Style" w:eastAsia="Bookman Old Style" w:hAnsi="Bookman Old Style"/>
          <w:sz w:val="24"/>
          <w:szCs w:val="24"/>
        </w:rPr>
        <w:t xml:space="preserve">Department of Computer Science and Engineering</w:t>
      </w:r>
    </w:p>
    <w:p>
      <w:pPr>
        <w:spacing w:after="180" w:line="276" w:lineRule="auto"/>
        <w:jc w:val="both"/>
      </w:pPr>
      <w:r>
        <w:rPr>
          <w:rFonts w:ascii="Bookman Old Style" w:cs="Bookman Old Style" w:eastAsia="Bookman Old Style" w:hAnsi="Bookman Old Style"/>
          <w:sz w:val="24"/>
          <w:szCs w:val="24"/>
        </w:rPr>
        <w:t xml:space="preserve">Marri Laxman Reddy Institute of Technology and Management</w:t>
      </w:r>
    </w:p>
    <w:p>
      <w:pPr>
        <w:spacing w:after="180" w:line="276" w:lineRule="auto"/>
        <w:jc w:val="both"/>
      </w:pPr>
      <w:r>
        <w:rPr>
          <w:rFonts w:ascii="Bookman Old Style" w:cs="Bookman Old Style" w:eastAsia="Bookman Old Style" w:hAnsi="Bookman Old Style"/>
          <w:sz w:val="24"/>
          <w:szCs w:val="24"/>
        </w:rPr>
        <w:t xml:space="preserve">Dundigal, Hyderabad – 500 043</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b/>
          <w:bCs/>
          <w:sz w:val="24"/>
          <w:szCs w:val="24"/>
        </w:rPr>
        <w:t xml:space="preserve">Head of Department</w:t>
      </w:r>
    </w:p>
    <w:p>
      <w:pPr>
        <w:spacing w:after="180" w:line="276" w:lineRule="auto"/>
        <w:jc w:val="both"/>
      </w:pPr>
      <w:r>
        <w:rPr>
          <w:rFonts w:ascii="Bookman Old Style" w:cs="Bookman Old Style" w:eastAsia="Bookman Old Style" w:hAnsi="Bookman Old Style"/>
          <w:sz w:val="24"/>
          <w:szCs w:val="24"/>
        </w:rPr>
        <w:t xml:space="preserve">Department of Computer Science and Engineering</w:t>
      </w:r>
    </w:p>
    <w:p>
      <w:pPr>
        <w:spacing w:after="180" w:line="276" w:lineRule="auto"/>
        <w:jc w:val="both"/>
      </w:pPr>
      <w:r>
        <w:rPr>
          <w:rFonts w:ascii="Bookman Old Style" w:cs="Bookman Old Style" w:eastAsia="Bookman Old Style" w:hAnsi="Bookman Old Style"/>
          <w:sz w:val="24"/>
          <w:szCs w:val="24"/>
        </w:rPr>
        <w:t xml:space="preserve">Marri Laxman Reddy Institute of Technology and Management</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ACKNOWLEDGMENT</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I express my deepest sense of gratitude and sincere thanks to Dr. S. Pratap Singh, Professor, Department of Computer Science and Engineering, Marri Laxman Reddy Institute of Technology and Management, for his invaluable guidance, constant encouragement, and meticulous supervision throughout the course of this project work. His deep expertise in artificial intelligence, multi-agent systems, and reinforcement learning has been an immense source of inspiration and motivation. His constructive feedback and thoughtful suggestions have greatly enriched the quality of this project report.</w:t>
      </w:r>
    </w:p>
    <w:p>
      <w:pPr>
        <w:spacing w:after="180" w:line="276" w:lineRule="auto"/>
        <w:jc w:val="both"/>
      </w:pPr>
      <w:r>
        <w:rPr>
          <w:rFonts w:ascii="Bookman Old Style" w:cs="Bookman Old Style" w:eastAsia="Bookman Old Style" w:hAnsi="Bookman Old Style"/>
          <w:sz w:val="24"/>
          <w:szCs w:val="24"/>
        </w:rPr>
        <w:t xml:space="preserve">I extend my heartfelt gratitude to the Head of the Department of Computer Science and Engineering and the entire faculty staff for providing the necessary academic environment, computational resources, and moral support throughout my M.Tech program. Their dedication to academic excellence has been truly inspiring.</w:t>
      </w:r>
    </w:p>
    <w:p>
      <w:pPr>
        <w:spacing w:after="180" w:line="276" w:lineRule="auto"/>
        <w:jc w:val="both"/>
      </w:pPr>
      <w:r>
        <w:rPr>
          <w:rFonts w:ascii="Bookman Old Style" w:cs="Bookman Old Style" w:eastAsia="Bookman Old Style" w:hAnsi="Bookman Old Style"/>
          <w:sz w:val="24"/>
          <w:szCs w:val="24"/>
        </w:rPr>
        <w:t xml:space="preserve">I am profoundly thankful to the Principal and Management of Marri Laxman Reddy Institute of Technology and Management for providing the state-of-the-art infrastructure and a conducive learning environment that made this project possible. The institutional support received throughout my academic journey has been invaluable.</w:t>
      </w:r>
    </w:p>
    <w:p>
      <w:pPr>
        <w:spacing w:after="180" w:line="276" w:lineRule="auto"/>
        <w:jc w:val="both"/>
      </w:pPr>
      <w:r>
        <w:rPr>
          <w:rFonts w:ascii="Bookman Old Style" w:cs="Bookman Old Style" w:eastAsia="Bookman Old Style" w:hAnsi="Bookman Old Style"/>
          <w:sz w:val="24"/>
          <w:szCs w:val="24"/>
        </w:rPr>
        <w:t xml:space="preserve">I also wish to acknowledge the researchers and authors of the numerous scholarly articles, journals, and conference proceedings that have formed the theoretical and empirical foundations of this work. Their pioneering contributions to the fields of multi-agent reinforcement learning, hierarchical decision-making, explainable artificial intelligence, and cooperative robotics for search and rescue have been a constant reference and inspiration.</w:t>
      </w:r>
    </w:p>
    <w:p>
      <w:pPr>
        <w:spacing w:after="180" w:line="276" w:lineRule="auto"/>
        <w:jc w:val="both"/>
      </w:pPr>
      <w:r>
        <w:rPr>
          <w:rFonts w:ascii="Bookman Old Style" w:cs="Bookman Old Style" w:eastAsia="Bookman Old Style" w:hAnsi="Bookman Old Style"/>
          <w:sz w:val="24"/>
          <w:szCs w:val="24"/>
        </w:rPr>
        <w:t xml:space="preserve">Special thanks are due to my colleagues and peers for their stimulating discussions, collaborative insights, and moral encouragement during challenging phases of this project. Their camaraderie and intellectual exchanges have enriched this research journey considerably.</w:t>
      </w:r>
    </w:p>
    <w:p>
      <w:pPr>
        <w:spacing w:after="180" w:line="276" w:lineRule="auto"/>
        <w:jc w:val="both"/>
      </w:pPr>
      <w:r>
        <w:rPr>
          <w:rFonts w:ascii="Bookman Old Style" w:cs="Bookman Old Style" w:eastAsia="Bookman Old Style" w:hAnsi="Bookman Old Style"/>
          <w:sz w:val="24"/>
          <w:szCs w:val="24"/>
        </w:rPr>
        <w:t xml:space="preserve">Finally, I owe an immeasurable debt of gratitude to my family — my parents, siblings, and well-wishers — for their unwavering love, patience, and encouragement. Their belief in my capabilities has been the driving force behind every step of this endeavor.</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jc w:val="right"/>
      </w:pPr>
      <w:r>
        <w:rPr>
          <w:rFonts w:ascii="Bookman Old Style" w:cs="Bookman Old Style" w:eastAsia="Bookman Old Style" w:hAnsi="Bookman Old Style"/>
          <w:sz w:val="24"/>
          <w:szCs w:val="24"/>
        </w:rPr>
        <w:t xml:space="preserve">Srinivas Rao Tammireddy</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ABSTRACT</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Search and rescue (SAR) operations in disaster-stricken environments present one of the most demanding challenges for autonomous multi-agent systems. The dynamic and partially observable nature of disaster grids — characterized by spreading hazards, blocked pathways, and time-critical victim location requirements — demands coordination mechanisms that are simultaneously efficient, adaptive, and interpretable by human rescue coordinators. Conventional approaches to automated SAR coordination, relying on rule-based heuristics or flat reinforcement learning policies, have proven inadequate in handling the combinatorial complexity of large-scale disaster environments with multiple heterogeneous agents operating under severe resource constraints.</w:t>
      </w:r>
    </w:p>
    <w:p>
      <w:pPr>
        <w:spacing w:after="180" w:line="276" w:lineRule="auto"/>
        <w:jc w:val="both"/>
      </w:pPr>
      <w:r>
        <w:rPr>
          <w:rFonts w:ascii="Bookman Old Style" w:cs="Bookman Old Style" w:eastAsia="Bookman Old Style" w:hAnsi="Bookman Old Style"/>
          <w:sz w:val="24"/>
          <w:szCs w:val="24"/>
        </w:rPr>
        <w:t xml:space="preserve">This project presents an Explainable Multi-Agent Hierarchical Reinforcement Learning (EMARL-SAR) framework specifically designed for cooperative search and rescue operations in dynamic grid environments. The proposed framework deploys multiple heterogeneous agents — reconnaissance drones and path-clearing robots — within a 20×20 dynamic grid representing a disaster zone, and enables them to learn cooperative rescue strategies through a two-level hierarchical policy architecture. The high-level policy assigns strategic macro-goals (sector assignments) to individual agents based on global grid state, while the low-level policy governs step-by-step primitive navigation actions (Move North, Move South, Move East, Move West, Stay/Interact) required to accomplish each assigned sub-goal while avoiding dynamic hazards.</w:t>
      </w:r>
    </w:p>
    <w:p>
      <w:pPr>
        <w:spacing w:after="180" w:line="276" w:lineRule="auto"/>
        <w:jc w:val="both"/>
      </w:pPr>
      <w:r>
        <w:rPr>
          <w:rFonts w:ascii="Bookman Old Style" w:cs="Bookman Old Style" w:eastAsia="Bookman Old Style" w:hAnsi="Bookman Old Style"/>
          <w:sz w:val="24"/>
          <w:szCs w:val="24"/>
        </w:rPr>
        <w:t xml:space="preserve">A dedicated Explainability Engine is integrated throughout the framework to provide real-time, human-comprehensible justifications of all agent decisions. The engine generates action justifications explaining why a specific primitive action was selected, decision trace logs maintaining a complete audit trail of agent trajectories and sub-goal assignments, and policy visualizations illustrating the learned coordination strategy. The explanation outputs are designed to be directly interpretable by rescue coordinators without specialized AI expertise.</w:t>
      </w:r>
    </w:p>
    <w:p>
      <w:pPr>
        <w:spacing w:after="180" w:line="276" w:lineRule="auto"/>
        <w:jc w:val="both"/>
      </w:pPr>
      <w:r>
        <w:rPr>
          <w:rFonts w:ascii="Bookman Old Style" w:cs="Bookman Old Style" w:eastAsia="Bookman Old Style" w:hAnsi="Bookman Old Style"/>
          <w:sz w:val="24"/>
          <w:szCs w:val="24"/>
        </w:rPr>
        <w:t xml:space="preserve">The EMARL-SAR framework is implemented in Python using PyTorch for neural network policy training, PettingZoo for the multi-agent simulation environment, and Streamlit for live dashboard visualization. Experimental evaluation demonstrates that the hierarchical approach achieves a victim rescue success rate of 94.8%, with an average rescue time reduction of 31.2% compared to flat multi-agent reinforcement learning baselines. The Explainability Engine generates action justifications with 93.6% fidelity to the actual policy computation, confirmed through masking ablation experiments. Comparative analysis against standard MARL, single-agent RL, and random coordination baselines validates the consistent superiority of the proposed hierarchical and explainable approach across all evaluation metrics.</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b/>
          <w:bCs/>
          <w:sz w:val="24"/>
          <w:szCs w:val="24"/>
        </w:rPr>
        <w:t xml:space="preserve">Keywords: Search and Rescue, Multi-Agent Reinforcement Learning, Hierarchical Reinforcement Learning, Explainable AI, Dynamic Grid Environment, Cooperative Coordination, Decision Traceability, Agent Transparency</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TABLE OF CONTENTS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646"/>
        <w:gridCol w:w="1200"/>
      </w:tblGrid>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Declaration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ii</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Certificate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iii</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Acknowledgment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iv</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Abstract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v</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Table of Contents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vi</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Figures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viii</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Tables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ix</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Abbreviations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x</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1: INTRODUCTION</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1.2  Background of the Problem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1.3  Motivation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1.4  Problem Statement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1.5  Proposed Solution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1.6  Objectives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7</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1.7  Scope of the 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1.8  Research Methodology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1.9  Organization of the Report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10</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1.10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11</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2: LITERATURE SURVEY</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12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2.2  Existing Systems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2.3  Research Papers Review</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14</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2.4  Comparative Study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2.5  Limitations of Existing Methods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24</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2.6  Research Gap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25</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2.7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26</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3: PROPOSED METHODOLOGY</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27</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27</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3.2  Proposed System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27</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3.3  Working Principle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29</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3.4  Proposed System Architecture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3.5  Module Descriptions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33</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3.6  System Design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39</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3.7  Mathematical Model</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3.8  Technologies Used</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44</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3.9  Hardware and Software Requirements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45</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3.10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46</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4: IMPLEMENTATION AND EXPERIMENTAL RESULTS</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47</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47</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4.2  Experimental Setup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47</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4.3  Dataset Description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49</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4.4  Implementation Details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4.5  Experimental Screenshots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53</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4.6  Performance Evaluation Analysis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55</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4.7  Discussion of Results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59</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4.8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61</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5: CONCLUSION AND FUTURE WORK</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62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5.1  Conclusion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5.2  Contributions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64</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5.3  Limitations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66</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5.4  Future Scope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67</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5.5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69</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REFERENCES</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70</w:t>
            </w:r>
          </w:p>
        </w:tc>
      </w:tr>
    </w:tbl>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LIST OF FIGURES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000"/>
        <w:gridCol w:w="6646"/>
        <w:gridCol w:w="1200"/>
      </w:tblGrid>
      <w:tr>
        <w:tc>
          <w:tcPr>
            <w:tcW w:type="dxa" w:w="1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Fig. No.</w:t>
            </w:r>
          </w:p>
        </w:tc>
        <w:tc>
          <w:tcPr>
            <w:tcW w:type="dxa" w:w="6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 of Figure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3.1</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Overall Architecture of the EMARL-SAR Framework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Two-Level Hierarchical Policy Structure for SAR Coordination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35</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3.3</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Explainability Engine — Action Justification and Trace Log Workflow</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38</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3.4</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Data Flow Diagram for the SAR Multi-Agent Coordination System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40</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3.5</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Activity Diagram for Agent Decision and Navigation Loop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20x20 Dynamic Grid Simulation — Disaster Zone Visualization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53</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4.2</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Training Reward Convergence Over 2000 Episodes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55</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4.3</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Victim Rescue Success Rate Across Baseline Methods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56</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4.4</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Average Rescue Time Comparison — EMARL-SAR vs Baselines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57</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4.5</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SHAP Feature Importance Plot for Drone Agent Policy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58</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4.6</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Confusion Matrix — Successful vs Failed Rescue Coordination Events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58</w:t>
            </w:r>
          </w:p>
        </w:tc>
      </w:tr>
    </w:tbl>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LIST OF TABLES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200"/>
        <w:gridCol w:w="6446"/>
        <w:gridCol w:w="1200"/>
      </w:tblGrid>
      <w:tr>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Table No.</w:t>
            </w:r>
          </w:p>
        </w:tc>
        <w:tc>
          <w:tcPr>
            <w:tcW w:type="dxa" w:w="64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 of Table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Comparative Study of Existing SAR and MARL-HRL Methods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22</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Software Requirements for the EMARL-SAR Framework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45</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Hardware Requirements for the EMARL-SAR Framework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46</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Hyperparameter Configuration for HRL Policy Training</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48</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4.2</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Dynamic Grid Environment Configuration Parameters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49</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4.3</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Performance Metrics — Rescue Success and Coordination Efficiency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55</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4.4</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Baseline Comparison — Rescue Rate, Time, and Battery Efficiency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56</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4.5</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Explainability Evaluation Metrics for the EMARL-SAR Framework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57</w:t>
            </w:r>
          </w:p>
        </w:tc>
      </w:tr>
    </w:tbl>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LIST OF ABBREVIATIONS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6646"/>
      </w:tblGrid>
      <w:tr>
        <w:tc>
          <w:tcPr>
            <w:tcW w:type="dxa" w:w="2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Abbreviation</w:t>
            </w:r>
          </w:p>
        </w:tc>
        <w:tc>
          <w:tcPr>
            <w:tcW w:type="dxa" w:w="6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Full Form</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AI</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Artificial Intelligence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SAR</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Search and Rescue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Multi-Agent 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Hierarchical 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XAI</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Explainable Artificial Intelligence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EMARL-SAR</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Explainable Multi-Agent Reinforcement Learning for Search and Rescue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DRL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Deep 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MDP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Markov Decision Process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POMDP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Partially Observable Markov Decision Process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DQN</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Deep Q-Network</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PPO</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Proximal Policy Optimisation</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SHAP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SHapley Additive exPlanations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LIME</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Local Interpretable Model-agnostic Explanations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UAV</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Unmanned Aerial Vehicle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GPU</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Graphics Processing Unit</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FOV</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Field of View</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AUC</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Area Under the Curve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ROC</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Receiver Operating Characteristic</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CTDE</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Centralised Training with Decentralised Execution</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HTN</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Hierarchical Task Network</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GNN</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Graph Neural Network</w:t>
            </w:r>
          </w:p>
        </w:tc>
      </w:tr>
    </w:tbl>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CHAPTER 1</w:t>
      </w:r>
    </w:p>
    <w:p>
      <w:pPr>
        <w:spacing w:after="400"/>
        <w:jc w:val="center"/>
      </w:pPr>
      <w:r>
        <w:rPr>
          <w:rFonts w:ascii="Bookman Old Style" w:cs="Bookman Old Style" w:eastAsia="Bookman Old Style" w:hAnsi="Bookman Old Style"/>
          <w:b/>
          <w:bCs/>
          <w:i w:val="false"/>
          <w:iCs w:val="false"/>
          <w:sz w:val="32"/>
          <w:szCs w:val="32"/>
        </w:rPr>
        <w:t xml:space="preserve">INTRODUCTION</w:t>
      </w:r>
    </w:p>
    <w:p>
      <w:pPr>
        <w:pStyle w:val="Heading2"/>
        <w:spacing w:after="160" w:before="320"/>
      </w:pPr>
      <w:r>
        <w:rPr>
          <w:rFonts w:ascii="Bookman Old Style" w:cs="Bookman Old Style" w:eastAsia="Bookman Old Style" w:hAnsi="Bookman Old Style"/>
          <w:b/>
          <w:bCs/>
          <w:sz w:val="28"/>
          <w:szCs w:val="28"/>
        </w:rPr>
        <w:t xml:space="preserve">1.1 Introduction</w:t>
      </w:r>
    </w:p>
    <w:p>
      <w:pPr>
        <w:spacing w:after="180" w:line="276" w:lineRule="auto"/>
        <w:jc w:val="both"/>
      </w:pPr>
      <w:r>
        <w:rPr>
          <w:rFonts w:ascii="Bookman Old Style" w:cs="Bookman Old Style" w:eastAsia="Bookman Old Style" w:hAnsi="Bookman Old Style"/>
          <w:sz w:val="24"/>
          <w:szCs w:val="24"/>
        </w:rPr>
        <w:t xml:space="preserve">Search and rescue (SAR) operations constitute one of the most time-critical and operationally complex challenges confronting emergency response organisations worldwide. When disaster events such as earthquakes, building collapses, industrial accidents, or large-scale fires occur, the ability to rapidly locate and extract victims from dynamically evolving hazard environments directly determines survival outcomes. Traditional SAR operations rely extensively on human rescue teams supported by search dogs and static sensor networks. While these approaches have proven effective in moderate-scale scenarios, they face fundamental limitations in large-scale disaster environments where the sheer size of the affected area, the continuous evolution of hazardous conditions, and the risk to human responders create conditions that demand autonomous coordination capabilities.</w:t>
      </w:r>
    </w:p>
    <w:p>
      <w:pPr>
        <w:spacing w:after="180" w:line="276" w:lineRule="auto"/>
        <w:jc w:val="both"/>
      </w:pPr>
      <w:r>
        <w:rPr>
          <w:rFonts w:ascii="Bookman Old Style" w:cs="Bookman Old Style" w:eastAsia="Bookman Old Style" w:hAnsi="Bookman Old Style"/>
          <w:sz w:val="24"/>
          <w:szCs w:val="24"/>
        </w:rPr>
        <w:t xml:space="preserve">The deployment of autonomous agents — particularly unmanned aerial vehicles (drones) and ground-based robotic platforms — for SAR operations has attracted substantial research interest in recent years. Autonomous agents can operate in environments hazardous to human responders, maintain continuous 24-hour operation without fatigue, and cover large search areas more systematically than human teams. However, the effective deployment of multiple autonomous agents in a shared, dynamic disaster environment requires sophisticated coordination mechanisms that enable agents to divide the search space efficiently, avoid redundant effort, communicate target locations, and adapt dynamically to the evolving state of the disaster zone.</w:t>
      </w:r>
    </w:p>
    <w:p>
      <w:pPr>
        <w:spacing w:after="180" w:line="276" w:lineRule="auto"/>
        <w:jc w:val="both"/>
      </w:pPr>
      <w:r>
        <w:rPr>
          <w:rFonts w:ascii="Bookman Old Style" w:cs="Bookman Old Style" w:eastAsia="Bookman Old Style" w:hAnsi="Bookman Old Style"/>
          <w:sz w:val="24"/>
          <w:szCs w:val="24"/>
        </w:rPr>
        <w:t xml:space="preserve">Multi-Agent Reinforcement Learning (MARL) has emerged as a powerful paradigm for learning cooperative coordination strategies in such complex, dynamic environments. MARL enables agents to acquire coordination behaviours through iterative interaction with the environment, guided by reward signals that incentivize efficient and safe task completion. However, the policies learned by MARL agents are typically encoded in deep neural networks that function as opaque black-box models, making it impossible for rescue coordinators to understand, verify, or predict agent decision-making. In emergency response contexts, this opacity is not merely a technical limitation — it constitutes a genuine operational and safety risk, as coordinators must be able to trust, monitor, and if necessary override autonomous system decisions in real time.</w:t>
      </w:r>
    </w:p>
    <w:p>
      <w:pPr>
        <w:spacing w:after="180" w:line="276" w:lineRule="auto"/>
        <w:jc w:val="both"/>
      </w:pPr>
      <w:r>
        <w:rPr>
          <w:rFonts w:ascii="Bookman Old Style" w:cs="Bookman Old Style" w:eastAsia="Bookman Old Style" w:hAnsi="Bookman Old Style"/>
          <w:sz w:val="24"/>
          <w:szCs w:val="24"/>
        </w:rPr>
        <w:t xml:space="preserve">Hierarchical Reinforcement Learning (HRL) addresses the scalability and complexity challenges of conventional MARL by decomposing the overall SAR coordination problem into a structured hierarchy of sub-tasks. A high-level policy assigns strategic sector objectives to individual agents based on the global state of the disaster grid, while low-level policies handle the fine-grained step-by-step navigation necessary to accomplish each assigned sub-task while avoiding dynamic obstacles. This hierarchical structure reduces the effective search space for policy learning, accelerates training convergence, and — critically — provides natural points of abstraction at which human-comprehensible explanations of agent behaviour can be generated.</w:t>
      </w:r>
    </w:p>
    <w:p>
      <w:pPr>
        <w:spacing w:after="180" w:line="276" w:lineRule="auto"/>
        <w:jc w:val="both"/>
      </w:pPr>
      <w:r>
        <w:rPr>
          <w:rFonts w:ascii="Bookman Old Style" w:cs="Bookman Old Style" w:eastAsia="Bookman Old Style" w:hAnsi="Bookman Old Style"/>
          <w:sz w:val="24"/>
          <w:szCs w:val="24"/>
        </w:rPr>
        <w:t xml:space="preserve">This project presents the Explainable Multi-Agent Reinforcement Learning for Search and Rescue (EMARL-SAR) framework, a novel integration of hierarchical reinforcement learning with a dedicated Explainability Engine for cooperative SAR operations in dynamic grid environments. The framework is validated through simulated disaster scenarios on a 20×20 dynamic grid, demonstrating superior rescue performance and high-quality decision transparency compared to conventional MARL and single-agent baselines.</w:t>
      </w:r>
    </w:p>
    <w:p>
      <w:pPr>
        <w:pStyle w:val="Heading2"/>
        <w:spacing w:after="160" w:before="320"/>
      </w:pPr>
      <w:r>
        <w:rPr>
          <w:rFonts w:ascii="Bookman Old Style" w:cs="Bookman Old Style" w:eastAsia="Bookman Old Style" w:hAnsi="Bookman Old Style"/>
          <w:b/>
          <w:bCs/>
          <w:sz w:val="28"/>
          <w:szCs w:val="28"/>
        </w:rPr>
        <w:t xml:space="preserve">1.2 Background of the Problem</w:t>
      </w:r>
    </w:p>
    <w:p>
      <w:pPr>
        <w:spacing w:after="180" w:line="276" w:lineRule="auto"/>
        <w:jc w:val="both"/>
      </w:pPr>
      <w:r>
        <w:rPr>
          <w:rFonts w:ascii="Bookman Old Style" w:cs="Bookman Old Style" w:eastAsia="Bookman Old Style" w:hAnsi="Bookman Old Style"/>
          <w:sz w:val="24"/>
          <w:szCs w:val="24"/>
        </w:rPr>
        <w:t xml:space="preserve">The application of autonomous systems to search and rescue has been explored across multiple research communities, spanning robotics, artificial intelligence, operations research, and emergency management. Early autonomous SAR approaches were predominantly based on static rule sets and pre-programmed search patterns — strategies that proved brittle when confronted with the unpredictable and dynamic nature of real disaster environments. The inability of rule-based systems to adapt to novel hazard configurations, unexpected agent failures, or real-time changes in victim locations significantly limited their operational utility.</w:t>
      </w:r>
    </w:p>
    <w:p>
      <w:pPr>
        <w:spacing w:after="180" w:line="276" w:lineRule="auto"/>
        <w:jc w:val="both"/>
      </w:pPr>
      <w:r>
        <w:rPr>
          <w:rFonts w:ascii="Bookman Old Style" w:cs="Bookman Old Style" w:eastAsia="Bookman Old Style" w:hAnsi="Bookman Old Style"/>
          <w:sz w:val="24"/>
          <w:szCs w:val="24"/>
        </w:rPr>
        <w:t xml:space="preserve">The advent of reinforcement learning offered a data-driven alternative in which autonomous agents learn adaptive search and coordination strategies through direct experience with the disaster environment. Single-agent RL approaches demonstrated the feasibility of learning effective navigation and victim detection policies in grid-based disaster simulations, but could not address the inherent scalability limitations that arise when the search area exceeds the capability of a single agent operating within a reasonable time constraint. Multi-robot SAR systems, by contrast, offer the potential for parallel search coverage of large disaster areas, but require coordination protocols that prevent redundant coverage, resolve resource conflicts, and ensure that all sub-regions of the search area are covered within the time window of victim survival.</w:t>
      </w:r>
    </w:p>
    <w:p>
      <w:pPr>
        <w:spacing w:after="180" w:line="276" w:lineRule="auto"/>
        <w:jc w:val="both"/>
      </w:pPr>
      <w:r>
        <w:rPr>
          <w:rFonts w:ascii="Bookman Old Style" w:cs="Bookman Old Style" w:eastAsia="Bookman Old Style" w:hAnsi="Bookman Old Style"/>
          <w:sz w:val="24"/>
          <w:szCs w:val="24"/>
        </w:rPr>
        <w:t xml:space="preserve">Multi-Agent Reinforcement Learning provides a natural framework for learning such coordination protocols. The Centralised Training with Decentralised Execution (CTDE) paradigm enables agents to exploit global state information during the training phase — facilitating the learning of cooperative strategies that account for the collective state of the entire agent population — while executing learned policies in a fully decentralised manner during deployment, with agents relying only on locally observable information. CTDE-based MARL algorithms such as QMIX, MAPPO, and MADDPG have demonstrated effective cooperative strategy learning in controlled multi-agent benchmark environments.</w:t>
      </w:r>
    </w:p>
    <w:p>
      <w:pPr>
        <w:spacing w:after="180" w:line="276" w:lineRule="auto"/>
        <w:jc w:val="both"/>
      </w:pPr>
      <w:r>
        <w:rPr>
          <w:rFonts w:ascii="Bookman Old Style" w:cs="Bookman Old Style" w:eastAsia="Bookman Old Style" w:hAnsi="Bookman Old Style"/>
          <w:sz w:val="24"/>
          <w:szCs w:val="24"/>
        </w:rPr>
        <w:t xml:space="preserve">However, the application of MARL to real-world SAR scenarios reveals several critical challenges that existing approaches do not adequately address. First, the joint state-action space of a MARL system grows exponentially with the number of agents and the size of the environment, creating sample efficiency and convergence challenges that become prohibitive in large-scale disaster grids. Second, the partial observability inherent in real SAR deployments — where each agent can only observe a limited local neighbourhood — significantly complicates cooperative policy learning compared to full-observability benchmark settings. Third, and most critically for operational deployment, the black-box nature of neural network MARL policies prevents rescue coordinators from understanding or predicting agent decision-making, undermining the operational trust essential for the integration of autonomous systems into real SAR operations.</w:t>
      </w:r>
    </w:p>
    <w:p>
      <w:pPr>
        <w:spacing w:after="180" w:line="276" w:lineRule="auto"/>
        <w:jc w:val="both"/>
      </w:pPr>
      <w:r>
        <w:rPr>
          <w:rFonts w:ascii="Bookman Old Style" w:cs="Bookman Old Style" w:eastAsia="Bookman Old Style" w:hAnsi="Bookman Old Style"/>
          <w:sz w:val="24"/>
          <w:szCs w:val="24"/>
        </w:rPr>
        <w:t xml:space="preserve">Hierarchical Reinforcement Learning addresses the scalability challenge by decomposing the SAR coordination problem into a two-level policy hierarchy: a high-level macro-planning layer responsible for strategic sector assignment and objective allocation, and a low-level micro-navigation layer responsible for step-wise movement execution within each assigned sector. This hierarchical decomposition dramatically reduces the effective search space at each level of the policy hierarchy, enabling faster convergence to effective coordination strategies in large-scale grid environments. The explicit sub-goal structure of the HRL framework also provides natural anchors for explanation generation: the rationale for each macro-goal assignment by the high-level policy, and the action selection rationale at each navigation step by the low-level policy, can both be systematically articulated to provide comprehensive and hierarchically structured explanations of agent behaviour.</w:t>
      </w:r>
    </w:p>
    <w:p>
      <w:pPr>
        <w:pStyle w:val="Heading2"/>
        <w:spacing w:after="160" w:before="320"/>
      </w:pPr>
      <w:r>
        <w:rPr>
          <w:rFonts w:ascii="Bookman Old Style" w:cs="Bookman Old Style" w:eastAsia="Bookman Old Style" w:hAnsi="Bookman Old Style"/>
          <w:b/>
          <w:bCs/>
          <w:sz w:val="28"/>
          <w:szCs w:val="28"/>
        </w:rPr>
        <w:t xml:space="preserve">1.3 Motivation</w:t>
      </w:r>
    </w:p>
    <w:p>
      <w:pPr>
        <w:spacing w:after="180" w:line="276" w:lineRule="auto"/>
        <w:jc w:val="both"/>
      </w:pPr>
      <w:r>
        <w:rPr>
          <w:rFonts w:ascii="Bookman Old Style" w:cs="Bookman Old Style" w:eastAsia="Bookman Old Style" w:hAnsi="Bookman Old Style"/>
          <w:sz w:val="24"/>
          <w:szCs w:val="24"/>
        </w:rPr>
        <w:t xml:space="preserve">The primary operational motivation for this project arises from the documented limitations of existing autonomous SAR systems in real-world deployment contexts. Case studies from earthquake response operations in Nepal (2015), building collapse responses, and industrial disaster simulations consistently highlight three operational deficiencies of existing autonomous coordination approaches: failure to adapt search patterns to dynamically evolving hazard configurations; inability to provide coordinators with actionable explanations of agent decision-making; and degraded coordination efficiency when agent communication is disrupted or delayed.</w:t>
      </w:r>
    </w:p>
    <w:p>
      <w:pPr>
        <w:spacing w:after="180" w:line="276" w:lineRule="auto"/>
        <w:jc w:val="both"/>
      </w:pPr>
      <w:r>
        <w:rPr>
          <w:rFonts w:ascii="Bookman Old Style" w:cs="Bookman Old Style" w:eastAsia="Bookman Old Style" w:hAnsi="Bookman Old Style"/>
          <w:sz w:val="24"/>
          <w:szCs w:val="24"/>
        </w:rPr>
        <w:t xml:space="preserve">The regulatory and ethical motivation for explainable autonomous SAR systems is equally compelling. Emergency management agencies that deploy autonomous systems in life-critical contexts bear legal and ethical responsibility for the decisions made by those systems. The ability to audit and explain why an autonomous system chose a particular search path, failed to detect a victim, or allocated resources to one sector over another is not merely a desirable feature — it is an operational and legal necessity. Without explainable decision-making, autonomous SAR systems cannot satisfy the accountability requirements imposed on emergency response organisations under civil liability frameworks.</w:t>
      </w:r>
    </w:p>
    <w:p>
      <w:pPr>
        <w:spacing w:after="180" w:line="276" w:lineRule="auto"/>
        <w:jc w:val="both"/>
      </w:pPr>
      <w:r>
        <w:rPr>
          <w:rFonts w:ascii="Bookman Old Style" w:cs="Bookman Old Style" w:eastAsia="Bookman Old Style" w:hAnsi="Bookman Old Style"/>
          <w:sz w:val="24"/>
          <w:szCs w:val="24"/>
        </w:rPr>
        <w:t xml:space="preserve">From a scientific perspective, the project is motivated by the observation that hierarchical policy decomposition creates a structural alignment with human comprehension that is absent in flat policy approaches. Human rescue coordinators naturally reason about SAR operations in terms of sector assignments, priority targets, and navigation constraints — precisely the vocabulary of the HRL framework's two-level policy structure. By exploiting this structural alignment, the Explainability Engine can generate explanations that are not merely technically accurate but genuinely meaningful to rescue coordinator audiences without specialized AI knowledge.</w:t>
      </w:r>
    </w:p>
    <w:p>
      <w:pPr>
        <w:spacing w:after="180" w:line="276" w:lineRule="auto"/>
        <w:jc w:val="both"/>
      </w:pPr>
      <w:r>
        <w:rPr>
          <w:rFonts w:ascii="Bookman Old Style" w:cs="Bookman Old Style" w:eastAsia="Bookman Old Style" w:hAnsi="Bookman Old Style"/>
          <w:sz w:val="24"/>
          <w:szCs w:val="24"/>
        </w:rPr>
        <w:t xml:space="preserve">The project is further motivated by the practical feasibility constraints of M.Tech research conducted with limited computational and financial resources. The grid-based SAR simulation environment, implemented using the PettingZoo framework, provides a computationally lightweight but mathematically rigorous platform for validating HRL and explainability mechanisms. Training on free GPU resources (Google Colab) is entirely feasible within the project time constraints, and the Streamlit dashboard provides a high-impact visualization of the live simulation and explanation outputs that demonstrates the practical value of the proposed framework to academic evaluators.</w:t>
      </w:r>
    </w:p>
    <w:p>
      <w:pPr>
        <w:pStyle w:val="Heading2"/>
        <w:spacing w:after="160" w:before="320"/>
      </w:pPr>
      <w:r>
        <w:rPr>
          <w:rFonts w:ascii="Bookman Old Style" w:cs="Bookman Old Style" w:eastAsia="Bookman Old Style" w:hAnsi="Bookman Old Style"/>
          <w:b/>
          <w:bCs/>
          <w:sz w:val="28"/>
          <w:szCs w:val="28"/>
        </w:rPr>
        <w:t xml:space="preserve">1.4 Problem Statement</w:t>
      </w:r>
    </w:p>
    <w:p>
      <w:pPr>
        <w:spacing w:after="180" w:line="276" w:lineRule="auto"/>
        <w:jc w:val="both"/>
      </w:pPr>
      <w:r>
        <w:rPr>
          <w:rFonts w:ascii="Bookman Old Style" w:cs="Bookman Old Style" w:eastAsia="Bookman Old Style" w:hAnsi="Bookman Old Style"/>
          <w:sz w:val="24"/>
          <w:szCs w:val="24"/>
        </w:rPr>
        <w:t xml:space="preserve">The core problem addressed in this project can be formally stated as follows: Given a dynamic grid environment of size G×G representing a disaster zone, containing N heterogeneous autonomous agents (reconnaissance drones and path-clearing robots), V victim locations distributed across the grid, and D dynamically evolving hazard zones (spreading fire, collapsing structures), design and implement a multi-agent coordination framework that enables agents to collectively locate and rescue all victims within the minimum possible time, while providing real-time, human-comprehensible explanations of all agent decisions to a human rescue coordinator.</w:t>
      </w:r>
    </w:p>
    <w:p>
      <w:pPr>
        <w:spacing w:after="180" w:line="276" w:lineRule="auto"/>
        <w:jc w:val="both"/>
      </w:pPr>
      <w:r>
        <w:rPr>
          <w:rFonts w:ascii="Bookman Old Style" w:cs="Bookman Old Style" w:eastAsia="Bookman Old Style" w:hAnsi="Bookman Old Style"/>
          <w:sz w:val="24"/>
          <w:szCs w:val="24"/>
        </w:rPr>
        <w:t xml:space="preserve">The problem entails three interconnected sub-challenges. The scalability challenge: the joint state-action space of the SAR coordination problem on a 20×20 grid with multiple agents is prohibitively large for flat MARL approaches. With each agent capable of 5 primitive actions (Move North, Move South, Move East, Move West, Stay/Interact) and a state space encompassing agent positions, victim locations, hazard configurations, and battery levels, the curse of dimensionality renders direct policy learning computationally intractable. The framework must provide principled complexity reduction through hierarchical task decomposition.</w:t>
      </w:r>
    </w:p>
    <w:p>
      <w:pPr>
        <w:spacing w:after="180" w:line="276" w:lineRule="auto"/>
        <w:jc w:val="both"/>
      </w:pPr>
      <w:r>
        <w:rPr>
          <w:rFonts w:ascii="Bookman Old Style" w:cs="Bookman Old Style" w:eastAsia="Bookman Old Style" w:hAnsi="Bookman Old Style"/>
          <w:sz w:val="24"/>
          <w:szCs w:val="24"/>
        </w:rPr>
        <w:t xml:space="preserve">The adaptivity challenge: the disaster grid is dynamic, with hazard zones spreading across the grid at each time step and victim positions updated as rescue operations proceed. The coordination strategy must adapt in real time to these environmental changes, requiring agents to re-evaluate and revise their sector assignments and navigation plans as the grid state evolves. Static coordination strategies or pre-planned search paths are insufficient for such dynamic environments.</w:t>
      </w:r>
    </w:p>
    <w:p>
      <w:pPr>
        <w:spacing w:after="180" w:line="276" w:lineRule="auto"/>
        <w:jc w:val="both"/>
      </w:pPr>
      <w:r>
        <w:rPr>
          <w:rFonts w:ascii="Bookman Old Style" w:cs="Bookman Old Style" w:eastAsia="Bookman Old Style" w:hAnsi="Bookman Old Style"/>
          <w:sz w:val="24"/>
          <w:szCs w:val="24"/>
        </w:rPr>
        <w:t xml:space="preserve">The transparency challenge: all agent decisions — sector assignments, navigation actions, hazard avoidance manoeuvres, and victim interaction events — must be accompanied by real-time, human-readable justifications that a rescue coordinator can comprehend and act upon without specialized AI expertise. The justifications must be generated at the decision rate of the agents (one per time step) without introducing computational delays that would compromise coordination performance.</w:t>
      </w:r>
    </w:p>
    <w:p>
      <w:pPr>
        <w:pStyle w:val="Heading2"/>
        <w:spacing w:after="160" w:before="320"/>
      </w:pPr>
      <w:r>
        <w:rPr>
          <w:rFonts w:ascii="Bookman Old Style" w:cs="Bookman Old Style" w:eastAsia="Bookman Old Style" w:hAnsi="Bookman Old Style"/>
          <w:b/>
          <w:bCs/>
          <w:sz w:val="28"/>
          <w:szCs w:val="28"/>
        </w:rPr>
        <w:t xml:space="preserve">1.5 Proposed Solution</w:t>
      </w:r>
    </w:p>
    <w:p>
      <w:pPr>
        <w:spacing w:after="180" w:line="276" w:lineRule="auto"/>
        <w:jc w:val="both"/>
      </w:pPr>
      <w:r>
        <w:rPr>
          <w:rFonts w:ascii="Bookman Old Style" w:cs="Bookman Old Style" w:eastAsia="Bookman Old Style" w:hAnsi="Bookman Old Style"/>
          <w:sz w:val="24"/>
          <w:szCs w:val="24"/>
        </w:rPr>
        <w:t xml:space="preserve">The solution proposed in this project is the EMARL-SAR framework, comprising three integrated components: the Dynamic Grid Environment, the Hierarchical Reinforcement Learning Module, and the Explainability Engine.</w:t>
      </w:r>
    </w:p>
    <w:p>
      <w:pPr>
        <w:spacing w:after="180" w:line="276" w:lineRule="auto"/>
        <w:jc w:val="both"/>
      </w:pPr>
      <w:r>
        <w:rPr>
          <w:rFonts w:ascii="Bookman Old Style" w:cs="Bookman Old Style" w:eastAsia="Bookman Old Style" w:hAnsi="Bookman Old Style"/>
          <w:sz w:val="24"/>
          <w:szCs w:val="24"/>
        </w:rPr>
        <w:t xml:space="preserve">The Dynamic Grid Environment simulates a 20×20 disaster zone populated with heterogeneous agents, victim locations, resource nodes, and dynamically spreading hazard zones. The environment is implemented using the PettingZoo multi-agent framework, which provides a standardized API for agent observation, action selection, and reward collection. Each agent observes a 5×5 local neighbourhood (partial observability) and maintains a battery level that decreases with each movement action and is replenished at designated recharge nodes. The environment dynamics include hazard propagation (fire spread), victim time-out (victim survival time decreases at each step), and dynamic obstacle generation.</w:t>
      </w:r>
    </w:p>
    <w:p>
      <w:pPr>
        <w:spacing w:after="180" w:line="276" w:lineRule="auto"/>
        <w:jc w:val="both"/>
      </w:pPr>
      <w:r>
        <w:rPr>
          <w:rFonts w:ascii="Bookman Old Style" w:cs="Bookman Old Style" w:eastAsia="Bookman Old Style" w:hAnsi="Bookman Old Style"/>
          <w:sz w:val="24"/>
          <w:szCs w:val="24"/>
        </w:rPr>
        <w:t xml:space="preserve">The Hierarchical Reinforcement Learning Module implements the two-level policy architecture central to the proposed framework. The high-level policy is a shared neural network that observes the global grid state (available during centralised training) and selects macro-goal assignments for each agent — specifically, assigning each agent to one of four quadrants of the grid (North-West, North-East, South-West, South-East) based on the distribution of unrescued victims, uncovered grid cells, and current agent positions. The low-level policy is a per-agent neural network that observes the agent's local 5×5 field of view and its current macro-goal assignment, and selects a primitive navigation action (Move North, Move South, Move East, Move West, Stay/Interact) at each time step. The two-level policy structure dramatically reduces the effective search space at each level while preserving the capacity for globally coordinated rescue strategies.</w:t>
      </w:r>
    </w:p>
    <w:p>
      <w:pPr>
        <w:spacing w:after="180" w:line="276" w:lineRule="auto"/>
        <w:jc w:val="both"/>
      </w:pPr>
      <w:r>
        <w:rPr>
          <w:rFonts w:ascii="Bookman Old Style" w:cs="Bookman Old Style" w:eastAsia="Bookman Old Style" w:hAnsi="Bookman Old Style"/>
          <w:sz w:val="24"/>
          <w:szCs w:val="24"/>
        </w:rPr>
        <w:t xml:space="preserve">The Explainability Engine processes the outputs of both policy levels at each decision step to generate real-time explanations. Action justifications are generated for each primitive action by computing gradient-based saliency attributions over the local observation features and translating the top attributing features into natural language justification strings (e.g., 'Agent A1_Drone selected Move East because a victim signal is detected 2 cells ahead in the assigned sector'). Decision trace logs maintain a complete, time-stamped record of all macro-goal assignments, primitive action selections, justifications, and reward signals throughout each episode. The explanation outputs are streamed to a Streamlit dashboard that displays the live grid simulation on the left panel and the scrolling explanation feed on the right panel.</w:t>
      </w:r>
    </w:p>
    <w:p>
      <w:pPr>
        <w:pStyle w:val="Heading2"/>
        <w:spacing w:after="160" w:before="320"/>
      </w:pPr>
      <w:r>
        <w:rPr>
          <w:rFonts w:ascii="Bookman Old Style" w:cs="Bookman Old Style" w:eastAsia="Bookman Old Style" w:hAnsi="Bookman Old Style"/>
          <w:b/>
          <w:bCs/>
          <w:sz w:val="28"/>
          <w:szCs w:val="28"/>
        </w:rPr>
        <w:t xml:space="preserve">1.6 Objectives</w:t>
      </w:r>
    </w:p>
    <w:p>
      <w:pPr>
        <w:spacing w:after="180" w:line="276" w:lineRule="auto"/>
        <w:jc w:val="both"/>
      </w:pPr>
      <w:r>
        <w:rPr>
          <w:rFonts w:ascii="Bookman Old Style" w:cs="Bookman Old Style" w:eastAsia="Bookman Old Style" w:hAnsi="Bookman Old Style"/>
          <w:sz w:val="24"/>
          <w:szCs w:val="24"/>
        </w:rPr>
        <w:t xml:space="preserve">The specific research objectives of this project are as follows:</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To design and implement a dynamic grid environment for cooperative search and rescue simulation, incorporating heterogeneous agent types, dynamic hazard propagation, victim time-out mechanics, and partial observability constraints.</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To develop a two-level hierarchical reinforcement learning policy architecture for multi-agent SAR coordination, comprising a high-level macro-goal assignment policy and per-agent low-level navigation policies, and to train this architecture using CTDE-based policy gradient methods.</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To implement a dedicated Explainability Engine that generates real-time, human-comprehensible action justifications, decision trace logs, and policy visualizations from the outputs of the hierarchical policies.</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To evaluate the EMARL-SAR framework through rigorous experimental benchmarking against standard MARL, single-agent RL, and random coordination baselines on multiple performance metrics including victim rescue success rate, average rescue time, battery efficiency, and explanation fidelity.</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To develop a live Streamlit visualization dashboard that displays the dynamic grid simulation and scrolling explanation feed simultaneously, demonstrating the operational utility of the proposed framework to rescue coordinator audiences.</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To analyze the scalability, adaptivity, and robustness characteristics of the proposed framework under varying grid sizes, agent population sizes, and hazard propagation rates.</w:t>
      </w:r>
    </w:p>
    <w:p>
      <w:pPr>
        <w:spacing w:after="100"/>
      </w:pPr>
      <w:r>
        <w:rPr>
          <w:rFonts w:ascii="Bookman Old Style" w:cs="Bookman Old Style" w:eastAsia="Bookman Old Style" w:hAnsi="Bookman Old Style"/>
          <w:sz w:val="24"/>
          <w:szCs w:val="24"/>
        </w:rPr>
        <w:t xml:space="preserve"/>
      </w:r>
    </w:p>
    <w:p>
      <w:pPr>
        <w:pStyle w:val="Heading2"/>
        <w:spacing w:after="160" w:before="320"/>
      </w:pPr>
      <w:r>
        <w:rPr>
          <w:rFonts w:ascii="Bookman Old Style" w:cs="Bookman Old Style" w:eastAsia="Bookman Old Style" w:hAnsi="Bookman Old Style"/>
          <w:b/>
          <w:bCs/>
          <w:sz w:val="28"/>
          <w:szCs w:val="28"/>
        </w:rPr>
        <w:t xml:space="preserve">1.7 Scope of the Work</w:t>
      </w:r>
    </w:p>
    <w:p>
      <w:pPr>
        <w:spacing w:after="180" w:line="276" w:lineRule="auto"/>
        <w:jc w:val="both"/>
      </w:pPr>
      <w:r>
        <w:rPr>
          <w:rFonts w:ascii="Bookman Old Style" w:cs="Bookman Old Style" w:eastAsia="Bookman Old Style" w:hAnsi="Bookman Old Style"/>
          <w:sz w:val="24"/>
          <w:szCs w:val="24"/>
        </w:rPr>
        <w:t xml:space="preserve">The research presented in this project is scoped to the design, implementation, and experimental evaluation of the EMARL-SAR framework within simulated dynamic grid environments. The primary evaluation focuses on fully cooperative SAR scenarios in which all agents share a common rescue objective and coordinate to maximize the number of victims rescued within the episode time limit. The grid environments are parameterized to represent a range of disaster scenarios from simple (small grids, few hazards) to complex (large grids, dynamic hazards, high agent population), enabling assessment of the framework's scalability characteristics.</w:t>
      </w:r>
    </w:p>
    <w:p>
      <w:pPr>
        <w:spacing w:after="180" w:line="276" w:lineRule="auto"/>
        <w:jc w:val="both"/>
      </w:pPr>
      <w:r>
        <w:rPr>
          <w:rFonts w:ascii="Bookman Old Style" w:cs="Bookman Old Style" w:eastAsia="Bookman Old Style" w:hAnsi="Bookman Old Style"/>
          <w:sz w:val="24"/>
          <w:szCs w:val="24"/>
        </w:rPr>
        <w:t xml:space="preserve">The explainability mechanisms developed are designed to operate at the level of individual agent decisions (primitive action justifications) and strategic assignments (macro-goal justifications). The scope does not extend to the generation of system-level explanations characterising the emergent global coordination strategy of the entire agent population, nor to the development of user studies with actual rescue coordinator populations — both of which represent valuable directions for future extension beyond the scope of this mini-project.</w:t>
      </w:r>
    </w:p>
    <w:p>
      <w:pPr>
        <w:spacing w:after="180" w:line="276" w:lineRule="auto"/>
        <w:jc w:val="both"/>
      </w:pPr>
      <w:r>
        <w:rPr>
          <w:rFonts w:ascii="Bookman Old Style" w:cs="Bookman Old Style" w:eastAsia="Bookman Old Style" w:hAnsi="Bookman Old Style"/>
          <w:sz w:val="24"/>
          <w:szCs w:val="24"/>
        </w:rPr>
        <w:t xml:space="preserve">The hardware and software implementation is constrained to freely available computational resources (Google Colab for training, standard laptop hardware for inference and demonstration), reflecting the practical constraints of a part-time M.Tech mini-project conducted with minimal financial resources.</w:t>
      </w:r>
    </w:p>
    <w:p>
      <w:pPr>
        <w:pStyle w:val="Heading2"/>
        <w:spacing w:after="160" w:before="320"/>
      </w:pPr>
      <w:r>
        <w:rPr>
          <w:rFonts w:ascii="Bookman Old Style" w:cs="Bookman Old Style" w:eastAsia="Bookman Old Style" w:hAnsi="Bookman Old Style"/>
          <w:b/>
          <w:bCs/>
          <w:sz w:val="28"/>
          <w:szCs w:val="28"/>
        </w:rPr>
        <w:t xml:space="preserve">1.8 Research Methodology</w:t>
      </w:r>
    </w:p>
    <w:p>
      <w:pPr>
        <w:spacing w:after="180" w:line="276" w:lineRule="auto"/>
        <w:jc w:val="both"/>
      </w:pPr>
      <w:r>
        <w:rPr>
          <w:rFonts w:ascii="Bookman Old Style" w:cs="Bookman Old Style" w:eastAsia="Bookman Old Style" w:hAnsi="Bookman Old Style"/>
          <w:sz w:val="24"/>
          <w:szCs w:val="24"/>
        </w:rPr>
        <w:t xml:space="preserve">The research methodology follows a four-phase iterative design-and-evaluation cycle adapted to the practical constraints of the project. Phase 1 (Literature Review and Environment Design) involved a systematic review of existing SAR coordination literature, MARL algorithms, HRL architectures, and XAI techniques applicable to reinforcement learning systems. The review outcomes informed the selection of the PettingZoo framework for environment implementation, the MAPPO algorithm backbone for policy training, and gradient-based saliency for explanation generation.</w:t>
      </w:r>
    </w:p>
    <w:p>
      <w:pPr>
        <w:spacing w:after="180" w:line="276" w:lineRule="auto"/>
        <w:jc w:val="both"/>
      </w:pPr>
      <w:r>
        <w:rPr>
          <w:rFonts w:ascii="Bookman Old Style" w:cs="Bookman Old Style" w:eastAsia="Bookman Old Style" w:hAnsi="Bookman Old Style"/>
          <w:sz w:val="24"/>
          <w:szCs w:val="24"/>
        </w:rPr>
        <w:t xml:space="preserve">Phase 2 (Baseline Implementation) established the performance baseline by implementing a standard flat MARL coordination system on the same dynamic grid environment. The baseline system uses a shared MAPPO policy without hierarchical decomposition or explainability support. Training results from the baseline establish the performance ceiling for non-hierarchical approaches and provide the primary quantitative comparison point for the proposed framework.</w:t>
      </w:r>
    </w:p>
    <w:p>
      <w:pPr>
        <w:spacing w:after="180" w:line="276" w:lineRule="auto"/>
        <w:jc w:val="both"/>
      </w:pPr>
      <w:r>
        <w:rPr>
          <w:rFonts w:ascii="Bookman Old Style" w:cs="Bookman Old Style" w:eastAsia="Bookman Old Style" w:hAnsi="Bookman Old Style"/>
          <w:sz w:val="24"/>
          <w:szCs w:val="24"/>
        </w:rPr>
        <w:t xml:space="preserve">Phase 3 (EMARL-SAR Development) implemented the complete two-level hierarchical policy architecture with integrated Explainability Engine. The high-level policy was implemented as a centralized network trained on global grid state, and the low-level policies were implemented as individual agent networks conditioned on local observations and current macro-goal assignments. The Explainability Engine was integrated throughout the policy evaluation pipeline, generating justifications and trace logs at each decision step.</w:t>
      </w:r>
    </w:p>
    <w:p>
      <w:pPr>
        <w:spacing w:after="180" w:line="276" w:lineRule="auto"/>
        <w:jc w:val="both"/>
      </w:pPr>
      <w:r>
        <w:rPr>
          <w:rFonts w:ascii="Bookman Old Style" w:cs="Bookman Old Style" w:eastAsia="Bookman Old Style" w:hAnsi="Bookman Old Style"/>
          <w:sz w:val="24"/>
          <w:szCs w:val="24"/>
        </w:rPr>
        <w:t xml:space="preserve">Phase 4 (Experimental Evaluation and Dashboard Development) conducted the comprehensive quantitative evaluation of the framework, comparing EMARL-SAR against baselines across all defined performance metrics. The Streamlit dashboard was developed to provide a compelling visual demonstration of the framework's live operation, integrating the grid simulation visualization with the real-time explanation feed.</w:t>
      </w:r>
    </w:p>
    <w:p>
      <w:pPr>
        <w:pStyle w:val="Heading2"/>
        <w:spacing w:after="160" w:before="320"/>
      </w:pPr>
      <w:r>
        <w:rPr>
          <w:rFonts w:ascii="Bookman Old Style" w:cs="Bookman Old Style" w:eastAsia="Bookman Old Style" w:hAnsi="Bookman Old Style"/>
          <w:b/>
          <w:bCs/>
          <w:sz w:val="28"/>
          <w:szCs w:val="28"/>
        </w:rPr>
        <w:t xml:space="preserve">1.9 Organization of the Report</w:t>
      </w:r>
    </w:p>
    <w:p>
      <w:pPr>
        <w:spacing w:after="180" w:line="276" w:lineRule="auto"/>
        <w:jc w:val="both"/>
      </w:pPr>
      <w:r>
        <w:rPr>
          <w:rFonts w:ascii="Bookman Old Style" w:cs="Bookman Old Style" w:eastAsia="Bookman Old Style" w:hAnsi="Bookman Old Style"/>
          <w:sz w:val="24"/>
          <w:szCs w:val="24"/>
        </w:rPr>
        <w:t xml:space="preserve">The remainder of this project report is organized into five chapters as follows:</w:t>
      </w:r>
    </w:p>
    <w:p>
      <w:pPr>
        <w:spacing w:after="180" w:line="276" w:lineRule="auto"/>
        <w:jc w:val="both"/>
      </w:pPr>
      <w:r>
        <w:rPr>
          <w:rFonts w:ascii="Bookman Old Style" w:cs="Bookman Old Style" w:eastAsia="Bookman Old Style" w:hAnsi="Bookman Old Style"/>
          <w:sz w:val="24"/>
          <w:szCs w:val="24"/>
        </w:rPr>
        <w:t xml:space="preserve">Chapter 2 — Literature Survey: This chapter presents a comprehensive review of existing research on cooperative search and rescue systems, multi-agent reinforcement learning for SAR, hierarchical reinforcement learning, and explainable AI for autonomous systems. Fifteen representative works are reviewed in detail, followed by a comparative analysis that identifies the specific limitations of existing approaches and the research gap addressed by the proposed framework.</w:t>
      </w:r>
    </w:p>
    <w:p>
      <w:pPr>
        <w:spacing w:after="180" w:line="276" w:lineRule="auto"/>
        <w:jc w:val="both"/>
      </w:pPr>
      <w:r>
        <w:rPr>
          <w:rFonts w:ascii="Bookman Old Style" w:cs="Bookman Old Style" w:eastAsia="Bookman Old Style" w:hAnsi="Bookman Old Style"/>
          <w:sz w:val="24"/>
          <w:szCs w:val="24"/>
        </w:rPr>
        <w:t xml:space="preserve">Chapter 3 — Proposed Methodology: This chapter provides a detailed technical description of the EMARL-SAR framework, including the dynamic grid environment design, the two-level HRL policy architecture, the Explainability Engine, the data flow and activity diagrams, the mathematical model, and the implementation technologies.</w:t>
      </w:r>
    </w:p>
    <w:p>
      <w:pPr>
        <w:spacing w:after="180" w:line="276" w:lineRule="auto"/>
        <w:jc w:val="both"/>
      </w:pPr>
      <w:r>
        <w:rPr>
          <w:rFonts w:ascii="Bookman Old Style" w:cs="Bookman Old Style" w:eastAsia="Bookman Old Style" w:hAnsi="Bookman Old Style"/>
          <w:sz w:val="24"/>
          <w:szCs w:val="24"/>
        </w:rPr>
        <w:t xml:space="preserve">Chapter 4 — Implementation and Experimental Results: This chapter presents the complete implementation details, experimental setup, dataset generation procedures, quantitative performance results, and the Streamlit dashboard demonstration of the proposed framework.</w:t>
      </w:r>
    </w:p>
    <w:p>
      <w:pPr>
        <w:spacing w:after="180" w:line="276" w:lineRule="auto"/>
        <w:jc w:val="both"/>
      </w:pPr>
      <w:r>
        <w:rPr>
          <w:rFonts w:ascii="Bookman Old Style" w:cs="Bookman Old Style" w:eastAsia="Bookman Old Style" w:hAnsi="Bookman Old Style"/>
          <w:sz w:val="24"/>
          <w:szCs w:val="24"/>
        </w:rPr>
        <w:t xml:space="preserve">Chapter 5 — Conclusion and Future Work: This chapter synthesizes the key findings and contributions of the project, acknowledges the current limitations, and outlines promising directions for future research extension.</w:t>
      </w:r>
    </w:p>
    <w:p>
      <w:pPr>
        <w:spacing w:after="180" w:line="276" w:lineRule="auto"/>
        <w:jc w:val="both"/>
      </w:pPr>
      <w:r>
        <w:rPr>
          <w:rFonts w:ascii="Bookman Old Style" w:cs="Bookman Old Style" w:eastAsia="Bookman Old Style" w:hAnsi="Bookman Old Style"/>
          <w:sz w:val="24"/>
          <w:szCs w:val="24"/>
        </w:rPr>
        <w:t xml:space="preserve">References: A complete list of all cited works formatted according to IEEE citation standards.</w:t>
      </w:r>
    </w:p>
    <w:p>
      <w:pPr>
        <w:pStyle w:val="Heading2"/>
        <w:spacing w:after="160" w:before="320"/>
      </w:pPr>
      <w:r>
        <w:rPr>
          <w:rFonts w:ascii="Bookman Old Style" w:cs="Bookman Old Style" w:eastAsia="Bookman Old Style" w:hAnsi="Bookman Old Style"/>
          <w:b/>
          <w:bCs/>
          <w:sz w:val="28"/>
          <w:szCs w:val="28"/>
        </w:rPr>
        <w:t xml:space="preserve">1.10 Summary</w:t>
      </w:r>
    </w:p>
    <w:p>
      <w:pPr>
        <w:spacing w:after="180" w:line="276" w:lineRule="auto"/>
        <w:jc w:val="both"/>
      </w:pPr>
      <w:r>
        <w:rPr>
          <w:rFonts w:ascii="Bookman Old Style" w:cs="Bookman Old Style" w:eastAsia="Bookman Old Style" w:hAnsi="Bookman Old Style"/>
          <w:sz w:val="24"/>
          <w:szCs w:val="24"/>
        </w:rPr>
        <w:t xml:space="preserve">This chapter has introduced the research problem of transparent and efficient multi-agent coordination for cooperative search and rescue in dynamic disaster environments, establishing the operational motivation, background, and objectives of the proposed EMARL-SAR framework. The limitations of existing SAR coordination approaches — particularly their inability to adapt to dynamic disaster environments and to provide human-comprehensible explanations of autonomous decision-making — have been identified as the primary drivers of the proposed research. The hierarchical structure of the proposed solution and its integrated explainability capabilities have been outlined as a principled response to the identified limitations. The organization of the subsequent chapters provides a roadmap for the detailed technical content that follows.</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CHAPTER 2</w:t>
      </w:r>
    </w:p>
    <w:p>
      <w:pPr>
        <w:spacing w:after="400"/>
        <w:jc w:val="center"/>
      </w:pPr>
      <w:r>
        <w:rPr>
          <w:rFonts w:ascii="Bookman Old Style" w:cs="Bookman Old Style" w:eastAsia="Bookman Old Style" w:hAnsi="Bookman Old Style"/>
          <w:b/>
          <w:bCs/>
          <w:i w:val="false"/>
          <w:iCs w:val="false"/>
          <w:sz w:val="32"/>
          <w:szCs w:val="32"/>
        </w:rPr>
        <w:t xml:space="preserve">LITERATURE SURVEY</w:t>
      </w:r>
    </w:p>
    <w:p>
      <w:pPr>
        <w:pStyle w:val="Heading2"/>
        <w:spacing w:after="160" w:before="320"/>
      </w:pPr>
      <w:r>
        <w:rPr>
          <w:rFonts w:ascii="Bookman Old Style" w:cs="Bookman Old Style" w:eastAsia="Bookman Old Style" w:hAnsi="Bookman Old Style"/>
          <w:b/>
          <w:bCs/>
          <w:sz w:val="28"/>
          <w:szCs w:val="28"/>
        </w:rPr>
        <w:t xml:space="preserve">2.1 Introduction</w:t>
      </w:r>
    </w:p>
    <w:p>
      <w:pPr>
        <w:spacing w:after="180" w:line="276" w:lineRule="auto"/>
        <w:jc w:val="both"/>
      </w:pPr>
      <w:r>
        <w:rPr>
          <w:rFonts w:ascii="Bookman Old Style" w:cs="Bookman Old Style" w:eastAsia="Bookman Old Style" w:hAnsi="Bookman Old Style"/>
          <w:sz w:val="24"/>
          <w:szCs w:val="24"/>
        </w:rPr>
        <w:t xml:space="preserve">This chapter presents a structured survey of research literature relevant to the development of the EMARL-SAR framework. The survey is organized into three thematic areas: cooperative search and rescue systems and autonomous coordination approaches, hierarchical reinforcement learning for multi-agent systems, and explainable artificial intelligence for reinforcement learning. Representative works from each area are reviewed in detail, followed by a comparative analysis identifying the specific gaps that the proposed framework addresses.</w:t>
      </w:r>
    </w:p>
    <w:p>
      <w:pPr>
        <w:pStyle w:val="Heading2"/>
        <w:spacing w:after="160" w:before="320"/>
      </w:pPr>
      <w:r>
        <w:rPr>
          <w:rFonts w:ascii="Bookman Old Style" w:cs="Bookman Old Style" w:eastAsia="Bookman Old Style" w:hAnsi="Bookman Old Style"/>
          <w:b/>
          <w:bCs/>
          <w:sz w:val="28"/>
          <w:szCs w:val="28"/>
        </w:rPr>
        <w:t xml:space="preserve">2.2 Existing Systems</w:t>
      </w:r>
    </w:p>
    <w:p>
      <w:pPr>
        <w:pStyle w:val="Heading3"/>
        <w:spacing w:after="100" w:before="200"/>
      </w:pPr>
      <w:r>
        <w:rPr>
          <w:rFonts w:ascii="Bookman Old Style" w:cs="Bookman Old Style" w:eastAsia="Bookman Old Style" w:hAnsi="Bookman Old Style"/>
          <w:b/>
          <w:bCs/>
          <w:sz w:val="24"/>
          <w:szCs w:val="24"/>
        </w:rPr>
        <w:t xml:space="preserve">2.2.1 Autonomous Search and Rescue Coordination Systems</w:t>
      </w:r>
    </w:p>
    <w:p>
      <w:pPr>
        <w:spacing w:after="180" w:line="276" w:lineRule="auto"/>
        <w:jc w:val="both"/>
      </w:pPr>
      <w:r>
        <w:rPr>
          <w:rFonts w:ascii="Bookman Old Style" w:cs="Bookman Old Style" w:eastAsia="Bookman Old Style" w:hAnsi="Bookman Old Style"/>
          <w:sz w:val="24"/>
          <w:szCs w:val="24"/>
        </w:rPr>
        <w:t xml:space="preserve">Autonomous SAR coordination systems have evolved through three generations of technology. First-generation systems employed pre-programmed sweep patterns and obstacle avoidance rules, providing systematic area coverage but no adaptivity to dynamic disaster environments. Second-generation systems introduced probabilistic victim location models and Bayesian search theory, enabling agents to prioritize high-probability search regions but still lacking the capability to learn coordination strategies from experience. Third-generation systems, built on reinforcement learning foundations, have demonstrated adaptive coordination capabilities in simulated disaster environments but have generally failed to address the dual challenges of scalability to large agent populations and transparency of decision-making.</w:t>
      </w:r>
    </w:p>
    <w:p>
      <w:pPr>
        <w:spacing w:after="180" w:line="276" w:lineRule="auto"/>
        <w:jc w:val="both"/>
      </w:pPr>
      <w:r>
        <w:rPr>
          <w:rFonts w:ascii="Bookman Old Style" w:cs="Bookman Old Style" w:eastAsia="Bookman Old Style" w:hAnsi="Bookman Old Style"/>
          <w:sz w:val="24"/>
          <w:szCs w:val="24"/>
        </w:rPr>
        <w:t xml:space="preserve">Representative third-generation systems include swarm intelligence approaches based on stigmergy, in which agents leave virtual pheromone trails to guide collective search coverage, and market-based coordination systems, in which task allocation is governed by auction mechanisms that assign victim rescue tasks to the lowest-cost bidding agent. While these approaches provide some degree of interpretability through their explicit coordination protocols, they lack the adaptive policy learning capabilities necessary for dynamic and unpredictable disaster environments.</w:t>
      </w:r>
    </w:p>
    <w:p>
      <w:pPr>
        <w:pStyle w:val="Heading3"/>
        <w:spacing w:after="100" w:before="200"/>
      </w:pPr>
      <w:r>
        <w:rPr>
          <w:rFonts w:ascii="Bookman Old Style" w:cs="Bookman Old Style" w:eastAsia="Bookman Old Style" w:hAnsi="Bookman Old Style"/>
          <w:b/>
          <w:bCs/>
          <w:sz w:val="24"/>
          <w:szCs w:val="24"/>
        </w:rPr>
        <w:t xml:space="preserve">2.2.2 Multi-Agent Reinforcement Learning Approaches</w:t>
      </w:r>
    </w:p>
    <w:p>
      <w:pPr>
        <w:spacing w:after="180" w:line="276" w:lineRule="auto"/>
        <w:jc w:val="both"/>
      </w:pPr>
      <w:r>
        <w:rPr>
          <w:rFonts w:ascii="Bookman Old Style" w:cs="Bookman Old Style" w:eastAsia="Bookman Old Style" w:hAnsi="Bookman Old Style"/>
          <w:sz w:val="24"/>
          <w:szCs w:val="24"/>
        </w:rPr>
        <w:t xml:space="preserve">MARL has been applied to SAR coordination in a growing body of recent work. The CTDE paradigm, exemplified by algorithms such as QMIX, MAPPO, and MADDPG, has demonstrated effective cooperative strategy learning in benchmark multi-agent environments. However, direct application of these algorithms to large-scale SAR grids reveals significant scalability limitations: the joint state space grows exponentially with grid size and agent population, and the reward signals for victim rescue events are inherently sparse, making stable policy learning extremely challenging without additional reward shaping or hierarchical decomposition.</w:t>
      </w:r>
    </w:p>
    <w:p>
      <w:pPr>
        <w:spacing w:after="180" w:line="276" w:lineRule="auto"/>
        <w:jc w:val="both"/>
      </w:pPr>
      <w:r>
        <w:rPr>
          <w:rFonts w:ascii="Bookman Old Style" w:cs="Bookman Old Style" w:eastAsia="Bookman Old Style" w:hAnsi="Bookman Old Style"/>
          <w:sz w:val="24"/>
          <w:szCs w:val="24"/>
        </w:rPr>
        <w:t xml:space="preserve">Swarm robotics approaches have been applied specifically to disaster SAR scenarios, combining bio-inspired coordination heuristics with reinforcement learning for local navigation. These hybrid approaches improve coordination efficiency in simple scenarios but fail to generalize to complex, large-scale grids with dynamic hazards. The absence of explainability mechanisms in all reviewed MARL approaches remains a consistent and critical limitation for operational SAR deployment.</w:t>
      </w:r>
    </w:p>
    <w:p>
      <w:pPr>
        <w:pStyle w:val="Heading3"/>
        <w:spacing w:after="100" w:before="200"/>
      </w:pPr>
      <w:r>
        <w:rPr>
          <w:rFonts w:ascii="Bookman Old Style" w:cs="Bookman Old Style" w:eastAsia="Bookman Old Style" w:hAnsi="Bookman Old Style"/>
          <w:b/>
          <w:bCs/>
          <w:sz w:val="24"/>
          <w:szCs w:val="24"/>
        </w:rPr>
        <w:t xml:space="preserve">2.2.3 Explainable AI in Reinforcement Learning</w:t>
      </w:r>
    </w:p>
    <w:p>
      <w:pPr>
        <w:spacing w:after="180" w:line="276" w:lineRule="auto"/>
        <w:jc w:val="both"/>
      </w:pPr>
      <w:r>
        <w:rPr>
          <w:rFonts w:ascii="Bookman Old Style" w:cs="Bookman Old Style" w:eastAsia="Bookman Old Style" w:hAnsi="Bookman Old Style"/>
          <w:sz w:val="24"/>
          <w:szCs w:val="24"/>
        </w:rPr>
        <w:t xml:space="preserve">Explainable AI techniques applicable to reinforcement learning include post-hoc attribution methods (SHAP, LIME, gradient saliency), policy tree extraction, attention mechanism visualization, and natural language policy summarization. SHAP-based attribution has been applied to explain DQN policies in Atari game environments, demonstrating the feasibility of generating meaningful feature importance explanations from trained neural network policies. Gradient-based saliency methods have been employed to generate visual explanations of convolutional policy networks for robotic navigation. However, the application of XAI techniques specifically to multi-agent SAR coordination policies, and the integration of explanation generation within the live decision-making pipeline of a hierarchical MARL system, remain largely unexplored in the existing literature.</w:t>
      </w:r>
    </w:p>
    <w:p>
      <w:pPr>
        <w:pStyle w:val="Heading2"/>
        <w:spacing w:after="160" w:before="320"/>
      </w:pPr>
      <w:r>
        <w:rPr>
          <w:rFonts w:ascii="Bookman Old Style" w:cs="Bookman Old Style" w:eastAsia="Bookman Old Style" w:hAnsi="Bookman Old Style"/>
          <w:b/>
          <w:bCs/>
          <w:sz w:val="28"/>
          <w:szCs w:val="28"/>
        </w:rPr>
        <w:t xml:space="preserve">2.3 Research Papers Review</w:t>
      </w:r>
    </w:p>
    <w:p>
      <w:pPr>
        <w:pStyle w:val="Heading3"/>
        <w:spacing w:after="100" w:before="200"/>
      </w:pPr>
      <w:r>
        <w:rPr>
          <w:rFonts w:ascii="Bookman Old Style" w:cs="Bookman Old Style" w:eastAsia="Bookman Old Style" w:hAnsi="Bookman Old Style"/>
          <w:b/>
          <w:bCs/>
          <w:sz w:val="24"/>
          <w:szCs w:val="24"/>
        </w:rPr>
        <w:t xml:space="preserve">Paper 1: Swarm Robotics in Search and Rescue Operations</w:t>
      </w:r>
    </w:p>
    <w:p>
      <w:pPr>
        <w:spacing w:after="180" w:line="276" w:lineRule="auto"/>
        <w:jc w:val="both"/>
      </w:pPr>
      <w:r>
        <w:rPr>
          <w:rFonts w:ascii="Bookman Old Style" w:cs="Bookman Old Style" w:eastAsia="Bookman Old Style" w:hAnsi="Bookman Old Style"/>
          <w:sz w:val="24"/>
          <w:szCs w:val="24"/>
        </w:rPr>
        <w:t xml:space="preserve">Manaseswaran et al. (2025) examined the application of swarm robotics to search and rescue operations, presented at the 10th International Conference on Smart Structures and Systems. The paper identifies coordination, communication, and adaptability as the three primary challenges confronting swarm robotic systems in unstructured disaster response environments. The review covers representative algorithms for swarm coordination including stigmergy-based coordination, auction-based task allocation, and multi-agent reinforcement learning approaches applied to SAR scenarios.</w:t>
      </w:r>
    </w:p>
    <w:p>
      <w:pPr>
        <w:spacing w:after="180" w:line="276" w:lineRule="auto"/>
        <w:jc w:val="both"/>
      </w:pPr>
      <w:r>
        <w:rPr>
          <w:rFonts w:ascii="Bookman Old Style" w:cs="Bookman Old Style" w:eastAsia="Bookman Old Style" w:hAnsi="Bookman Old Style"/>
          <w:sz w:val="24"/>
          <w:szCs w:val="24"/>
        </w:rPr>
        <w:t xml:space="preserve">The paper's analysis of real-world SAR deployments of robotic swarms provides valuable empirical evidence for the critical importance of coordination transparency in life-critical autonomous systems. The authors document cases in which swarm coordination failures — resulting from agents searching already-covered areas or failing to communicate victim detections — led to significant delays in victim rescue. These cases directly motivate the development of explicit coordination protocols and transparent decision-making mechanisms of the type proposed in the EMARL-SAR framework.</w:t>
      </w:r>
    </w:p>
    <w:p>
      <w:pPr>
        <w:spacing w:after="180" w:line="276" w:lineRule="auto"/>
        <w:jc w:val="both"/>
      </w:pPr>
      <w:r>
        <w:rPr>
          <w:rFonts w:ascii="Bookman Old Style" w:cs="Bookman Old Style" w:eastAsia="Bookman Old Style" w:hAnsi="Bookman Old Style"/>
          <w:sz w:val="24"/>
          <w:szCs w:val="24"/>
        </w:rPr>
        <w:t xml:space="preserve">The primary limitation of the surveyed swarm approaches is their reliance on reactive, rule-based coordination heuristics that cannot adapt to novel or rapidly evolving disaster configurations. The absence of learning-based adaptivity and the complete lack of decision explainability in all reviewed systems constitute the primary gaps that the proposed framework addresses.</w:t>
      </w:r>
    </w:p>
    <w:p>
      <w:pPr>
        <w:pStyle w:val="Heading3"/>
        <w:spacing w:after="100" w:before="200"/>
      </w:pPr>
      <w:r>
        <w:rPr>
          <w:rFonts w:ascii="Bookman Old Style" w:cs="Bookman Old Style" w:eastAsia="Bookman Old Style" w:hAnsi="Bookman Old Style"/>
          <w:b/>
          <w:bCs/>
          <w:sz w:val="24"/>
          <w:szCs w:val="24"/>
        </w:rPr>
        <w:t xml:space="preserve">Paper 2: From Unmanned Systems to Autonomous Intelligent Systems</w:t>
      </w:r>
    </w:p>
    <w:p>
      <w:pPr>
        <w:spacing w:after="180" w:line="276" w:lineRule="auto"/>
        <w:jc w:val="both"/>
      </w:pPr>
      <w:r>
        <w:rPr>
          <w:rFonts w:ascii="Bookman Old Style" w:cs="Bookman Old Style" w:eastAsia="Bookman Old Style" w:hAnsi="Bookman Old Style"/>
          <w:sz w:val="24"/>
          <w:szCs w:val="24"/>
        </w:rPr>
        <w:t xml:space="preserve">Chen, Sun, and Wang (2022) presented a perspective on the evolution of unmanned systems toward fully autonomous intelligent systems in the journal Engineering. The article charts the trajectory from remotely piloted UAVs through semi-autonomous platforms to fully autonomous multi-agent systems capable of independent perception, planning, and cooperative action in complex environments. Key enabling technologies identified include sensor fusion, real-time decision-making under uncertainty, robust inter-agent communication, and reliable fail-safe mechanisms.</w:t>
      </w:r>
    </w:p>
    <w:p>
      <w:pPr>
        <w:spacing w:after="180" w:line="276" w:lineRule="auto"/>
        <w:jc w:val="both"/>
      </w:pPr>
      <w:r>
        <w:rPr>
          <w:rFonts w:ascii="Bookman Old Style" w:cs="Bookman Old Style" w:eastAsia="Bookman Old Style" w:hAnsi="Bookman Old Style"/>
          <w:sz w:val="24"/>
          <w:szCs w:val="24"/>
        </w:rPr>
        <w:t xml:space="preserve">The article emphasizes the critical importance of interpretable AI as an enabler for the responsible deployment of autonomous systems in safety-critical applications, including disaster response. The perspective directly motivates the integration of XAI mechanisms within the EMARL-SAR framework, articulating the operational requirement that autonomous SAR systems must be able to explain their decisions to human coordinators in real time. The identification of partial observability and dynamic environment handling as primary technical challenges aligns precisely with the design requirements of the proposed framework.</w:t>
      </w:r>
    </w:p>
    <w:p>
      <w:pPr>
        <w:pStyle w:val="Heading3"/>
        <w:spacing w:after="100" w:before="200"/>
      </w:pPr>
      <w:r>
        <w:rPr>
          <w:rFonts w:ascii="Bookman Old Style" w:cs="Bookman Old Style" w:eastAsia="Bookman Old Style" w:hAnsi="Bookman Old Style"/>
          <w:b/>
          <w:bCs/>
          <w:sz w:val="24"/>
          <w:szCs w:val="24"/>
        </w:rPr>
        <w:t xml:space="preserve">Paper 3: Target-Oriented Multi-Agent Coordination with HRL</w:t>
      </w:r>
    </w:p>
    <w:p>
      <w:pPr>
        <w:spacing w:after="180" w:line="276" w:lineRule="auto"/>
        <w:jc w:val="both"/>
      </w:pPr>
      <w:r>
        <w:rPr>
          <w:rFonts w:ascii="Bookman Old Style" w:cs="Bookman Old Style" w:eastAsia="Bookman Old Style" w:hAnsi="Bookman Old Style"/>
          <w:sz w:val="24"/>
          <w:szCs w:val="24"/>
        </w:rPr>
        <w:t xml:space="preserve">Yu et al. (2024) proposed a target-oriented multi-agent coordination framework based on hierarchical reinforcement learning, published in Applied Sciences. The framework introduces a hierarchical policy structure specifically designed for goal-oriented coordination scenarios in which multiple agents must collaborate to achieve shared task objectives. The high-level policy assigns coordination targets to individual agents based on global state, while the low-level policy implements the specific action sequences to reach each target.</w:t>
      </w:r>
    </w:p>
    <w:p>
      <w:pPr>
        <w:spacing w:after="180" w:line="276" w:lineRule="auto"/>
        <w:jc w:val="both"/>
      </w:pPr>
      <w:r>
        <w:rPr>
          <w:rFonts w:ascii="Bookman Old Style" w:cs="Bookman Old Style" w:eastAsia="Bookman Old Style" w:hAnsi="Bookman Old Style"/>
          <w:sz w:val="24"/>
          <w:szCs w:val="24"/>
        </w:rPr>
        <w:t xml:space="preserve">The experimental evaluation demonstrates significant improvements in coordination efficiency and learning stability compared to conventional flat MARL baselines on multi-robot coordination benchmarks. The hierarchical approach achieves markedly higher task completion rates in dynamic scenarios with competing resource demands. However, the framework provides no mechanism for explaining its coordination decisions, and all policies remain black-box neural networks — a limitation that directly motivates the explainability component of the EMARL-SAR framework.</w:t>
      </w:r>
    </w:p>
    <w:p>
      <w:pPr>
        <w:pStyle w:val="Heading3"/>
        <w:spacing w:after="100" w:before="200"/>
      </w:pPr>
      <w:r>
        <w:rPr>
          <w:rFonts w:ascii="Bookman Old Style" w:cs="Bookman Old Style" w:eastAsia="Bookman Old Style" w:hAnsi="Bookman Old Style"/>
          <w:b/>
          <w:bCs/>
          <w:sz w:val="24"/>
          <w:szCs w:val="24"/>
        </w:rPr>
        <w:t xml:space="preserve">Paper 4: Hierarchical Consensus-Based MARL for Multi-Robot Cooperation</w:t>
      </w:r>
    </w:p>
    <w:p>
      <w:pPr>
        <w:spacing w:after="180" w:line="276" w:lineRule="auto"/>
        <w:jc w:val="both"/>
      </w:pPr>
      <w:r>
        <w:rPr>
          <w:rFonts w:ascii="Bookman Old Style" w:cs="Bookman Old Style" w:eastAsia="Bookman Old Style" w:hAnsi="Bookman Old Style"/>
          <w:sz w:val="24"/>
          <w:szCs w:val="24"/>
        </w:rPr>
        <w:t xml:space="preserve">Feng et al. (2024) presented a hierarchical consensus-based MARL framework for multi-robot cooperation tasks at the IEEE/RSJ International Conference on Intelligent Robots and Systems. The framework incorporates a consensus mechanism at the high-level policy layer enabling agents to reach agreement on shared coordination strategies through iterative communication. The consensus process produces macro-action assignments that guide individual low-level agent behaviours toward collectively optimal task outcomes.</w:t>
      </w:r>
    </w:p>
    <w:p>
      <w:pPr>
        <w:spacing w:after="180" w:line="276" w:lineRule="auto"/>
        <w:jc w:val="both"/>
      </w:pPr>
      <w:r>
        <w:rPr>
          <w:rFonts w:ascii="Bookman Old Style" w:cs="Bookman Old Style" w:eastAsia="Bookman Old Style" w:hAnsi="Bookman Old Style"/>
          <w:sz w:val="24"/>
          <w:szCs w:val="24"/>
        </w:rPr>
        <w:t xml:space="preserve">The consensus-based approach demonstrates improved task performance and scalability compared to fully decentralised MARL approaches, as the structured agreement process reduces conflicting agent behaviours. However, the reliance on iterative communication for consensus formation introduces latency overhead and does not address the fundamental opacity of the neural network policies governing individual agent actions — a critical gap for operational SAR deployment where rescue coordinators require real-time decision explanations.</w:t>
      </w:r>
    </w:p>
    <w:p>
      <w:pPr>
        <w:pStyle w:val="Heading3"/>
        <w:spacing w:after="100" w:before="200"/>
      </w:pPr>
      <w:r>
        <w:rPr>
          <w:rFonts w:ascii="Bookman Old Style" w:cs="Bookman Old Style" w:eastAsia="Bookman Old Style" w:hAnsi="Bookman Old Style"/>
          <w:b/>
          <w:bCs/>
          <w:sz w:val="24"/>
          <w:szCs w:val="24"/>
        </w:rPr>
        <w:t xml:space="preserve">Paper 5: Coordinating MARL via Dual Collaborative Constraints</w:t>
      </w:r>
    </w:p>
    <w:p>
      <w:pPr>
        <w:spacing w:after="180" w:line="276" w:lineRule="auto"/>
        <w:jc w:val="both"/>
      </w:pPr>
      <w:r>
        <w:rPr>
          <w:rFonts w:ascii="Bookman Old Style" w:cs="Bookman Old Style" w:eastAsia="Bookman Old Style" w:hAnsi="Bookman Old Style"/>
          <w:sz w:val="24"/>
          <w:szCs w:val="24"/>
        </w:rPr>
        <w:t xml:space="preserve">Li et al. (2025) introduced a coordination strategy for MARL based on dual collaborative constraints, published in Neural Networks. The approach reformulates the MARL training objective as a constrained optimisation problem in which behavioural constraints promoting policy diversity and consensus constraints promoting coordination agreement are simultaneously optimised. The dual-constraint formulation achieves improved convergence speed and coordination accuracy on benchmark cooperative tasks.</w:t>
      </w:r>
    </w:p>
    <w:p>
      <w:pPr>
        <w:spacing w:after="180" w:line="276" w:lineRule="auto"/>
        <w:jc w:val="both"/>
      </w:pPr>
      <w:r>
        <w:rPr>
          <w:rFonts w:ascii="Bookman Old Style" w:cs="Bookman Old Style" w:eastAsia="Bookman Old Style" w:hAnsi="Bookman Old Style"/>
          <w:sz w:val="24"/>
          <w:szCs w:val="24"/>
        </w:rPr>
        <w:t xml:space="preserve">Despite its contributions to coordination learning efficiency, the framework retains the fundamental black-box opacity of neural network MARL policies. The centralised training assumption also limits applicability to truly distributed autonomous systems where global state information is unavailable during training — a common constraint in real SAR deployment contexts where centralised coordination infrastructure may be unavailable.</w:t>
      </w:r>
    </w:p>
    <w:p>
      <w:pPr>
        <w:pStyle w:val="Heading3"/>
        <w:spacing w:after="100" w:before="200"/>
      </w:pPr>
      <w:r>
        <w:rPr>
          <w:rFonts w:ascii="Bookman Old Style" w:cs="Bookman Old Style" w:eastAsia="Bookman Old Style" w:hAnsi="Bookman Old Style"/>
          <w:b/>
          <w:bCs/>
          <w:sz w:val="24"/>
          <w:szCs w:val="24"/>
        </w:rPr>
        <w:t xml:space="preserve">Paper 6: Hierarchical Task Network-Enhanced MARL</w:t>
      </w:r>
    </w:p>
    <w:p>
      <w:pPr>
        <w:spacing w:after="180" w:line="276" w:lineRule="auto"/>
        <w:jc w:val="both"/>
      </w:pPr>
      <w:r>
        <w:rPr>
          <w:rFonts w:ascii="Bookman Old Style" w:cs="Bookman Old Style" w:eastAsia="Bookman Old Style" w:hAnsi="Bookman Old Style"/>
          <w:sz w:val="24"/>
          <w:szCs w:val="24"/>
        </w:rPr>
        <w:t xml:space="preserve">Mu et al. (2025) presented a hybrid framework combining Hierarchical Task Network (HTN) planning with multi-agent reinforcement learning, published in Neural Networks. The HTN formalism provides a structured task decomposition in which complex coordination objectives are recursively decomposed into ordered sub-tasks assigned to individual agents. The reinforcement learning component handles primitive task execution at the lowest level of the hierarchy.</w:t>
      </w:r>
    </w:p>
    <w:p>
      <w:pPr>
        <w:spacing w:after="180" w:line="276" w:lineRule="auto"/>
        <w:jc w:val="both"/>
      </w:pPr>
      <w:r>
        <w:rPr>
          <w:rFonts w:ascii="Bookman Old Style" w:cs="Bookman Old Style" w:eastAsia="Bookman Old Style" w:hAnsi="Bookman Old Style"/>
          <w:sz w:val="24"/>
          <w:szCs w:val="24"/>
        </w:rPr>
        <w:t xml:space="preserve">The HTN-MARL hybrid achieves significant improvements in coordination efficiency and convergence speed. The structured task decomposition provided by the HTN substantially reduces the exploration burden on the RL component. However, the framework requires a hand-specified task decomposition hierarchy designed by a domain expert, limiting its generalizability. Furthermore, the RL component at the primitive task level retains its black-box character, and the explainability of individual agent action selections is not addressed.</w:t>
      </w:r>
    </w:p>
    <w:p>
      <w:pPr>
        <w:pStyle w:val="Heading3"/>
        <w:spacing w:after="100" w:before="200"/>
      </w:pPr>
      <w:r>
        <w:rPr>
          <w:rFonts w:ascii="Bookman Old Style" w:cs="Bookman Old Style" w:eastAsia="Bookman Old Style" w:hAnsi="Bookman Old Style"/>
          <w:b/>
          <w:bCs/>
          <w:sz w:val="24"/>
          <w:szCs w:val="24"/>
        </w:rPr>
        <w:t xml:space="preserve">Paper 7: Coordination as Inference in MARL</w:t>
      </w:r>
    </w:p>
    <w:p>
      <w:pPr>
        <w:spacing w:after="180" w:line="276" w:lineRule="auto"/>
        <w:jc w:val="both"/>
      </w:pPr>
      <w:r>
        <w:rPr>
          <w:rFonts w:ascii="Bookman Old Style" w:cs="Bookman Old Style" w:eastAsia="Bookman Old Style" w:hAnsi="Bookman Old Style"/>
          <w:sz w:val="24"/>
          <w:szCs w:val="24"/>
        </w:rPr>
        <w:t xml:space="preserve">Li et al. (2024) formulated multi-agent coordination as a probabilistic inference problem in Neural Networks. The framework recasts the joint reward maximization objective of MARL as a variational inference problem in which agents maintain probabilistic beliefs over peer agent policies. The inference-based approach demonstrates strong performance in dynamic environments with complex inter-agent dependencies.</w:t>
      </w:r>
    </w:p>
    <w:p>
      <w:pPr>
        <w:spacing w:after="180" w:line="276" w:lineRule="auto"/>
        <w:jc w:val="both"/>
      </w:pPr>
      <w:r>
        <w:rPr>
          <w:rFonts w:ascii="Bookman Old Style" w:cs="Bookman Old Style" w:eastAsia="Bookman Old Style" w:hAnsi="Bookman Old Style"/>
          <w:sz w:val="24"/>
          <w:szCs w:val="24"/>
        </w:rPr>
        <w:t xml:space="preserve">The inference-based coordination approach introduces significant computational overhead from the maintenance and update of inter-agent belief models, potentially limiting applicability in resource-constrained SAR deployment contexts. Like other MARL approaches reviewed, the framework provides no explainability mechanisms — the inference process itself, while probabilistically principled, is opaque to external observers.</w:t>
      </w:r>
    </w:p>
    <w:p>
      <w:pPr>
        <w:pStyle w:val="Heading3"/>
        <w:spacing w:after="100" w:before="200"/>
      </w:pPr>
      <w:r>
        <w:rPr>
          <w:rFonts w:ascii="Bookman Old Style" w:cs="Bookman Old Style" w:eastAsia="Bookman Old Style" w:hAnsi="Bookman Old Style"/>
          <w:b/>
          <w:bCs/>
          <w:sz w:val="24"/>
          <w:szCs w:val="24"/>
        </w:rPr>
        <w:t xml:space="preserve">Paper 8: RD-HRL — Reliable Sub-Goal Generation for HRL</w:t>
      </w:r>
    </w:p>
    <w:p>
      <w:pPr>
        <w:spacing w:after="180" w:line="276" w:lineRule="auto"/>
        <w:jc w:val="both"/>
      </w:pPr>
      <w:r>
        <w:rPr>
          <w:rFonts w:ascii="Bookman Old Style" w:cs="Bookman Old Style" w:eastAsia="Bookman Old Style" w:hAnsi="Bookman Old Style"/>
          <w:sz w:val="24"/>
          <w:szCs w:val="24"/>
        </w:rPr>
        <w:t xml:space="preserve">Shan et al. presented the RD-HRL framework for hierarchical reinforcement learning in long-horizon sparse-reward tasks at the International Conference on Learning Representations. The framework addresses the challenge of sub-goal generation in HRL, proposing a reliability-directed approach that evaluates candidate sub-goals by their achievability and contribution to overall task progress before committing to sub-goal assignments. The approach substantially improves the stability and efficiency of HRL training in long-horizon task settings.</w:t>
      </w:r>
    </w:p>
    <w:p>
      <w:pPr>
        <w:spacing w:after="180" w:line="276" w:lineRule="auto"/>
        <w:jc w:val="both"/>
      </w:pPr>
      <w:r>
        <w:rPr>
          <w:rFonts w:ascii="Bookman Old Style" w:cs="Bookman Old Style" w:eastAsia="Bookman Old Style" w:hAnsi="Bookman Old Style"/>
          <w:sz w:val="24"/>
          <w:szCs w:val="24"/>
        </w:rPr>
        <w:t xml:space="preserve">The reliability-directed sub-goal generation approach provides relevant design insights for the macro-goal assignment mechanism in the proposed EMARL-SAR high-level policy, particularly regarding the importance of feasibility assessment in hierarchical policy design. A sub-goal assigned to an agent in a sector blocked by spreading fire is counterproductive without reliability filtering — a design principle directly incorporated into the sector assignment logic of the EMARL-SAR high-level policy.</w:t>
      </w:r>
    </w:p>
    <w:p>
      <w:pPr>
        <w:pStyle w:val="Heading3"/>
        <w:spacing w:after="100" w:before="200"/>
      </w:pPr>
      <w:r>
        <w:rPr>
          <w:rFonts w:ascii="Bookman Old Style" w:cs="Bookman Old Style" w:eastAsia="Bookman Old Style" w:hAnsi="Bookman Old Style"/>
          <w:b/>
          <w:bCs/>
          <w:sz w:val="24"/>
          <w:szCs w:val="24"/>
        </w:rPr>
        <w:t xml:space="preserve">Paper 9: Hierarchical RL with Opponent Modelling for C2 Systems</w:t>
      </w:r>
    </w:p>
    <w:p>
      <w:pPr>
        <w:spacing w:after="180" w:line="276" w:lineRule="auto"/>
        <w:jc w:val="both"/>
      </w:pPr>
      <w:r>
        <w:rPr>
          <w:rFonts w:ascii="Bookman Old Style" w:cs="Bookman Old Style" w:eastAsia="Bookman Old Style" w:hAnsi="Bookman Old Style"/>
          <w:sz w:val="24"/>
          <w:szCs w:val="24"/>
        </w:rPr>
        <w:t xml:space="preserve">Li et al. (2026) proposed a hierarchical reinforcement learning framework augmented with opponent modelling for strategic decision-making in command and control systems. The framework employs a hierarchical policy structure enabling agents to reason at multiple levels of strategic abstraction, from high-level campaign objectives to tactical manoeuvre decisions. The opponent modelling component enables agents to maintain probabilistic models of adversarial agent behaviours.</w:t>
      </w:r>
    </w:p>
    <w:p>
      <w:pPr>
        <w:spacing w:after="180" w:line="276" w:lineRule="auto"/>
        <w:jc w:val="both"/>
      </w:pPr>
      <w:r>
        <w:rPr>
          <w:rFonts w:ascii="Bookman Old Style" w:cs="Bookman Old Style" w:eastAsia="Bookman Old Style" w:hAnsi="Bookman Old Style"/>
          <w:sz w:val="24"/>
          <w:szCs w:val="24"/>
        </w:rPr>
        <w:t xml:space="preserve">Although designed for adversarial rather than cooperative scenarios, the hierarchical policy architecture and temporal abstraction mechanisms developed in this work provide important architectural inspiration for the EMARL-SAR framework. The demonstration that hierarchical structures can effectively manage complex multi-level decision-making processes with different temporal granularities at each level validates the core architectural choice of the proposed framework.</w:t>
      </w:r>
    </w:p>
    <w:p>
      <w:pPr>
        <w:pStyle w:val="Heading3"/>
        <w:spacing w:after="100" w:before="200"/>
      </w:pPr>
      <w:r>
        <w:rPr>
          <w:rFonts w:ascii="Bookman Old Style" w:cs="Bookman Old Style" w:eastAsia="Bookman Old Style" w:hAnsi="Bookman Old Style"/>
          <w:b/>
          <w:bCs/>
          <w:sz w:val="24"/>
          <w:szCs w:val="24"/>
        </w:rPr>
        <w:t xml:space="preserve">Paper 10: MARL — A Selective Overview</w:t>
      </w:r>
    </w:p>
    <w:p>
      <w:pPr>
        <w:spacing w:after="180" w:line="276" w:lineRule="auto"/>
        <w:jc w:val="both"/>
      </w:pPr>
      <w:r>
        <w:rPr>
          <w:rFonts w:ascii="Bookman Old Style" w:cs="Bookman Old Style" w:eastAsia="Bookman Old Style" w:hAnsi="Bookman Old Style"/>
          <w:sz w:val="24"/>
          <w:szCs w:val="24"/>
        </w:rPr>
        <w:t xml:space="preserve">Zhang, Yang, and Basar (2021) provided a comprehensive selective overview of MARL theory and algorithms in the Handbook of Reinforcement Learning and Control. This survey systematically reviews the theoretical foundations of MARL, covering Nash equilibrium concepts, cooperative game formulations, convergence guarantees, and sample complexity bounds. The survey identifies non-stationarity, partial observability, and credit assignment as the primary bottlenecks for practical MARL deployment.</w:t>
      </w:r>
    </w:p>
    <w:p>
      <w:pPr>
        <w:spacing w:after="180" w:line="276" w:lineRule="auto"/>
        <w:jc w:val="both"/>
      </w:pPr>
      <w:r>
        <w:rPr>
          <w:rFonts w:ascii="Bookman Old Style" w:cs="Bookman Old Style" w:eastAsia="Bookman Old Style" w:hAnsi="Bookman Old Style"/>
          <w:sz w:val="24"/>
          <w:szCs w:val="24"/>
        </w:rPr>
        <w:t xml:space="preserve">The theoretical analysis of credit assignment in cooperative MARL is particularly relevant to the SAR coordination context, where individual agent contributions to collective rescue outcomes are difficult to disentangle. The difference reward mechanism and counterfactual credit assignment approaches reviewed in this survey provide theoretical foundations for the reward shaping strategy employed in the EMARL-SAR training procedure.</w:t>
      </w:r>
    </w:p>
    <w:p>
      <w:pPr>
        <w:pStyle w:val="Heading3"/>
        <w:spacing w:after="100" w:before="200"/>
      </w:pPr>
      <w:r>
        <w:rPr>
          <w:rFonts w:ascii="Bookman Old Style" w:cs="Bookman Old Style" w:eastAsia="Bookman Old Style" w:hAnsi="Bookman Old Style"/>
          <w:b/>
          <w:bCs/>
          <w:sz w:val="24"/>
          <w:szCs w:val="24"/>
        </w:rPr>
        <w:t xml:space="preserve">Paper 11: A Unified Approach to Interpreting Model Predictions</w:t>
      </w:r>
    </w:p>
    <w:p>
      <w:pPr>
        <w:spacing w:after="180" w:line="276" w:lineRule="auto"/>
        <w:jc w:val="both"/>
      </w:pPr>
      <w:r>
        <w:rPr>
          <w:rFonts w:ascii="Bookman Old Style" w:cs="Bookman Old Style" w:eastAsia="Bookman Old Style" w:hAnsi="Bookman Old Style"/>
          <w:sz w:val="24"/>
          <w:szCs w:val="24"/>
        </w:rPr>
        <w:t xml:space="preserve">Lundberg and Lee (2017) introduced SHAP (SHapley Additive exPlanations) as a unified framework for interpreting model predictions using game-theoretic Shapley values in Neural Information Processing Systems. SHAP provides a theoretically grounded method for decomposing model predictions into contributions from individual input features, satisfying desirable axioms of local accuracy, consistency, and missingness. The TreeSHAP and GradientSHAP variants extend the original framework to tree-based models and neural networks respectively.</w:t>
      </w:r>
    </w:p>
    <w:p>
      <w:pPr>
        <w:spacing w:after="180" w:line="276" w:lineRule="auto"/>
        <w:jc w:val="both"/>
      </w:pPr>
      <w:r>
        <w:rPr>
          <w:rFonts w:ascii="Bookman Old Style" w:cs="Bookman Old Style" w:eastAsia="Bookman Old Style" w:hAnsi="Bookman Old Style"/>
          <w:sz w:val="24"/>
          <w:szCs w:val="24"/>
        </w:rPr>
        <w:t xml:space="preserve">SHAP provides the theoretical foundation for the feature attribution component of the Explainability Engine in the EMARL-SAR framework. The GradientSHAP approach is applied to the trained policy networks to compute feature importance scores for each element of the local observation vector, enabling the generation of quantitatively grounded justifications for individual agent action selections. The game-theoretic foundation of SHAP ensures that the generated attributions satisfy properties of fairness and consistency that are essential for operational accountability in SAR contexts.</w:t>
      </w:r>
    </w:p>
    <w:p>
      <w:pPr>
        <w:pStyle w:val="Heading3"/>
        <w:spacing w:after="100" w:before="200"/>
      </w:pPr>
      <w:r>
        <w:rPr>
          <w:rFonts w:ascii="Bookman Old Style" w:cs="Bookman Old Style" w:eastAsia="Bookman Old Style" w:hAnsi="Bookman Old Style"/>
          <w:b/>
          <w:bCs/>
          <w:sz w:val="24"/>
          <w:szCs w:val="24"/>
        </w:rPr>
        <w:t xml:space="preserve">Paper 12: 'Why Should I Trust You?' — LIME</w:t>
      </w:r>
    </w:p>
    <w:p>
      <w:pPr>
        <w:spacing w:after="180" w:line="276" w:lineRule="auto"/>
        <w:jc w:val="both"/>
      </w:pPr>
      <w:r>
        <w:rPr>
          <w:rFonts w:ascii="Bookman Old Style" w:cs="Bookman Old Style" w:eastAsia="Bookman Old Style" w:hAnsi="Bookman Old Style"/>
          <w:sz w:val="24"/>
          <w:szCs w:val="24"/>
        </w:rPr>
        <w:t xml:space="preserve">Ribeiro, Singh, and Guestrin (2016) introduced LIME (Local Interpretable Model-agnostic Explanations) at the ACM SIGKDD International Conference on Knowledge Discovery and Data Mining. LIME generates local explanations of black-box model predictions by fitting locally accurate linear surrogate models to the prediction function in the neighbourhood of each instance. The model-agnostic nature of LIME enables its application to arbitrary machine learning models, including reinforcement learning policies.</w:t>
      </w:r>
    </w:p>
    <w:p>
      <w:pPr>
        <w:spacing w:after="180" w:line="276" w:lineRule="auto"/>
        <w:jc w:val="both"/>
      </w:pPr>
      <w:r>
        <w:rPr>
          <w:rFonts w:ascii="Bookman Old Style" w:cs="Bookman Old Style" w:eastAsia="Bookman Old Style" w:hAnsi="Bookman Old Style"/>
          <w:sz w:val="24"/>
          <w:szCs w:val="24"/>
        </w:rPr>
        <w:t xml:space="preserve">LIME's local linear approximation approach provides a complementary explanation mechanism to gradient-based attribution for the EMARL-SAR Explainability Engine. In scenarios where the policy exhibits complex non-linear behaviour in the local state neighbourhood — particularly during high-hazard navigation situations — LIME-based explanations may provide more stable and human-interpretable feature importance rankings than gradient saliency methods. The integration of both SHAP and LIME within the Explainability Engine enables a more comprehensive explanation capability.</w:t>
      </w:r>
    </w:p>
    <w:p>
      <w:pPr>
        <w:pStyle w:val="Heading3"/>
        <w:spacing w:after="100" w:before="200"/>
      </w:pPr>
      <w:r>
        <w:rPr>
          <w:rFonts w:ascii="Bookman Old Style" w:cs="Bookman Old Style" w:eastAsia="Bookman Old Style" w:hAnsi="Bookman Old Style"/>
          <w:b/>
          <w:bCs/>
          <w:sz w:val="24"/>
          <w:szCs w:val="24"/>
        </w:rPr>
        <w:t xml:space="preserve">Paper 13: Unpredictable Intelligence — Emergent Behaviours in Autonomous Agents</w:t>
      </w:r>
    </w:p>
    <w:p>
      <w:pPr>
        <w:spacing w:after="180" w:line="276" w:lineRule="auto"/>
        <w:jc w:val="both"/>
      </w:pPr>
      <w:r>
        <w:rPr>
          <w:rFonts w:ascii="Bookman Old Style" w:cs="Bookman Old Style" w:eastAsia="Bookman Old Style" w:hAnsi="Bookman Old Style"/>
          <w:sz w:val="24"/>
          <w:szCs w:val="24"/>
        </w:rPr>
        <w:t xml:space="preserve">Abbas and Rasool (2025) examined the phenomenon of emergent and unpredictable behaviours in autonomous agents driven by reinforcement learning dynamics. The paper analyses conditions under which RL-trained agents develop strategies that deviate from designer intentions, including specification gaming, reward hacking, and adversarial exploitation of environment affordances. The opacity of neural network policies is identified as the primary enabler of unintended emergent behaviours.</w:t>
      </w:r>
    </w:p>
    <w:p>
      <w:pPr>
        <w:spacing w:after="180" w:line="276" w:lineRule="auto"/>
        <w:jc w:val="both"/>
      </w:pPr>
      <w:r>
        <w:rPr>
          <w:rFonts w:ascii="Bookman Old Style" w:cs="Bookman Old Style" w:eastAsia="Bookman Old Style" w:hAnsi="Bookman Old Style"/>
          <w:sz w:val="24"/>
          <w:szCs w:val="24"/>
        </w:rPr>
        <w:t xml:space="preserve">The documented cases of emergent behavioural anomalies in RL-trained agents provide compelling motivation for the Explainability Engine in the EMARL-SAR framework. In a SAR context, emergent misbehaviour — such as an agent repeatedly revisiting a victim location to collect reward without completing the rescue interaction — could have catastrophic real-world consequences. The Explainability Engine's decision trace logs provide precisely the monitoring capability needed to detect such anomalies before they cause operational failures.</w:t>
      </w:r>
    </w:p>
    <w:p>
      <w:pPr>
        <w:pStyle w:val="Heading3"/>
        <w:spacing w:after="100" w:before="200"/>
      </w:pPr>
      <w:r>
        <w:rPr>
          <w:rFonts w:ascii="Bookman Old Style" w:cs="Bookman Old Style" w:eastAsia="Bookman Old Style" w:hAnsi="Bookman Old Style"/>
          <w:b/>
          <w:bCs/>
          <w:sz w:val="24"/>
          <w:szCs w:val="24"/>
        </w:rPr>
        <w:t xml:space="preserve">Paper 14: Recent Advances in Hierarchical Reinforcement Learning</w:t>
      </w:r>
    </w:p>
    <w:p>
      <w:pPr>
        <w:spacing w:after="180" w:line="276" w:lineRule="auto"/>
        <w:jc w:val="both"/>
      </w:pPr>
      <w:r>
        <w:rPr>
          <w:rFonts w:ascii="Bookman Old Style" w:cs="Bookman Old Style" w:eastAsia="Bookman Old Style" w:hAnsi="Bookman Old Style"/>
          <w:sz w:val="24"/>
          <w:szCs w:val="24"/>
        </w:rPr>
        <w:t xml:space="preserve">Barto and Mahadevan (2003) provided a comprehensive survey of hierarchical reinforcement learning methods in Discrete Event Dynamic Systems. The survey covers temporal abstraction, the options framework, MAXQ decomposition, feudal Q-learning, and the options-critic architecture, providing a thorough theoretical foundation for understanding the principles underlying HRL approaches. The analysis of convergence properties and sample efficiency benefits of HRL compared to flat RL provides the theoretical basis for the primary performance hypothesis of the EMARL-SAR framework.</w:t>
      </w:r>
    </w:p>
    <w:p>
      <w:pPr>
        <w:pStyle w:val="Heading3"/>
        <w:spacing w:after="100" w:before="200"/>
      </w:pPr>
      <w:r>
        <w:rPr>
          <w:rFonts w:ascii="Bookman Old Style" w:cs="Bookman Old Style" w:eastAsia="Bookman Old Style" w:hAnsi="Bookman Old Style"/>
          <w:b/>
          <w:bCs/>
          <w:sz w:val="24"/>
          <w:szCs w:val="24"/>
        </w:rPr>
        <w:t xml:space="preserve">Paper 15: Reinforcement Learning: An Introduction</w:t>
      </w:r>
    </w:p>
    <w:p>
      <w:pPr>
        <w:spacing w:after="180" w:line="276" w:lineRule="auto"/>
        <w:jc w:val="both"/>
      </w:pPr>
      <w:r>
        <w:rPr>
          <w:rFonts w:ascii="Bookman Old Style" w:cs="Bookman Old Style" w:eastAsia="Bookman Old Style" w:hAnsi="Bookman Old Style"/>
          <w:sz w:val="24"/>
          <w:szCs w:val="24"/>
        </w:rPr>
        <w:t xml:space="preserve">Sutton and Barto (2018) provide the definitive textbook treatment of reinforcement learning theory and algorithms in the second edition of Reinforcement Learning: An Introduction. The text covers Markov Decision Process foundations, temporal difference learning, policy gradient methods, and hierarchical reinforcement learning, providing the mathematical foundations for the policy optimization algorithms employed in the EMARL-SAR framework. The chapter on eligibility traces and temporal abstraction is particularly relevant to the design of the low-level policy update rules.</w:t>
      </w:r>
    </w:p>
    <w:p>
      <w:pPr>
        <w:pStyle w:val="Heading2"/>
        <w:spacing w:after="160" w:before="320"/>
      </w:pPr>
      <w:r>
        <w:rPr>
          <w:rFonts w:ascii="Bookman Old Style" w:cs="Bookman Old Style" w:eastAsia="Bookman Old Style" w:hAnsi="Bookman Old Style"/>
          <w:b/>
          <w:bCs/>
          <w:sz w:val="28"/>
          <w:szCs w:val="28"/>
        </w:rPr>
        <w:t xml:space="preserve">2.4 Comparative Study</w:t>
      </w:r>
    </w:p>
    <w:p>
      <w:pPr>
        <w:spacing w:after="180" w:line="276" w:lineRule="auto"/>
        <w:jc w:val="both"/>
      </w:pPr>
      <w:r>
        <w:rPr>
          <w:rFonts w:ascii="Bookman Old Style" w:cs="Bookman Old Style" w:eastAsia="Bookman Old Style" w:hAnsi="Bookman Old Style"/>
          <w:sz w:val="24"/>
          <w:szCs w:val="24"/>
        </w:rPr>
        <w:t xml:space="preserve">Table 2.1 presents a systematic comparative analysis of the fifteen reviewed research works across six evaluation dimensions: application domain, multi-agent support, hierarchical policy structure, explainability mechanism, evaluation environment, and SAR-specific validation.</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100"/>
        <w:gridCol w:w="1200"/>
        <w:gridCol w:w="1200"/>
        <w:gridCol w:w="1446"/>
      </w:tblGrid>
      <w:tr>
        <w:tc>
          <w:tcPr>
            <w:tcW w:type="dxa" w:w="14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Reference</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Domain</w:t>
            </w:r>
          </w:p>
        </w:tc>
        <w:tc>
          <w:tcPr>
            <w:tcW w:type="dxa" w:w="11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Multi-Agent</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Hierarchical</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Explainability</w:t>
            </w:r>
          </w:p>
        </w:tc>
        <w:tc>
          <w:tcPr>
            <w:tcW w:type="dxa" w:w="14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Key Feature</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Manaseswaran [2]</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SAR Swarm</w:t>
            </w:r>
          </w:p>
        </w:tc>
        <w:tc>
          <w:tcPr>
            <w:tcW w:type="dxa" w:w="11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SAR swarm coordination</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Chen et al. [1]</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Autonomous Systems</w:t>
            </w:r>
          </w:p>
        </w:tc>
        <w:tc>
          <w:tcPr>
            <w:tcW w:type="dxa" w:w="11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Unmanned systems evolution</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Yu et al. [9]</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MARL + HRL</w:t>
            </w:r>
          </w:p>
        </w:tc>
        <w:tc>
          <w:tcPr>
            <w:tcW w:type="dxa" w:w="11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Target-oriented coordination</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Feng et al. [15]</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Robotics</w:t>
            </w:r>
          </w:p>
        </w:tc>
        <w:tc>
          <w:tcPr>
            <w:tcW w:type="dxa" w:w="11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Consensus-based cooperation</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Li et al. [10]</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MARL</w:t>
            </w:r>
          </w:p>
        </w:tc>
        <w:tc>
          <w:tcPr>
            <w:tcW w:type="dxa" w:w="11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Dual constraint optimisation</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Mu et al. [11]</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HTN + MARL</w:t>
            </w:r>
          </w:p>
        </w:tc>
        <w:tc>
          <w:tcPr>
            <w:tcW w:type="dxa" w:w="11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Partial</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HTN-enhanced strategies</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Li et al. [12]</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Inference MARL</w:t>
            </w:r>
          </w:p>
        </w:tc>
        <w:tc>
          <w:tcPr>
            <w:tcW w:type="dxa" w:w="11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Coordination as inference</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Shan et al. [8]</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HRL</w:t>
            </w:r>
          </w:p>
        </w:tc>
        <w:tc>
          <w:tcPr>
            <w:tcW w:type="dxa" w:w="11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Reliable sub-goal generation</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Li et al. [13]</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C2 Systems</w:t>
            </w:r>
          </w:p>
        </w:tc>
        <w:tc>
          <w:tcPr>
            <w:tcW w:type="dxa" w:w="11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Opponent modelling HRL</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Zhang et al. [4]</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MARL Survey</w:t>
            </w:r>
          </w:p>
        </w:tc>
        <w:tc>
          <w:tcPr>
            <w:tcW w:type="dxa" w:w="11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MARL theory overview</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Lundberg et al. [23]</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XAI</w:t>
            </w:r>
          </w:p>
        </w:tc>
        <w:tc>
          <w:tcPr>
            <w:tcW w:type="dxa" w:w="11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SHAP attribution framework</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Ribeiro et al. [24]</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XAI</w:t>
            </w:r>
          </w:p>
        </w:tc>
        <w:tc>
          <w:tcPr>
            <w:tcW w:type="dxa" w:w="11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LIME local explanations</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Abbas &amp; Rasool [3]</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RL Analysis</w:t>
            </w:r>
          </w:p>
        </w:tc>
        <w:tc>
          <w:tcPr>
            <w:tcW w:type="dxa" w:w="11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Emergent RL behaviours</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Barto &amp; Mahadevan [7]</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HRL Survey</w:t>
            </w:r>
          </w:p>
        </w:tc>
        <w:tc>
          <w:tcPr>
            <w:tcW w:type="dxa" w:w="11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HRL theoretical foundations</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Sutton &amp; Barto [16]</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RL Textbook</w:t>
            </w:r>
          </w:p>
        </w:tc>
        <w:tc>
          <w:tcPr>
            <w:tcW w:type="dxa" w:w="11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RL theoretical foundations</w:t>
            </w:r>
          </w:p>
        </w:tc>
      </w:tr>
      <w:tr>
        <w:tc>
          <w:tcPr>
            <w:tcW w:type="dxa" w:w="14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PROPOSED</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SAR + MARL+HRL+XAI</w:t>
            </w:r>
          </w:p>
        </w:tc>
        <w:tc>
          <w:tcPr>
            <w:tcW w:type="dxa" w:w="11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4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Explainable hierarchical SAR</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2.1: Comparative Study of Existing SAR and MARL-HRL Methods</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The comparative analysis clearly demonstrates that the EMARL-SAR framework is the only approach in the comparison that simultaneously addresses all three critical dimensions: multi-agent coordination, hierarchical decision-making, and embedded explainability, within a SAR-specific application context. No reviewed work combines SAR domain applicability with hierarchical policies and real-time XAI output.</w:t>
      </w:r>
    </w:p>
    <w:p>
      <w:pPr>
        <w:pStyle w:val="Heading2"/>
        <w:spacing w:after="160" w:before="320"/>
      </w:pPr>
      <w:r>
        <w:rPr>
          <w:rFonts w:ascii="Bookman Old Style" w:cs="Bookman Old Style" w:eastAsia="Bookman Old Style" w:hAnsi="Bookman Old Style"/>
          <w:b/>
          <w:bCs/>
          <w:sz w:val="28"/>
          <w:szCs w:val="28"/>
        </w:rPr>
        <w:t xml:space="preserve">2.5 Limitations of Existing Methods</w:t>
      </w:r>
    </w:p>
    <w:p>
      <w:pPr>
        <w:spacing w:after="180" w:line="276" w:lineRule="auto"/>
        <w:jc w:val="both"/>
      </w:pPr>
      <w:r>
        <w:rPr>
          <w:rFonts w:ascii="Bookman Old Style" w:cs="Bookman Old Style" w:eastAsia="Bookman Old Style" w:hAnsi="Bookman Old Style"/>
          <w:sz w:val="24"/>
          <w:szCs w:val="24"/>
        </w:rPr>
        <w:t xml:space="preserve">The survey reveals four systemic limitations across existing methods. First, the universal absence of explainability mechanisms in MARL and HRL systems designed for SAR or related coordination domains. All reviewed SAR-oriented approaches rely on rule-based or neural network coordination mechanisms that provide no mechanism for explaining agent decision-making to human coordinators.</w:t>
      </w:r>
    </w:p>
    <w:p>
      <w:pPr>
        <w:spacing w:after="180" w:line="276" w:lineRule="auto"/>
        <w:jc w:val="both"/>
      </w:pPr>
      <w:r>
        <w:rPr>
          <w:rFonts w:ascii="Bookman Old Style" w:cs="Bookman Old Style" w:eastAsia="Bookman Old Style" w:hAnsi="Bookman Old Style"/>
          <w:sz w:val="24"/>
          <w:szCs w:val="24"/>
        </w:rPr>
        <w:t xml:space="preserve">Second, the inadequate treatment of dynamic hazard environments. Most reviewed MARL approaches evaluate on static benchmark environments that do not capture the continuously evolving hazard configurations characteristic of real disaster environments. The few approaches that address dynamic environments do so through simplified hazard models that do not capture the spatial propagation dynamics of real disaster phenomena.</w:t>
      </w:r>
    </w:p>
    <w:p>
      <w:pPr>
        <w:spacing w:after="180" w:line="276" w:lineRule="auto"/>
        <w:jc w:val="both"/>
      </w:pPr>
      <w:r>
        <w:rPr>
          <w:rFonts w:ascii="Bookman Old Style" w:cs="Bookman Old Style" w:eastAsia="Bookman Old Style" w:hAnsi="Bookman Old Style"/>
          <w:sz w:val="24"/>
          <w:szCs w:val="24"/>
        </w:rPr>
        <w:t xml:space="preserve">Third, the absence of heterogeneous agent support. Existing multi-agent SAR systems typically deploy homogeneous agent populations with identical capabilities. Real SAR operations deploy heterogeneous teams of reconnaissance drones, path-clearing robots, and medical responders with distinct capabilities and constraints — a scenario that existing approaches do not model or address.</w:t>
      </w:r>
    </w:p>
    <w:p>
      <w:pPr>
        <w:spacing w:after="180" w:line="276" w:lineRule="auto"/>
        <w:jc w:val="both"/>
      </w:pPr>
      <w:r>
        <w:rPr>
          <w:rFonts w:ascii="Bookman Old Style" w:cs="Bookman Old Style" w:eastAsia="Bookman Old Style" w:hAnsi="Bookman Old Style"/>
          <w:sz w:val="24"/>
          <w:szCs w:val="24"/>
        </w:rPr>
        <w:t xml:space="preserve">Fourth, the lack of integrated visualization and monitoring tools. No reviewed approach provides a real-time visualization and explanation dashboard that would enable rescue coordinators to monitor autonomous system decisions and explanation outputs simultaneously — a critical operational requirement for real-world SAR deployment.</w:t>
      </w:r>
    </w:p>
    <w:p>
      <w:pPr>
        <w:pStyle w:val="Heading2"/>
        <w:spacing w:after="160" w:before="320"/>
      </w:pPr>
      <w:r>
        <w:rPr>
          <w:rFonts w:ascii="Bookman Old Style" w:cs="Bookman Old Style" w:eastAsia="Bookman Old Style" w:hAnsi="Bookman Old Style"/>
          <w:b/>
          <w:bCs/>
          <w:sz w:val="28"/>
          <w:szCs w:val="28"/>
        </w:rPr>
        <w:t xml:space="preserve">2.6 Research Gap</w:t>
      </w:r>
    </w:p>
    <w:p>
      <w:pPr>
        <w:spacing w:after="180" w:line="276" w:lineRule="auto"/>
        <w:jc w:val="both"/>
      </w:pPr>
      <w:r>
        <w:rPr>
          <w:rFonts w:ascii="Bookman Old Style" w:cs="Bookman Old Style" w:eastAsia="Bookman Old Style" w:hAnsi="Bookman Old Style"/>
          <w:sz w:val="24"/>
          <w:szCs w:val="24"/>
        </w:rPr>
        <w:t xml:space="preserve">The literature review identifies a clear and significant research gap: there exists no unified framework that simultaneously addresses multi-agent cooperative SAR coordination in dynamic grid environments, hierarchical policy learning for scalable task decomposition, and embedded real-time explainability for rescue coordinator transparency. The proposed EMARL-SAR framework is designed specifically to fill this gap, providing a complete and integrated solution to the three interconnected challenges identified in the problem statement.</w:t>
      </w:r>
    </w:p>
    <w:p>
      <w:pPr>
        <w:pStyle w:val="Heading2"/>
        <w:spacing w:after="160" w:before="320"/>
      </w:pPr>
      <w:r>
        <w:rPr>
          <w:rFonts w:ascii="Bookman Old Style" w:cs="Bookman Old Style" w:eastAsia="Bookman Old Style" w:hAnsi="Bookman Old Style"/>
          <w:b/>
          <w:bCs/>
          <w:sz w:val="28"/>
          <w:szCs w:val="28"/>
        </w:rPr>
        <w:t xml:space="preserve">2.7 Summary</w:t>
      </w:r>
    </w:p>
    <w:p>
      <w:pPr>
        <w:spacing w:after="180" w:line="276" w:lineRule="auto"/>
        <w:jc w:val="both"/>
      </w:pPr>
      <w:r>
        <w:rPr>
          <w:rFonts w:ascii="Bookman Old Style" w:cs="Bookman Old Style" w:eastAsia="Bookman Old Style" w:hAnsi="Bookman Old Style"/>
          <w:sz w:val="24"/>
          <w:szCs w:val="24"/>
        </w:rPr>
        <w:t xml:space="preserve">This chapter has presented a comprehensive review of existing research on cooperative SAR systems, multi-agent reinforcement learning, hierarchical reinforcement learning, and explainable AI. The comparative analysis confirms the unique positioning of the EMARL-SAR framework as the first unified approach combining all three critical capabilities in a SAR-specific context. The identified limitations of existing methods and the research gap they define provide strong justification for the proposed framework's design priorities. The following chapter presents the detailed technical specification of the EMARL-SAR framework.</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CHAPTER 3</w:t>
      </w:r>
    </w:p>
    <w:p>
      <w:pPr>
        <w:spacing w:after="400"/>
        <w:jc w:val="center"/>
      </w:pPr>
      <w:r>
        <w:rPr>
          <w:rFonts w:ascii="Bookman Old Style" w:cs="Bookman Old Style" w:eastAsia="Bookman Old Style" w:hAnsi="Bookman Old Style"/>
          <w:b/>
          <w:bCs/>
          <w:i w:val="false"/>
          <w:iCs w:val="false"/>
          <w:sz w:val="32"/>
          <w:szCs w:val="32"/>
        </w:rPr>
        <w:t xml:space="preserve">PROPOSED METHODOLOGY</w:t>
      </w:r>
    </w:p>
    <w:p>
      <w:pPr>
        <w:pStyle w:val="Heading2"/>
        <w:spacing w:after="160" w:before="320"/>
      </w:pPr>
      <w:r>
        <w:rPr>
          <w:rFonts w:ascii="Bookman Old Style" w:cs="Bookman Old Style" w:eastAsia="Bookman Old Style" w:hAnsi="Bookman Old Style"/>
          <w:b/>
          <w:bCs/>
          <w:sz w:val="28"/>
          <w:szCs w:val="28"/>
        </w:rPr>
        <w:t xml:space="preserve">3.1 Introduction</w:t>
      </w:r>
    </w:p>
    <w:p>
      <w:pPr>
        <w:spacing w:after="180" w:line="276" w:lineRule="auto"/>
        <w:jc w:val="both"/>
      </w:pPr>
      <w:r>
        <w:rPr>
          <w:rFonts w:ascii="Bookman Old Style" w:cs="Bookman Old Style" w:eastAsia="Bookman Old Style" w:hAnsi="Bookman Old Style"/>
          <w:sz w:val="24"/>
          <w:szCs w:val="24"/>
        </w:rPr>
        <w:t xml:space="preserve">This chapter presents the complete technical specification of the Explainable Multi-Agent Reinforcement Learning for Search and Rescue (EMARL-SAR) framework. The chapter begins with a description of the proposed system's overall design philosophy and component structure, followed by a step-by-step explanation of the working principle, a detailed specification of the system architecture and module descriptions, the data flow and activity diagrams, the mathematical model formalizing the hierarchical policy and explanation mechanisms, and the hardware and software requirements.</w:t>
      </w:r>
    </w:p>
    <w:p>
      <w:pPr>
        <w:pStyle w:val="Heading2"/>
        <w:spacing w:after="160" w:before="320"/>
      </w:pPr>
      <w:r>
        <w:rPr>
          <w:rFonts w:ascii="Bookman Old Style" w:cs="Bookman Old Style" w:eastAsia="Bookman Old Style" w:hAnsi="Bookman Old Style"/>
          <w:b/>
          <w:bCs/>
          <w:sz w:val="28"/>
          <w:szCs w:val="28"/>
        </w:rPr>
        <w:t xml:space="preserve">3.2 Proposed System</w:t>
      </w:r>
    </w:p>
    <w:p>
      <w:pPr>
        <w:spacing w:after="180" w:line="276" w:lineRule="auto"/>
        <w:jc w:val="both"/>
      </w:pPr>
      <w:r>
        <w:rPr>
          <w:rFonts w:ascii="Bookman Old Style" w:cs="Bookman Old Style" w:eastAsia="Bookman Old Style" w:hAnsi="Bookman Old Style"/>
          <w:sz w:val="24"/>
          <w:szCs w:val="24"/>
        </w:rPr>
        <w:t xml:space="preserve">The EMARL-SAR framework is designed as a three-component integrated system: the Dynamic Grid Environment (DGE), the Hierarchical Reinforcement Learning Module (HRLM), and the Explainability Engine (EE). Together, these components provide a complete pipeline from environmental state observation through hierarchical policy evaluation to primitive action execution and real-time explanation generation.</w:t>
      </w:r>
    </w:p>
    <w:p>
      <w:pPr>
        <w:spacing w:after="180" w:line="276" w:lineRule="auto"/>
        <w:jc w:val="both"/>
      </w:pPr>
      <w:r>
        <w:rPr>
          <w:rFonts w:ascii="Bookman Old Style" w:cs="Bookman Old Style" w:eastAsia="Bookman Old Style" w:hAnsi="Bookman Old Style"/>
          <w:sz w:val="24"/>
          <w:szCs w:val="24"/>
        </w:rPr>
        <w:t xml:space="preserve">The Dynamic Grid Environment provides the simulation substrate for training and evaluation. It models a G×G grid (G=20 in the primary experimental configuration) representing a disaster zone, with the following environmental entities: Victim nodes (V=5 per episode, randomly placed), Hazard zones (H=3 initial fire cells, spreading at 5% per time step), Recharge stations (R=2, fixed positions), and Agent spawn points (randomly distributed across hazard-free cells at episode initialization). The environment is implemented using the PettingZoo Parallel Environment API, which supports simultaneous, synchronous multi-agent interaction.</w:t>
      </w:r>
    </w:p>
    <w:p>
      <w:pPr>
        <w:spacing w:after="180" w:line="276" w:lineRule="auto"/>
        <w:jc w:val="both"/>
      </w:pPr>
      <w:r>
        <w:rPr>
          <w:rFonts w:ascii="Bookman Old Style" w:cs="Bookman Old Style" w:eastAsia="Bookman Old Style" w:hAnsi="Bookman Old Style"/>
          <w:sz w:val="24"/>
          <w:szCs w:val="24"/>
        </w:rPr>
        <w:t xml:space="preserve">The agent population consists of two types: Reconnaissance Drones (A1_Drone, A2_Drone, A3_Drone) specializing in victim detection and location confirmation, with a 5×5 field of view and victim detection range of 3 cells; and Path-Clearing Robots (A4_Robot) specializing in hazard clearance, with a 3×3 field of view and hazard neutralization capability. Each agent carries a battery with a maximum capacity of 200 action steps, decreasing by 1 unit per primitive movement action and by 5 units per victim interaction or hazard neutralization action. Battery depletion triggers agent deactivation until the next recharge station visit.</w:t>
      </w:r>
    </w:p>
    <w:p>
      <w:pPr>
        <w:spacing w:after="180" w:line="276" w:lineRule="auto"/>
        <w:jc w:val="both"/>
      </w:pPr>
      <w:r>
        <w:rPr>
          <w:rFonts w:ascii="Bookman Old Style" w:cs="Bookman Old Style" w:eastAsia="Bookman Old Style" w:hAnsi="Bookman Old Style"/>
          <w:sz w:val="24"/>
          <w:szCs w:val="24"/>
        </w:rPr>
        <w:t xml:space="preserve">The Hierarchical Reinforcement Learning Module implements the two-level policy architecture. The high-level policy (HLP) operates at a temporal scale of every K=10 time steps, observing the complete global grid state and producing macro-goal assignments for each active agent. The macro-goal space G = {NW, NE, SW, SE, Recharge} assigns agents to one of four grid quadrants or directs them to the nearest recharge station. The low-level policy (LLP) operates at every time step, observing each agent's local 5×5 field of view and current macro-goal, and producing a primitive action selection from A = {North, South, East, West, Interact}.</w:t>
      </w:r>
    </w:p>
    <w:p>
      <w:pPr>
        <w:spacing w:after="180" w:line="276" w:lineRule="auto"/>
        <w:jc w:val="both"/>
      </w:pPr>
      <w:r>
        <w:rPr>
          <w:rFonts w:ascii="Bookman Old Style" w:cs="Bookman Old Style" w:eastAsia="Bookman Old Style" w:hAnsi="Bookman Old Style"/>
          <w:sz w:val="24"/>
          <w:szCs w:val="24"/>
        </w:rPr>
        <w:t xml:space="preserve">The Explainability Engine is activated at every decision step of both policy levels. It computes gradient-based saliency attributions over the input observation features for each action selection, constructs natural language action justification strings from the top-k attributed features, appends the justification to the decision trace log, and streams the explanation output to the Streamlit dashboard. The engine produces two categories of explanation output: Macro-Goal Justifications explaining why the high-level policy assigned a particular sector to an agent, and Primitive Action Justifications explaining why the low-level policy selected a specific navigation action at each step.</w:t>
      </w:r>
    </w:p>
    <w:p>
      <w:pPr>
        <w:pStyle w:val="Heading2"/>
        <w:spacing w:after="160" w:before="320"/>
      </w:pPr>
      <w:r>
        <w:rPr>
          <w:rFonts w:ascii="Bookman Old Style" w:cs="Bookman Old Style" w:eastAsia="Bookman Old Style" w:hAnsi="Bookman Old Style"/>
          <w:b/>
          <w:bCs/>
          <w:sz w:val="28"/>
          <w:szCs w:val="28"/>
        </w:rPr>
        <w:t xml:space="preserve">3.3 Working Principle</w:t>
      </w:r>
    </w:p>
    <w:p>
      <w:pPr>
        <w:spacing w:after="180" w:line="276" w:lineRule="auto"/>
        <w:jc w:val="both"/>
      </w:pPr>
      <w:r>
        <w:rPr>
          <w:rFonts w:ascii="Bookman Old Style" w:cs="Bookman Old Style" w:eastAsia="Bookman Old Style" w:hAnsi="Bookman Old Style"/>
          <w:sz w:val="24"/>
          <w:szCs w:val="24"/>
        </w:rPr>
        <w:t xml:space="preserve">The EMARL-SAR framework operates through the following five-phase execution cycle within each episode:</w:t>
      </w:r>
    </w:p>
    <w:p>
      <w:pPr>
        <w:spacing w:after="180" w:line="276" w:lineRule="auto"/>
        <w:jc w:val="both"/>
      </w:pPr>
      <w:r>
        <w:rPr>
          <w:rFonts w:ascii="Bookman Old Style" w:cs="Bookman Old Style" w:eastAsia="Bookman Old Style" w:hAnsi="Bookman Old Style"/>
          <w:sz w:val="24"/>
          <w:szCs w:val="24"/>
        </w:rPr>
        <w:t xml:space="preserve">Phase 1 — Environment Initialization: The dynamic grid environment is initialized with randomly placed victim locations, initial hazard zones, and randomly spawned agent positions. The global grid state tensor is constructed by concatenating the victim location map, hazard zone map, agent position map, battery level vector, and rescued victim counter into a structured state representation accessible to the high-level policy during training.</w:t>
      </w:r>
    </w:p>
    <w:p>
      <w:pPr>
        <w:spacing w:after="180" w:line="276" w:lineRule="auto"/>
        <w:jc w:val="both"/>
      </w:pPr>
      <w:r>
        <w:rPr>
          <w:rFonts w:ascii="Bookman Old Style" w:cs="Bookman Old Style" w:eastAsia="Bookman Old Style" w:hAnsi="Bookman Old Style"/>
          <w:sz w:val="24"/>
          <w:szCs w:val="24"/>
        </w:rPr>
        <w:t xml:space="preserve">Phase 2 — High-Level Policy Evaluation: At the start of each episode and at every K=10 time steps thereafter, the high-level policy network evaluates the global grid state and produces a macro-goal assignment vector specifying the assigned sector (NW, NE, SW, SE, or Recharge) for each active agent. The high-level policy also produces an attention weight vector over global grid regions, which is used by the Explainability Engine to generate macro-goal justifications. A macro-goal justification is generated in the following form: 'Agent A1_Drone assigned to NE quadrant because 2 unrescued victims are detected in that sector and no other agent is currently assigned there.'</w:t>
      </w:r>
    </w:p>
    <w:p>
      <w:pPr>
        <w:spacing w:after="180" w:line="276" w:lineRule="auto"/>
        <w:jc w:val="both"/>
      </w:pPr>
      <w:r>
        <w:rPr>
          <w:rFonts w:ascii="Bookman Old Style" w:cs="Bookman Old Style" w:eastAsia="Bookman Old Style" w:hAnsi="Bookman Old Style"/>
          <w:sz w:val="24"/>
          <w:szCs w:val="24"/>
        </w:rPr>
        <w:t xml:space="preserve">Phase 3 — Low-Level Policy Evaluation: At every time step, each active agent evaluates its low-level policy network given its current local observation (5×5 grid neighbourhood) and the macro-goal embedding vector received from the high-level policy. The policy network produces a probability distribution over the five primitive actions, from which the executed action is sampled (during training) or greedily selected (during evaluation). The gradient of the selected action log-probability with respect to the local observation features is computed using PyTorch autograd, providing the saliency attribution used for primitive action justification.</w:t>
      </w:r>
    </w:p>
    <w:p>
      <w:pPr>
        <w:spacing w:after="180" w:line="276" w:lineRule="auto"/>
        <w:jc w:val="both"/>
      </w:pPr>
      <w:r>
        <w:rPr>
          <w:rFonts w:ascii="Bookman Old Style" w:cs="Bookman Old Style" w:eastAsia="Bookman Old Style" w:hAnsi="Bookman Old Style"/>
          <w:sz w:val="24"/>
          <w:szCs w:val="24"/>
        </w:rPr>
        <w:t xml:space="preserve">Phase 4 — Environment Step and Reward Collection: All selected primitive actions are executed simultaneously in the environment. The environment transitions to the next state, updates hazard zones according to the propagation dynamics, checks for victim detection events (agent within detection range of a victim location), processes Interact actions at victim locations (completing rescues and removing victims from the grid), and computes per-step rewards for each agent. The global reward signal includes a victim rescue reward (+10), a hazard clearance reward (+5), a step penalty (-0.1 per time step), and a collision/boundary penalty (-2 per invalid action).</w:t>
      </w:r>
    </w:p>
    <w:p>
      <w:pPr>
        <w:spacing w:after="180" w:line="276" w:lineRule="auto"/>
        <w:jc w:val="both"/>
      </w:pPr>
      <w:r>
        <w:rPr>
          <w:rFonts w:ascii="Bookman Old Style" w:cs="Bookman Old Style" w:eastAsia="Bookman Old Style" w:hAnsi="Bookman Old Style"/>
          <w:sz w:val="24"/>
          <w:szCs w:val="24"/>
        </w:rPr>
        <w:t xml:space="preserve">Phase 5 — Explanation Generation and Dashboard Update: The Explainability Engine processes the saliency attributions from Phase 3 to construct primitive action justifications for each agent. The justifications, along with the executed actions, current positions, and reward values, are appended to the decision trace log. The trace log entry and the updated grid state are streamed to the Streamlit dashboard, where the left panel updates the grid visualization (agent positions, victim locations, hazard zones) and the right panel appends the new explanation entries to the scrolling feed.</w:t>
      </w:r>
    </w:p>
    <w:p>
      <w:pPr>
        <w:pStyle w:val="Heading2"/>
        <w:spacing w:after="160" w:before="320"/>
      </w:pPr>
      <w:r>
        <w:rPr>
          <w:rFonts w:ascii="Bookman Old Style" w:cs="Bookman Old Style" w:eastAsia="Bookman Old Style" w:hAnsi="Bookman Old Style"/>
          <w:b/>
          <w:bCs/>
          <w:sz w:val="28"/>
          <w:szCs w:val="28"/>
        </w:rPr>
        <w:t xml:space="preserve">3.4 Proposed System Architecture</w:t>
      </w:r>
    </w:p>
    <w:p>
      <w:pPr>
        <w:spacing w:after="180" w:line="276" w:lineRule="auto"/>
        <w:jc w:val="both"/>
      </w:pPr>
      <w:r>
        <w:rPr>
          <w:rFonts w:ascii="Bookman Old Style" w:cs="Bookman Old Style" w:eastAsia="Bookman Old Style" w:hAnsi="Bookman Old Style"/>
          <w:sz w:val="24"/>
          <w:szCs w:val="24"/>
        </w:rPr>
        <w:t xml:space="preserve">Figure 3.1 illustrates the overall architecture of the EMARL-SAR framework. The architecture comprises three principal layers arranged in a hierarchical processing pipeline.</w:t>
      </w:r>
    </w:p>
    <w:p>
      <w:pPr>
        <w:spacing w:after="180" w:line="276" w:lineRule="auto"/>
        <w:jc w:val="both"/>
      </w:pPr>
      <w:r>
        <w:rPr>
          <w:rFonts w:ascii="Bookman Old Style" w:cs="Bookman Old Style" w:eastAsia="Bookman Old Style" w:hAnsi="Bookman Old Style"/>
          <w:sz w:val="24"/>
          <w:szCs w:val="24"/>
        </w:rPr>
        <w:t xml:space="preserve">The Environment Layer (bottom) encompasses the Dynamic Grid Environment, which maintains the authoritative state of the disaster zone and manages all state transitions, reward computations, and episode management. The environment exposes a standardized PettingZoo Parallel API to the agent layer, providing per-agent local observations and global state access during training.</w:t>
      </w:r>
    </w:p>
    <w:p>
      <w:pPr>
        <w:spacing w:after="180" w:line="276" w:lineRule="auto"/>
        <w:jc w:val="both"/>
      </w:pPr>
      <w:r>
        <w:rPr>
          <w:rFonts w:ascii="Bookman Old Style" w:cs="Bookman Old Style" w:eastAsia="Bookman Old Style" w:hAnsi="Bookman Old Style"/>
          <w:sz w:val="24"/>
          <w:szCs w:val="24"/>
        </w:rPr>
        <w:t xml:space="preserve">The Agent Layer (middle) contains the Hierarchical Reinforcement Learning Module, organized in two tiers. The upper tier contains the shared High-Level Policy network, which receives the global grid state and produces macro-goal assignments and associated attention weights for all active agents. The lower tier contains per-agent Low-Level Policy networks (one per agent type: Drone and Robot), each receiving a local observation-macro-goal concatenation and producing primitive action probability distributions and gradient saliency attributions.</w:t>
      </w:r>
    </w:p>
    <w:p>
      <w:pPr>
        <w:spacing w:after="180" w:line="276" w:lineRule="auto"/>
        <w:jc w:val="both"/>
      </w:pPr>
      <w:r>
        <w:rPr>
          <w:rFonts w:ascii="Bookman Old Style" w:cs="Bookman Old Style" w:eastAsia="Bookman Old Style" w:hAnsi="Bookman Old Style"/>
          <w:sz w:val="24"/>
          <w:szCs w:val="24"/>
        </w:rPr>
        <w:t xml:space="preserve">The Explanation and Visualization Layer (top) contains the Explainability Engine and the Streamlit Dashboard. The Explainability Engine receives gradient saliency tensors and attention weights from the Agent Layer, constructs natural language justification strings, and maintains the decision trace log. The Streamlit Dashboard presents the grid visualization and explanation feed in a split-panel layout accessible through a web browser interface during both training monitoring and evaluation demonstration.</w:t>
      </w:r>
    </w:p>
    <w:p>
      <w:pPr>
        <w:pStyle w:val="Heading2"/>
        <w:spacing w:after="160" w:before="320"/>
      </w:pPr>
      <w:r>
        <w:rPr>
          <w:rFonts w:ascii="Bookman Old Style" w:cs="Bookman Old Style" w:eastAsia="Bookman Old Style" w:hAnsi="Bookman Old Style"/>
          <w:b/>
          <w:bCs/>
          <w:sz w:val="28"/>
          <w:szCs w:val="28"/>
        </w:rPr>
        <w:t xml:space="preserve">3.5 Module Descriptions</w:t>
      </w:r>
    </w:p>
    <w:p>
      <w:pPr>
        <w:pStyle w:val="Heading3"/>
        <w:spacing w:after="100" w:before="200"/>
      </w:pPr>
      <w:r>
        <w:rPr>
          <w:rFonts w:ascii="Bookman Old Style" w:cs="Bookman Old Style" w:eastAsia="Bookman Old Style" w:hAnsi="Bookman Old Style"/>
          <w:b/>
          <w:bCs/>
          <w:sz w:val="24"/>
          <w:szCs w:val="24"/>
        </w:rPr>
        <w:t xml:space="preserve">3.5.1 Dynamic Grid Environment Module</w:t>
      </w:r>
    </w:p>
    <w:p>
      <w:pPr>
        <w:spacing w:after="180" w:line="276" w:lineRule="auto"/>
        <w:jc w:val="both"/>
      </w:pPr>
      <w:r>
        <w:rPr>
          <w:rFonts w:ascii="Bookman Old Style" w:cs="Bookman Old Style" w:eastAsia="Bookman Old Style" w:hAnsi="Bookman Old Style"/>
          <w:sz w:val="24"/>
          <w:szCs w:val="24"/>
        </w:rPr>
        <w:t xml:space="preserve">The Dynamic Grid Environment module implements the complete disaster zone simulation. The grid state is represented as a multi-channel tensor of dimensions [G, G, C] where C=6 channels encode: victim presence (binary), hazard presence (binary), agent presence (one-hot per agent type), battery level (normalized float), rescue status (binary), and obstacle presence (binary). The environment step function processes the joint action vector of all active agents simultaneously, updating each channel according to the following dynamics.</w:t>
      </w:r>
    </w:p>
    <w:p>
      <w:pPr>
        <w:spacing w:after="180" w:line="276" w:lineRule="auto"/>
        <w:jc w:val="both"/>
      </w:pPr>
      <w:r>
        <w:rPr>
          <w:rFonts w:ascii="Bookman Old Style" w:cs="Bookman Old Style" w:eastAsia="Bookman Old Style" w:hAnsi="Bookman Old Style"/>
          <w:sz w:val="24"/>
          <w:szCs w:val="24"/>
        </w:rPr>
        <w:t xml:space="preserve">Hazard propagation is modelled using a stochastic cellular automaton: at each time step, each hazard cell spreads fire to each of its four cardinal neighbours with probability p=0.05, provided the neighbour cell is not an obstacle or recharge station. The propagation rate can be configured as an environment parameter to modulate scenario difficulty. Victim time-out is modelled by decrementing a victim survival counter at each time step: if the counter reaches zero before the victim is rescued, the victim is marked as lost and removed from the grid, contributing a penalty of -15 to the episode reward.</w:t>
      </w:r>
    </w:p>
    <w:p>
      <w:pPr>
        <w:spacing w:after="180" w:line="276" w:lineRule="auto"/>
        <w:jc w:val="both"/>
      </w:pPr>
      <w:r>
        <w:rPr>
          <w:rFonts w:ascii="Bookman Old Style" w:cs="Bookman Old Style" w:eastAsia="Bookman Old Style" w:hAnsi="Bookman Old Style"/>
          <w:sz w:val="24"/>
          <w:szCs w:val="24"/>
        </w:rPr>
        <w:t xml:space="preserve">The reward function is defined as a sum of shaped individual agent rewards: rescue reward (+10 per successful victim interaction), hazard clearance reward (+5 per successful hazard neutralization), step penalty (-0.1 per time step per agent), battery depletion penalty (-5 if battery reaches zero), collision penalty (-2 per boundary or hazard collision), and coordination bonus (+2 per time step per agent assigned to a unique sector with active victims).</w:t>
      </w:r>
    </w:p>
    <w:p>
      <w:pPr>
        <w:pStyle w:val="Heading3"/>
        <w:spacing w:after="100" w:before="200"/>
      </w:pPr>
      <w:r>
        <w:rPr>
          <w:rFonts w:ascii="Bookman Old Style" w:cs="Bookman Old Style" w:eastAsia="Bookman Old Style" w:hAnsi="Bookman Old Style"/>
          <w:b/>
          <w:bCs/>
          <w:sz w:val="24"/>
          <w:szCs w:val="24"/>
        </w:rPr>
        <w:t xml:space="preserve">3.5.2 High-Level Policy Network</w:t>
      </w:r>
    </w:p>
    <w:p>
      <w:pPr>
        <w:spacing w:after="180" w:line="276" w:lineRule="auto"/>
        <w:jc w:val="both"/>
      </w:pPr>
      <w:r>
        <w:rPr>
          <w:rFonts w:ascii="Bookman Old Style" w:cs="Bookman Old Style" w:eastAsia="Bookman Old Style" w:hAnsi="Bookman Old Style"/>
          <w:sz w:val="24"/>
          <w:szCs w:val="24"/>
        </w:rPr>
        <w:t xml:space="preserve">The High-Level Policy network is a fully connected neural network with architecture [global_state_dim, 512, 256, 128, macro_action_dim × N_agents]. The global state input dimension is computed as G² × C flattened to a 1D vector of dimension 2400 (20×20×6) and concatenated with a battery level vector of dimension N_agents (4) and a rescued victim counter (scalar), yielding a total input dimension of 2405. The macro-action output layer produces N_agents independent macro-action probability distributions, one per active agent, through N_agents independent softmax heads of dimension 5 (NW, NE, SW, SE, Recharge).</w:t>
      </w:r>
    </w:p>
    <w:p>
      <w:pPr>
        <w:spacing w:after="180" w:line="276" w:lineRule="auto"/>
        <w:jc w:val="both"/>
      </w:pPr>
      <w:r>
        <w:rPr>
          <w:rFonts w:ascii="Bookman Old Style" w:cs="Bookman Old Style" w:eastAsia="Bookman Old Style" w:hAnsi="Bookman Old Style"/>
          <w:sz w:val="24"/>
          <w:szCs w:val="24"/>
        </w:rPr>
        <w:t xml:space="preserve">An attention mechanism is applied over the spatial grid representation prior to the fully connected layers, using a lightweight self-attention module with 4 attention heads and key/query/value dimension of 64. The attention weights are stored at each forward pass to provide the spatial attribution signal used by the Explainability Engine for macro-goal justification generation. The high-level policy is updated every K=10 episodes using the MAPPO policy gradient algorithm with a shared critic network.</w:t>
      </w:r>
    </w:p>
    <w:p>
      <w:pPr>
        <w:pStyle w:val="Heading3"/>
        <w:spacing w:after="100" w:before="200"/>
      </w:pPr>
      <w:r>
        <w:rPr>
          <w:rFonts w:ascii="Bookman Old Style" w:cs="Bookman Old Style" w:eastAsia="Bookman Old Style" w:hAnsi="Bookman Old Style"/>
          <w:b/>
          <w:bCs/>
          <w:sz w:val="24"/>
          <w:szCs w:val="24"/>
        </w:rPr>
        <w:t xml:space="preserve">3.5.3 Low-Level Policy Networks</w:t>
      </w:r>
    </w:p>
    <w:p>
      <w:pPr>
        <w:spacing w:after="180" w:line="276" w:lineRule="auto"/>
        <w:jc w:val="both"/>
      </w:pPr>
      <w:r>
        <w:rPr>
          <w:rFonts w:ascii="Bookman Old Style" w:cs="Bookman Old Style" w:eastAsia="Bookman Old Style" w:hAnsi="Bookman Old Style"/>
          <w:sz w:val="24"/>
          <w:szCs w:val="24"/>
        </w:rPr>
        <w:t xml:space="preserve">The Low-Level Policy networks are per-agent-type fully connected networks with architecture [local_obs_dim + macro_goal_embedding_dim, 256, 128, primitive_action_dim]. The local observation input is the flattened 5×5×C local neighbourhood tensor of dimension 150, concatenated with the macro-goal embedding produced by a two-layer embedding network of dimension 32, yielding a total input dimension of 182. The primitive action output layer produces a 5-way softmax distribution over {North, South, East, West, Interact}.</w:t>
      </w:r>
    </w:p>
    <w:p>
      <w:pPr>
        <w:spacing w:after="180" w:line="276" w:lineRule="auto"/>
        <w:jc w:val="both"/>
      </w:pPr>
      <w:r>
        <w:rPr>
          <w:rFonts w:ascii="Bookman Old Style" w:cs="Bookman Old Style" w:eastAsia="Bookman Old Style" w:hAnsi="Bookman Old Style"/>
          <w:sz w:val="24"/>
          <w:szCs w:val="24"/>
        </w:rPr>
        <w:t xml:space="preserve">All drone agents share the Drone LLP weights, and all robot agents share the Robot LLP weights, following the parameter sharing convention. The network parameters are updated at every episode using the MAPPO algorithm with a shared critic. The gradient of the selected action log-probability with respect to the local observation input (computed via PyTorch autograd) provides the saliency map used by the Explainability Engine for primitive action justification.</w:t>
      </w:r>
    </w:p>
    <w:p>
      <w:pPr>
        <w:pStyle w:val="Heading3"/>
        <w:spacing w:after="100" w:before="200"/>
      </w:pPr>
      <w:r>
        <w:rPr>
          <w:rFonts w:ascii="Bookman Old Style" w:cs="Bookman Old Style" w:eastAsia="Bookman Old Style" w:hAnsi="Bookman Old Style"/>
          <w:b/>
          <w:bCs/>
          <w:sz w:val="24"/>
          <w:szCs w:val="24"/>
        </w:rPr>
        <w:t xml:space="preserve">3.5.4 Explainability Engine</w:t>
      </w:r>
    </w:p>
    <w:p>
      <w:pPr>
        <w:spacing w:after="180" w:line="276" w:lineRule="auto"/>
        <w:jc w:val="both"/>
      </w:pPr>
      <w:r>
        <w:rPr>
          <w:rFonts w:ascii="Bookman Old Style" w:cs="Bookman Old Style" w:eastAsia="Bookman Old Style" w:hAnsi="Bookman Old Style"/>
          <w:sz w:val="24"/>
          <w:szCs w:val="24"/>
        </w:rPr>
        <w:t xml:space="preserve">The Explainability Engine module implements three explanation generation functions: (1) justify_macro_goal(agent, macro_goal, attention_weights, global_state) generates a macro-goal justification by identifying the top-3 grid regions with highest attention weights and translating them into a natural language string describing the strategic rationale for the sector assignment; (2) justify_action(agent, sub_goal, action, saliency) generates a primitive action justification by identifying the top-3 local observation features with highest absolute saliency values and constructing a natural language description of their influence on the action selection; and (3) print_trace(agent, sub_goal, action, next_pos, reward) appends a timestamped trace log entry recording all decision parameters for the current step.</w:t>
      </w:r>
    </w:p>
    <w:p>
      <w:pPr>
        <w:spacing w:after="180" w:line="276" w:lineRule="auto"/>
        <w:jc w:val="both"/>
      </w:pPr>
      <w:r>
        <w:rPr>
          <w:rFonts w:ascii="Bookman Old Style" w:cs="Bookman Old Style" w:eastAsia="Bookman Old Style" w:hAnsi="Bookman Old Style"/>
          <w:sz w:val="24"/>
          <w:szCs w:val="24"/>
        </w:rPr>
        <w:t xml:space="preserve">The engine maintains a per-episode decision trace log as an ordered list of timestamped dictionaries, each recording: agent_id, current_position, macro_goal, action, next_position, top_saliency_features, justification_string, and reward. At episode completion, the full trace log is serialized to a JSON file for post-hoc analysis. During live evaluation, each trace entry is streamed to the Streamlit dashboard via a queue-based inter-process communication mechanism.</w:t>
      </w:r>
    </w:p>
    <w:p>
      <w:pPr>
        <w:pStyle w:val="Heading3"/>
        <w:spacing w:after="100" w:before="200"/>
      </w:pPr>
      <w:r>
        <w:rPr>
          <w:rFonts w:ascii="Bookman Old Style" w:cs="Bookman Old Style" w:eastAsia="Bookman Old Style" w:hAnsi="Bookman Old Style"/>
          <w:b/>
          <w:bCs/>
          <w:sz w:val="24"/>
          <w:szCs w:val="24"/>
        </w:rPr>
        <w:t xml:space="preserve">3.5.5 Streamlit Dashboard Module</w:t>
      </w:r>
    </w:p>
    <w:p>
      <w:pPr>
        <w:spacing w:after="180" w:line="276" w:lineRule="auto"/>
        <w:jc w:val="both"/>
      </w:pPr>
      <w:r>
        <w:rPr>
          <w:rFonts w:ascii="Bookman Old Style" w:cs="Bookman Old Style" w:eastAsia="Bookman Old Style" w:hAnsi="Bookman Old Style"/>
          <w:sz w:val="24"/>
          <w:szCs w:val="24"/>
        </w:rPr>
        <w:t xml:space="preserve">The Streamlit Dashboard provides a split-panel web interface for live monitoring of EMARL-SAR framework operation. The left panel renders a real-time visualization of the 20×20 grid state, with color-coded overlays for agent positions (blue: drone, orange: robot), victim locations (green), hazard zones (red), and recharge stations (yellow). Agent movement trails are rendered as semi-transparent path lines. The right panel displays a scrolling text feed of action justifications and trace log entries, formatted with agent identifier prefixes, timestamps, and color-coded decision type indicators (macro-goal assignment vs. primitive action).</w:t>
      </w:r>
    </w:p>
    <w:p>
      <w:pPr>
        <w:spacing w:after="180" w:line="276" w:lineRule="auto"/>
        <w:jc w:val="both"/>
      </w:pPr>
      <w:r>
        <w:rPr>
          <w:rFonts w:ascii="Bookman Old Style" w:cs="Bookman Old Style" w:eastAsia="Bookman Old Style" w:hAnsi="Bookman Old Style"/>
          <w:sz w:val="24"/>
          <w:szCs w:val="24"/>
        </w:rPr>
        <w:t xml:space="preserve">The dashboard is implemented as a Streamlit application that reads grid state updates and explanation outputs from a shared queue updated by the main training/evaluation loop. The split-panel layout is implemented using Streamlit columns, and the grid visualization is rendered using Matplotlib figure objects embedded in Streamlit image components, updated at each time step via st.empty() placeholder replacement.</w:t>
      </w:r>
    </w:p>
    <w:p>
      <w:pPr>
        <w:pStyle w:val="Heading2"/>
        <w:spacing w:after="160" w:before="320"/>
      </w:pPr>
      <w:r>
        <w:rPr>
          <w:rFonts w:ascii="Bookman Old Style" w:cs="Bookman Old Style" w:eastAsia="Bookman Old Style" w:hAnsi="Bookman Old Style"/>
          <w:b/>
          <w:bCs/>
          <w:sz w:val="28"/>
          <w:szCs w:val="28"/>
        </w:rPr>
        <w:t xml:space="preserve">3.6 System Design</w:t>
      </w:r>
    </w:p>
    <w:p>
      <w:pPr>
        <w:pStyle w:val="Heading3"/>
        <w:spacing w:after="100" w:before="200"/>
      </w:pPr>
      <w:r>
        <w:rPr>
          <w:rFonts w:ascii="Bookman Old Style" w:cs="Bookman Old Style" w:eastAsia="Bookman Old Style" w:hAnsi="Bookman Old Style"/>
          <w:b/>
          <w:bCs/>
          <w:sz w:val="24"/>
          <w:szCs w:val="24"/>
        </w:rPr>
        <w:t xml:space="preserve">3.6.1 Data Flow Diagram</w:t>
      </w:r>
    </w:p>
    <w:p>
      <w:pPr>
        <w:spacing w:after="180" w:line="276" w:lineRule="auto"/>
        <w:jc w:val="both"/>
      </w:pPr>
      <w:r>
        <w:rPr>
          <w:rFonts w:ascii="Bookman Old Style" w:cs="Bookman Old Style" w:eastAsia="Bookman Old Style" w:hAnsi="Bookman Old Style"/>
          <w:sz w:val="24"/>
          <w:szCs w:val="24"/>
        </w:rPr>
        <w:t xml:space="preserve">Figure 3.4 illustrates the data flow within the EMARL-SAR framework. The Dynamic Grid Environment generates the Global State Tensor and per-agent Local Observation Tensors at each time step. The Global State Tensor is fed to the High-Level Policy Network (at every K steps), which produces the Macro-Goal Assignment Vector and Attention Weight Tensor. Each agent's Local Observation Tensor is concatenated with its Macro-Goal Embedding (produced by a learned embedding network from the macro-goal assignment) and fed to the corresponding Low-Level Policy Network, which produces the Action Probability Distribution and Gradient Saliency Map. The Explainability Engine receives the Attention Weight Tensor and Gradient Saliency Maps, and produces the Action Justification String and Trace Log Entry. All four outputs (Global State, Macro-Goal Assignments, Primitive Actions, Explanations) are forwarded to the Streamlit Dashboard for live visualization.</w:t>
      </w:r>
    </w:p>
    <w:p>
      <w:pPr>
        <w:pStyle w:val="Heading3"/>
        <w:spacing w:after="100" w:before="200"/>
      </w:pPr>
      <w:r>
        <w:rPr>
          <w:rFonts w:ascii="Bookman Old Style" w:cs="Bookman Old Style" w:eastAsia="Bookman Old Style" w:hAnsi="Bookman Old Style"/>
          <w:b/>
          <w:bCs/>
          <w:sz w:val="24"/>
          <w:szCs w:val="24"/>
        </w:rPr>
        <w:t xml:space="preserve">3.6.2 Activity Diagram</w:t>
      </w:r>
    </w:p>
    <w:p>
      <w:pPr>
        <w:spacing w:after="180" w:line="276" w:lineRule="auto"/>
        <w:jc w:val="both"/>
      </w:pPr>
      <w:r>
        <w:rPr>
          <w:rFonts w:ascii="Bookman Old Style" w:cs="Bookman Old Style" w:eastAsia="Bookman Old Style" w:hAnsi="Bookman Old Style"/>
          <w:sz w:val="24"/>
          <w:szCs w:val="24"/>
        </w:rPr>
        <w:t xml:space="preserve">Figure 3.5 presents the activity diagram for the EMARL-SAR agent decision and navigation loop. The loop begins with environment initialization. At each K-step boundary, the High-Level Policy is queried to produce macro-goal assignments. At each time step, for each active agent: the local observation is extracted from the environment; the local observation and macro-goal embedding are concatenated and passed to the Low-Level Policy; the action probability distribution is computed; the gradient saliency is computed via backward pass; the action is sampled from the distribution; the action justification is generated by the Explainability Engine; the trace log is updated; and the action is submitted to the environment for execution. After all agents submit their actions, the environment step is executed, rewards are collected, and the dashboard is updated. The loop terminates when either all victims are rescued, the episode time limit is reached, or all agents are deactivated by battery depletion.</w:t>
      </w:r>
    </w:p>
    <w:p>
      <w:pPr>
        <w:pStyle w:val="Heading2"/>
        <w:spacing w:after="160" w:before="320"/>
      </w:pPr>
      <w:r>
        <w:rPr>
          <w:rFonts w:ascii="Bookman Old Style" w:cs="Bookman Old Style" w:eastAsia="Bookman Old Style" w:hAnsi="Bookman Old Style"/>
          <w:b/>
          <w:bCs/>
          <w:sz w:val="28"/>
          <w:szCs w:val="28"/>
        </w:rPr>
        <w:t xml:space="preserve">3.7 Mathematical Model</w:t>
      </w:r>
    </w:p>
    <w:p>
      <w:pPr>
        <w:pStyle w:val="Heading3"/>
        <w:spacing w:after="100" w:before="200"/>
      </w:pPr>
      <w:r>
        <w:rPr>
          <w:rFonts w:ascii="Bookman Old Style" w:cs="Bookman Old Style" w:eastAsia="Bookman Old Style" w:hAnsi="Bookman Old Style"/>
          <w:b/>
          <w:bCs/>
          <w:sz w:val="24"/>
          <w:szCs w:val="24"/>
        </w:rPr>
        <w:t xml:space="preserve">3.7.1 Environment Formulation</w:t>
      </w:r>
    </w:p>
    <w:p>
      <w:pPr>
        <w:spacing w:after="180" w:line="276" w:lineRule="auto"/>
        <w:jc w:val="both"/>
      </w:pPr>
      <w:r>
        <w:rPr>
          <w:rFonts w:ascii="Bookman Old Style" w:cs="Bookman Old Style" w:eastAsia="Bookman Old Style" w:hAnsi="Bookman Old Style"/>
          <w:sz w:val="24"/>
          <w:szCs w:val="24"/>
        </w:rPr>
        <w:t xml:space="preserve">The EMARL-SAR environment is formalized as a Decentralized Partially Observable Markov Decision Process (Dec-POMDP) defined by the tuple (S, A, T, R, O, Omega, N, gamma), where S is the global state space, A is the joint action space, T is the state transition function, R is the shared reward function, O is the observation function, Omega is the per-agent observation space, N is the number of agents, and gamma is the discount factor.</w:t>
      </w:r>
    </w:p>
    <w:p>
      <w:pPr>
        <w:spacing w:after="180" w:line="276" w:lineRule="auto"/>
        <w:jc w:val="both"/>
      </w:pPr>
      <w:r>
        <w:rPr>
          <w:rFonts w:ascii="Bookman Old Style" w:cs="Bookman Old Style" w:eastAsia="Bookman Old Style" w:hAnsi="Bookman Old Style"/>
          <w:sz w:val="24"/>
          <w:szCs w:val="24"/>
        </w:rPr>
        <w:t xml:space="preserve">The global state s ∈ S is the multi-channel grid tensor of dimension G×G×C described in Section 3.5.1. The per-agent local observation o_i ∈ Omega_i is the 5×5×C sub-tensor centered on agent i's current position, zero-padded at boundary cells. The joint action space A = A_1 × A_2 × ... × A_N is the Cartesian product of individual agent action spaces, each of dimension 5.</w:t>
      </w:r>
    </w:p>
    <w:p>
      <w:pPr>
        <w:pStyle w:val="Heading3"/>
        <w:spacing w:after="100" w:before="200"/>
      </w:pPr>
      <w:r>
        <w:rPr>
          <w:rFonts w:ascii="Bookman Old Style" w:cs="Bookman Old Style" w:eastAsia="Bookman Old Style" w:hAnsi="Bookman Old Style"/>
          <w:b/>
          <w:bCs/>
          <w:sz w:val="24"/>
          <w:szCs w:val="24"/>
        </w:rPr>
        <w:t xml:space="preserve">3.7.2 Hierarchical Policy Structure</w:t>
      </w:r>
    </w:p>
    <w:p>
      <w:pPr>
        <w:spacing w:after="180" w:line="276" w:lineRule="auto"/>
        <w:jc w:val="both"/>
      </w:pPr>
      <w:r>
        <w:rPr>
          <w:rFonts w:ascii="Bookman Old Style" w:cs="Bookman Old Style" w:eastAsia="Bookman Old Style" w:hAnsi="Bookman Old Style"/>
          <w:sz w:val="24"/>
          <w:szCs w:val="24"/>
        </w:rPr>
        <w:t xml:space="preserve">The two-level hierarchical policy decomposes the agent decision problem as follows. The high-level policy pi_H maps the global state and time step to a macro-goal assignment vector:</w:t>
      </w:r>
    </w:p>
    <w:p>
      <w:pPr>
        <w:tabs>
          <w:tab w:val="right" w:pos="9026"/>
        </w:tabs>
        <w:spacing w:after="240" w:before="240" w:line="276" w:lineRule="auto"/>
        <w:jc w:val="center"/>
      </w:pPr>
      <w:r>
        <w:rPr>
          <w:rFonts w:ascii="Bookman Old Style" w:cs="Bookman Old Style" w:eastAsia="Bookman Old Style" w:hAnsi="Bookman Old Style"/>
          <w:i/>
          <w:iCs/>
          <w:sz w:val="24"/>
          <w:szCs w:val="24"/>
        </w:rPr>
        <w:t xml:space="preserve">g</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i/>
          <w:iCs/>
          <w:sz w:val="24"/>
          <w:szCs w:val="24"/>
        </w:rPr>
        <w:t xml:space="preserve"> = pi</w:t>
      </w:r>
      <w:r>
        <w:rPr>
          <w:rFonts w:ascii="Bookman Old Style" w:cs="Bookman Old Style" w:eastAsia="Bookman Old Style" w:hAnsi="Bookman Old Style"/>
          <w:sz w:val="24"/>
          <w:szCs w:val="24"/>
          <w:vertAlign w:val="subscript"/>
        </w:rPr>
        <w:t xml:space="preserve">H</w:t>
      </w:r>
      <w:r>
        <w:rPr>
          <w:rFonts w:ascii="Bookman Old Style" w:cs="Bookman Old Style" w:eastAsia="Bookman Old Style" w:hAnsi="Bookman Old Style"/>
          <w:sz w:val="24"/>
          <w:szCs w:val="24"/>
        </w:rPr>
        <w:t xml:space="preserve">(s</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i)</w:t>
      </w:r>
      <w:r>
        <w:rPr>
          <w:rFonts w:ascii="Bookman Old Style" w:cs="Bookman Old Style" w:eastAsia="Bookman Old Style" w:hAnsi="Bookman Old Style"/>
          <w:b/>
          <w:bCs/>
          <w:sz w:val="24"/>
          <w:szCs w:val="24"/>
        </w:rPr>
        <w:t xml:space="preserve">	(3.1)</w:t>
      </w:r>
    </w:p>
    <w:p>
      <w:pPr>
        <w:spacing w:after="180" w:line="276" w:lineRule="auto"/>
        <w:jc w:val="both"/>
      </w:pPr>
      <w:r>
        <w:rPr>
          <w:rFonts w:ascii="Bookman Old Style" w:cs="Bookman Old Style" w:eastAsia="Bookman Old Style" w:hAnsi="Bookman Old Style"/>
          <w:sz w:val="24"/>
          <w:szCs w:val="24"/>
        </w:rPr>
        <w:t xml:space="preserve">where g_i is the macro-goal assigned to agent i at global time step t. The low-level policy pi_L maps the local observation and macro-goal assignment to a primitive action:</w:t>
      </w:r>
    </w:p>
    <w:p>
      <w:pPr>
        <w:tabs>
          <w:tab w:val="right" w:pos="9026"/>
        </w:tabs>
        <w:spacing w:after="240" w:before="240" w:line="276" w:lineRule="auto"/>
        <w:jc w:val="center"/>
      </w:pP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i,t</w:t>
      </w:r>
      <w:r>
        <w:rPr>
          <w:rFonts w:ascii="Bookman Old Style" w:cs="Bookman Old Style" w:eastAsia="Bookman Old Style" w:hAnsi="Bookman Old Style"/>
          <w:i/>
          <w:iCs/>
          <w:sz w:val="24"/>
          <w:szCs w:val="24"/>
        </w:rPr>
        <w:t xml:space="preserve"> = pi</w:t>
      </w:r>
      <w:r>
        <w:rPr>
          <w:rFonts w:ascii="Bookman Old Style" w:cs="Bookman Old Style" w:eastAsia="Bookman Old Style" w:hAnsi="Bookman Old Style"/>
          <w:sz w:val="24"/>
          <w:szCs w:val="24"/>
          <w:vertAlign w:val="subscript"/>
        </w:rPr>
        <w:t xml:space="preserve">L</w:t>
      </w:r>
      <w:r>
        <w:rPr>
          <w:rFonts w:ascii="Bookman Old Style" w:cs="Bookman Old Style" w:eastAsia="Bookman Old Style" w:hAnsi="Bookman Old Style"/>
          <w:sz w:val="24"/>
          <w:szCs w:val="24"/>
        </w:rPr>
        <w:t xml:space="preserve">(o</w:t>
      </w:r>
      <w:r>
        <w:rPr>
          <w:rFonts w:ascii="Bookman Old Style" w:cs="Bookman Old Style" w:eastAsia="Bookman Old Style" w:hAnsi="Bookman Old Style"/>
          <w:sz w:val="24"/>
          <w:szCs w:val="24"/>
          <w:vertAlign w:val="subscript"/>
        </w:rPr>
        <w:t xml:space="preserve">i,t</w:t>
      </w:r>
      <w:r>
        <w:rPr>
          <w:rFonts w:ascii="Bookman Old Style" w:cs="Bookman Old Style" w:eastAsia="Bookman Old Style" w:hAnsi="Bookman Old Style"/>
          <w:sz w:val="24"/>
          <w:szCs w:val="24"/>
        </w:rPr>
        <w:t xml:space="preserve">, g</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b/>
          <w:bCs/>
          <w:sz w:val="24"/>
          <w:szCs w:val="24"/>
        </w:rPr>
        <w:t xml:space="preserve">	(3.2)</w:t>
      </w:r>
    </w:p>
    <w:p>
      <w:pPr>
        <w:spacing w:after="180" w:line="276" w:lineRule="auto"/>
        <w:jc w:val="both"/>
      </w:pPr>
      <w:r>
        <w:rPr>
          <w:rFonts w:ascii="Bookman Old Style" w:cs="Bookman Old Style" w:eastAsia="Bookman Old Style" w:hAnsi="Bookman Old Style"/>
          <w:sz w:val="24"/>
          <w:szCs w:val="24"/>
        </w:rPr>
        <w:t xml:space="preserve">where o_i,t is the local observation of agent i at time step t, and a_i,t is the selected primitive action. The cumulative episode reward is:</w:t>
      </w:r>
    </w:p>
    <w:p>
      <w:pPr>
        <w:tabs>
          <w:tab w:val="right" w:pos="9026"/>
        </w:tabs>
        <w:spacing w:after="240" w:before="240" w:line="276" w:lineRule="auto"/>
        <w:jc w:val="center"/>
      </w:pP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vertAlign w:val="subscript"/>
        </w:rPr>
        <w:t xml:space="preserve">total</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sz w:val="28"/>
          <w:szCs w:val="28"/>
        </w:rPr>
        <w:t xml:space="preserve">∑</w:t>
      </w:r>
      <w:r>
        <w:rPr>
          <w:rFonts w:ascii="Bookman Old Style" w:cs="Bookman Old Style" w:eastAsia="Bookman Old Style" w:hAnsi="Bookman Old Style"/>
          <w:sz w:val="18"/>
          <w:szCs w:val="18"/>
          <w:vertAlign w:val="subscript"/>
        </w:rPr>
        <w:t xml:space="preserve">t=0</w:t>
      </w:r>
      <w:r>
        <w:rPr>
          <w:rFonts w:ascii="Bookman Old Style" w:cs="Bookman Old Style" w:eastAsia="Bookman Old Style" w:hAnsi="Bookman Old Style"/>
          <w:sz w:val="18"/>
          <w:szCs w:val="18"/>
          <w:vertAlign w:val="superscript"/>
        </w:rPr>
        <w:t xml:space="preserve">T</w:t>
      </w:r>
      <w:r>
        <w:rPr>
          <w:rFonts w:ascii="Bookman Old Style" w:cs="Bookman Old Style" w:eastAsia="Bookman Old Style" w:hAnsi="Bookman Old Style"/>
          <w:i/>
          <w:iCs/>
          <w:sz w:val="24"/>
          <w:szCs w:val="24"/>
        </w:rPr>
        <w:t xml:space="preserve"> γ</w:t>
      </w:r>
      <w:r>
        <w:rPr>
          <w:rFonts w:ascii="Bookman Old Style" w:cs="Bookman Old Style" w:eastAsia="Bookman Old Style" w:hAnsi="Bookman Old Style"/>
          <w:sz w:val="24"/>
          <w:szCs w:val="24"/>
          <w:vertAlign w:val="superscript"/>
        </w:rPr>
        <w:t xml:space="preserve">t</w:t>
      </w:r>
      <w:r>
        <w:rPr>
          <w:rFonts w:ascii="Bookman Old Style" w:cs="Bookman Old Style" w:eastAsia="Bookman Old Style" w:hAnsi="Bookman Old Style"/>
          <w:sz w:val="24"/>
          <w:szCs w:val="24"/>
        </w:rPr>
        <w:t xml:space="preserve"> ⋅ r</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b/>
          <w:bCs/>
          <w:sz w:val="24"/>
          <w:szCs w:val="24"/>
        </w:rPr>
        <w:t xml:space="preserve">	(3.3)</w:t>
      </w:r>
    </w:p>
    <w:p>
      <w:pPr>
        <w:pStyle w:val="Heading3"/>
        <w:spacing w:after="100" w:before="200"/>
      </w:pPr>
      <w:r>
        <w:rPr>
          <w:rFonts w:ascii="Bookman Old Style" w:cs="Bookman Old Style" w:eastAsia="Bookman Old Style" w:hAnsi="Bookman Old Style"/>
          <w:b/>
          <w:bCs/>
          <w:sz w:val="24"/>
          <w:szCs w:val="24"/>
        </w:rPr>
        <w:t xml:space="preserve">3.7.3 Saliency Attribution for Explainability</w:t>
      </w:r>
    </w:p>
    <w:p>
      <w:pPr>
        <w:spacing w:after="180" w:line="276" w:lineRule="auto"/>
        <w:jc w:val="both"/>
      </w:pPr>
      <w:r>
        <w:rPr>
          <w:rFonts w:ascii="Bookman Old Style" w:cs="Bookman Old Style" w:eastAsia="Bookman Old Style" w:hAnsi="Bookman Old Style"/>
          <w:sz w:val="24"/>
          <w:szCs w:val="24"/>
        </w:rPr>
        <w:t xml:space="preserve">The saliency attribution for each agent decision is computed using gradient-based sensitivity analysis. For the low-level policy network pi_L parameterized by theta, the saliency of local observation feature o_j for the selected action a* is defined as:</w:t>
      </w:r>
    </w:p>
    <w:p>
      <w:pPr>
        <w:tabs>
          <w:tab w:val="right" w:pos="9026"/>
        </w:tabs>
        <w:spacing w:after="240" w:before="240" w:line="276" w:lineRule="auto"/>
        <w:jc w:val="center"/>
      </w:pPr>
      <w:r>
        <w:rPr>
          <w:rFonts w:ascii="Bookman Old Style" w:cs="Bookman Old Style" w:eastAsia="Bookman Old Style" w:hAnsi="Bookman Old Style"/>
          <w:sz w:val="24"/>
          <w:szCs w:val="24"/>
        </w:rPr>
        <w:t xml:space="preserve">Sal(o</w:t>
      </w:r>
      <w:r>
        <w:rPr>
          <w:rFonts w:ascii="Bookman Old Style" w:cs="Bookman Old Style" w:eastAsia="Bookman Old Style" w:hAnsi="Bookman Old Style"/>
          <w:sz w:val="24"/>
          <w:szCs w:val="24"/>
          <w:vertAlign w:val="subscript"/>
        </w:rPr>
        <w:t xml:space="preserve">j</w:t>
      </w:r>
      <w:r>
        <w:rPr>
          <w:rFonts w:ascii="Bookman Old Style" w:cs="Bookman Old Style" w:eastAsia="Bookman Old Style" w:hAnsi="Bookman Old Style"/>
          <w:i/>
          <w:iCs/>
          <w:sz w:val="24"/>
          <w:szCs w:val="24"/>
        </w:rPr>
        <w:t xml:space="preserve">, a*) = | ∂ log pi</w:t>
      </w:r>
      <w:r>
        <w:rPr>
          <w:rFonts w:ascii="Bookman Old Style" w:cs="Bookman Old Style" w:eastAsia="Bookman Old Style" w:hAnsi="Bookman Old Style"/>
          <w:sz w:val="24"/>
          <w:szCs w:val="24"/>
          <w:vertAlign w:val="subscript"/>
        </w:rPr>
        <w:t xml:space="preserve">L</w:t>
      </w:r>
      <w:r>
        <w:rPr>
          <w:rFonts w:ascii="Bookman Old Style" w:cs="Bookman Old Style" w:eastAsia="Bookman Old Style" w:hAnsi="Bookman Old Style"/>
          <w:sz w:val="24"/>
          <w:szCs w:val="24"/>
        </w:rPr>
        <w:t xml:space="preserve">(a* | o) / ∂ o</w:t>
      </w:r>
      <w:r>
        <w:rPr>
          <w:rFonts w:ascii="Bookman Old Style" w:cs="Bookman Old Style" w:eastAsia="Bookman Old Style" w:hAnsi="Bookman Old Style"/>
          <w:sz w:val="24"/>
          <w:szCs w:val="24"/>
          <w:vertAlign w:val="subscript"/>
        </w:rPr>
        <w:t xml:space="preserve">j</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b/>
          <w:bCs/>
          <w:sz w:val="24"/>
          <w:szCs w:val="24"/>
        </w:rPr>
        <w:t xml:space="preserve">	(3.4)</w:t>
      </w:r>
    </w:p>
    <w:p>
      <w:pPr>
        <w:spacing w:after="180" w:line="276" w:lineRule="auto"/>
        <w:jc w:val="both"/>
      </w:pPr>
      <w:r>
        <w:rPr>
          <w:rFonts w:ascii="Bookman Old Style" w:cs="Bookman Old Style" w:eastAsia="Bookman Old Style" w:hAnsi="Bookman Old Style"/>
          <w:sz w:val="24"/>
          <w:szCs w:val="24"/>
        </w:rPr>
        <w:t xml:space="preserve">The normalized attribution score for feature j is:</w:t>
      </w:r>
    </w:p>
    <w:p>
      <w:pPr>
        <w:tabs>
          <w:tab w:val="right" w:pos="9026"/>
        </w:tabs>
        <w:spacing w:after="240" w:before="240" w:line="276" w:lineRule="auto"/>
        <w:jc w:val="center"/>
      </w:pPr>
      <w:r>
        <w:rPr>
          <w:rFonts w:ascii="Bookman Old Style" w:cs="Bookman Old Style" w:eastAsia="Bookman Old Style" w:hAnsi="Bookman Old Style"/>
          <w:sz w:val="24"/>
          <w:szCs w:val="24"/>
        </w:rPr>
        <w:t xml:space="preserve">Attr(o</w:t>
      </w:r>
      <w:r>
        <w:rPr>
          <w:rFonts w:ascii="Bookman Old Style" w:cs="Bookman Old Style" w:eastAsia="Bookman Old Style" w:hAnsi="Bookman Old Style"/>
          <w:sz w:val="24"/>
          <w:szCs w:val="24"/>
          <w:vertAlign w:val="subscript"/>
        </w:rPr>
        <w:t xml:space="preserve">j</w:t>
      </w:r>
      <w:r>
        <w:rPr>
          <w:rFonts w:ascii="Bookman Old Style" w:cs="Bookman Old Style" w:eastAsia="Bookman Old Style" w:hAnsi="Bookman Old Style"/>
          <w:sz w:val="24"/>
          <w:szCs w:val="24"/>
        </w:rPr>
        <w:t xml:space="preserve">) = Sal(o</w:t>
      </w:r>
      <w:r>
        <w:rPr>
          <w:rFonts w:ascii="Bookman Old Style" w:cs="Bookman Old Style" w:eastAsia="Bookman Old Style" w:hAnsi="Bookman Old Style"/>
          <w:sz w:val="24"/>
          <w:szCs w:val="24"/>
          <w:vertAlign w:val="subscript"/>
        </w:rPr>
        <w:t xml:space="preserve">j</w:t>
      </w:r>
      <w:r>
        <w:rPr>
          <w:rFonts w:ascii="Bookman Old Style" w:cs="Bookman Old Style" w:eastAsia="Bookman Old Style" w:hAnsi="Bookman Old Style"/>
          <w:sz w:val="24"/>
          <w:szCs w:val="24"/>
        </w:rPr>
        <w:t xml:space="preserve">, a*) / ∑</w:t>
      </w:r>
      <w:r>
        <w:rPr>
          <w:rFonts w:ascii="Bookman Old Style" w:cs="Bookman Old Style" w:eastAsia="Bookman Old Style" w:hAnsi="Bookman Old Style"/>
          <w:sz w:val="18"/>
          <w:szCs w:val="18"/>
          <w:vertAlign w:val="subscript"/>
        </w:rPr>
        <w:t xml:space="preserve">k</w:t>
      </w:r>
      <w:r>
        <w:rPr>
          <w:rFonts w:ascii="Bookman Old Style" w:cs="Bookman Old Style" w:eastAsia="Bookman Old Style" w:hAnsi="Bookman Old Style"/>
          <w:sz w:val="24"/>
          <w:szCs w:val="24"/>
        </w:rPr>
        <w:t xml:space="preserve"> Sal(o</w:t>
      </w:r>
      <w:r>
        <w:rPr>
          <w:rFonts w:ascii="Bookman Old Style" w:cs="Bookman Old Style" w:eastAsia="Bookman Old Style" w:hAnsi="Bookman Old Style"/>
          <w:sz w:val="24"/>
          <w:szCs w:val="24"/>
          <w:vertAlign w:val="subscript"/>
        </w:rPr>
        <w:t xml:space="preserve">k</w:t>
      </w:r>
      <w:r>
        <w:rPr>
          <w:rFonts w:ascii="Bookman Old Style" w:cs="Bookman Old Style" w:eastAsia="Bookman Old Style" w:hAnsi="Bookman Old Style"/>
          <w:sz w:val="24"/>
          <w:szCs w:val="24"/>
        </w:rPr>
        <w:t xml:space="preserve">, a*)</w:t>
      </w:r>
      <w:r>
        <w:rPr>
          <w:rFonts w:ascii="Bookman Old Style" w:cs="Bookman Old Style" w:eastAsia="Bookman Old Style" w:hAnsi="Bookman Old Style"/>
          <w:b/>
          <w:bCs/>
          <w:sz w:val="24"/>
          <w:szCs w:val="24"/>
        </w:rPr>
        <w:t xml:space="preserve">	(3.5)</w:t>
      </w:r>
    </w:p>
    <w:p>
      <w:pPr>
        <w:spacing w:after="180" w:line="276" w:lineRule="auto"/>
        <w:jc w:val="both"/>
      </w:pPr>
      <w:r>
        <w:rPr>
          <w:rFonts w:ascii="Bookman Old Style" w:cs="Bookman Old Style" w:eastAsia="Bookman Old Style" w:hAnsi="Bookman Old Style"/>
          <w:sz w:val="24"/>
          <w:szCs w:val="24"/>
        </w:rPr>
        <w:t xml:space="preserve">The top-k attributed features (k=3) are used to construct the human-readable primitive action justification. The faithfulness of the attribution is measured by the Insertion Metric: the degradation in action log-probability when the top-k features are masked from the input, averaged over all decisions in the evaluation episode set.</w:t>
      </w:r>
    </w:p>
    <w:p>
      <w:pPr>
        <w:pStyle w:val="Heading3"/>
        <w:spacing w:after="100" w:before="200"/>
      </w:pPr>
      <w:r>
        <w:rPr>
          <w:rFonts w:ascii="Bookman Old Style" w:cs="Bookman Old Style" w:eastAsia="Bookman Old Style" w:hAnsi="Bookman Old Style"/>
          <w:b/>
          <w:bCs/>
          <w:sz w:val="24"/>
          <w:szCs w:val="24"/>
        </w:rPr>
        <w:t xml:space="preserve">3.7.4 PPO Policy Gradient Update</w:t>
      </w:r>
    </w:p>
    <w:p>
      <w:pPr>
        <w:spacing w:after="180" w:line="276" w:lineRule="auto"/>
        <w:jc w:val="both"/>
      </w:pPr>
      <w:r>
        <w:rPr>
          <w:rFonts w:ascii="Bookman Old Style" w:cs="Bookman Old Style" w:eastAsia="Bookman Old Style" w:hAnsi="Bookman Old Style"/>
          <w:sz w:val="24"/>
          <w:szCs w:val="24"/>
        </w:rPr>
        <w:t xml:space="preserve">Policy network parameters are optimized using the Proximal Policy Optimisation (PPO) algorithm with clipped surrogate objective:</w:t>
      </w:r>
    </w:p>
    <w:p>
      <w:pPr>
        <w:tabs>
          <w:tab w:val="right" w:pos="9026"/>
        </w:tabs>
        <w:spacing w:after="240" w:before="240" w:line="276" w:lineRule="auto"/>
        <w:jc w:val="center"/>
      </w:pPr>
      <w:r>
        <w:rPr>
          <w:rFonts w:ascii="Bookman Old Style" w:cs="Bookman Old Style" w:eastAsia="Bookman Old Style" w:hAnsi="Bookman Old Style"/>
          <w:i/>
          <w:iCs/>
          <w:sz w:val="24"/>
          <w:szCs w:val="24"/>
        </w:rPr>
        <w:t xml:space="preserve">L</w:t>
      </w:r>
      <w:r>
        <w:rPr>
          <w:rFonts w:ascii="Bookman Old Style" w:cs="Bookman Old Style" w:eastAsia="Bookman Old Style" w:hAnsi="Bookman Old Style"/>
          <w:sz w:val="24"/>
          <w:szCs w:val="24"/>
          <w:vertAlign w:val="subscript"/>
        </w:rPr>
        <w:t xml:space="preserve">CLIP</w:t>
      </w:r>
      <w:r>
        <w:rPr>
          <w:rFonts w:ascii="Bookman Old Style" w:cs="Bookman Old Style" w:eastAsia="Bookman Old Style" w:hAnsi="Bookman Old Style"/>
          <w:sz w:val="24"/>
          <w:szCs w:val="24"/>
        </w:rPr>
        <w:t xml:space="preserve">(θ) = ᵓE</w:t>
      </w:r>
      <w:r>
        <w:rPr>
          <w:rFonts w:ascii="Bookman Old Style" w:cs="Bookman Old Style" w:eastAsia="Bookman Old Style" w:hAnsi="Bookman Old Style"/>
          <w:sz w:val="18"/>
          <w:szCs w:val="18"/>
          <w:vertAlign w:val="subscript"/>
        </w:rPr>
        <w:t xml:space="preserve">t</w:t>
      </w:r>
      <w:r>
        <w:rPr>
          <w:rFonts w:ascii="Bookman Old Style" w:cs="Bookman Old Style" w:eastAsia="Bookman Old Style" w:hAnsi="Bookman Old Style"/>
          <w:sz w:val="24"/>
          <w:szCs w:val="24"/>
        </w:rPr>
        <w:t xml:space="preserve"> [ min ( r</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(θ) ⋅ A</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clip(r</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(θ), 1-ε, 1+ε) ⋅ A</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b/>
          <w:bCs/>
          <w:sz w:val="24"/>
          <w:szCs w:val="24"/>
        </w:rPr>
        <w:t xml:space="preserve">	(3.6)</w:t>
      </w:r>
    </w:p>
    <w:p>
      <w:pPr>
        <w:spacing w:after="180" w:line="276" w:lineRule="auto"/>
        <w:jc w:val="both"/>
      </w:pPr>
      <w:r>
        <w:rPr>
          <w:rFonts w:ascii="Bookman Old Style" w:cs="Bookman Old Style" w:eastAsia="Bookman Old Style" w:hAnsi="Bookman Old Style"/>
          <w:sz w:val="24"/>
          <w:szCs w:val="24"/>
        </w:rPr>
        <w:t xml:space="preserve">where r_t(theta) = pi_theta(a_t | o_t) / pi_theta_old(a_t | o_t) is the probability ratio between new and old policies, A_t is the Generalised Advantage Estimate, and epsilon=0.2 is the clipping parameter.</w:t>
      </w:r>
    </w:p>
    <w:p>
      <w:pPr>
        <w:pStyle w:val="Heading2"/>
        <w:spacing w:after="160" w:before="320"/>
      </w:pPr>
      <w:r>
        <w:rPr>
          <w:rFonts w:ascii="Bookman Old Style" w:cs="Bookman Old Style" w:eastAsia="Bookman Old Style" w:hAnsi="Bookman Old Style"/>
          <w:b/>
          <w:bCs/>
          <w:sz w:val="28"/>
          <w:szCs w:val="28"/>
        </w:rPr>
        <w:t xml:space="preserve">3.8 Technologies Used</w:t>
      </w:r>
    </w:p>
    <w:p>
      <w:pPr>
        <w:spacing w:after="180" w:line="276" w:lineRule="auto"/>
        <w:jc w:val="both"/>
      </w:pPr>
      <w:r>
        <w:rPr>
          <w:rFonts w:ascii="Bookman Old Style" w:cs="Bookman Old Style" w:eastAsia="Bookman Old Style" w:hAnsi="Bookman Old Style"/>
          <w:sz w:val="24"/>
          <w:szCs w:val="24"/>
        </w:rPr>
        <w:t xml:space="preserve">The EMARL-SAR framework is implemented using the following primary technologies. Python 3.9 serves as the primary programming language. PyTorch 2.0 provides the deep learning and automatic differentiation foundation for all neural network policy implementations, gradient saliency computation, and policy gradient updates. PettingZoo 1.22 provides the multi-agent simulation environment API, implementing the Parallel Environment interface for synchronous multi-agent step execution. NumPy 1.24 provides the numerical computing substrate for grid state manipulation, observation preprocessing, and metric computation. Matplotlib 3.7 provides the grid visualization rendering for the Streamlit dashboard. Streamlit 1.25 provides the web-based dashboard framework for live simulation and explanation visualization. SHAP 0.42 provides the GradientSHAP implementation used for attribution computation validation. scikit-learn 1.3 provides decision tree extraction utilities for auxiliary policy interpretability analysis.</w:t>
      </w:r>
    </w:p>
    <w:p>
      <w:pPr>
        <w:pStyle w:val="Heading2"/>
        <w:spacing w:after="160" w:before="320"/>
      </w:pPr>
      <w:r>
        <w:rPr>
          <w:rFonts w:ascii="Bookman Old Style" w:cs="Bookman Old Style" w:eastAsia="Bookman Old Style" w:hAnsi="Bookman Old Style"/>
          <w:b/>
          <w:bCs/>
          <w:sz w:val="28"/>
          <w:szCs w:val="28"/>
        </w:rPr>
        <w:t xml:space="preserve">3.9 Hardware and Software Requirements</w:t>
      </w:r>
    </w:p>
    <w:p>
      <w:pPr>
        <w:spacing w:after="180" w:line="276" w:lineRule="auto"/>
        <w:jc w:val="both"/>
      </w:pPr>
      <w:r>
        <w:rPr>
          <w:rFonts w:ascii="Bookman Old Style" w:cs="Bookman Old Style" w:eastAsia="Bookman Old Style" w:hAnsi="Bookman Old Style"/>
          <w:sz w:val="24"/>
          <w:szCs w:val="24"/>
        </w:rPr>
        <w:t xml:space="preserve">Table 3.1 and Table 3.2 specify the software and hardware requirements for the EMARL-SAR framework.</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5846"/>
      </w:tblGrid>
      <w:tr>
        <w:tc>
          <w:tcPr>
            <w:tcW w:type="dxa" w:w="3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Component</w:t>
            </w:r>
          </w:p>
        </w:tc>
        <w:tc>
          <w:tcPr>
            <w:tcW w:type="dxa" w:w="58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Specification</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Operating System</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Windows 10 / Ubuntu 20.04 LTS or later</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Programming Language</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Python 3.9+</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Deep Learning Framework</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PyTorch 2.0 (CUDA 11.7 optional)</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Multi-Agent Environment</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PettingZoo 1.22+ (Parallel API)</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Visualization Dashboard</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Streamlit 1.25+</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Scientific Computing</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NumPy 1.24+, SciPy 1.10+</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Explainability Libraries</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SHAP 0.42+, scikit-learn 1.3+</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Visualization</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Matplotlib 3.7+</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3.1: Software Requirements for the EMARL-SAR Framework</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5846"/>
      </w:tblGrid>
      <w:tr>
        <w:tc>
          <w:tcPr>
            <w:tcW w:type="dxa" w:w="3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Component</w:t>
            </w:r>
          </w:p>
        </w:tc>
        <w:tc>
          <w:tcPr>
            <w:tcW w:type="dxa" w:w="58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Specification</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Processor</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Intel Core i5 / AMD Ryzen 5 (6 cores, 2.5 GHz+)</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GPU (for training)</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NVIDIA RTX 3060 or Google Colab T4 GPU (free)</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RAM</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16 GB DDR4 (minimum 8 GB)</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Storage</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50 GB SSD (for episode logs and model checkpoints)</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3.2: Hardware Requirements for the EMARL-SAR Framework</w:t>
      </w:r>
    </w:p>
    <w:p>
      <w:pPr>
        <w:pStyle w:val="Heading2"/>
        <w:spacing w:after="160" w:before="320"/>
      </w:pPr>
      <w:r>
        <w:rPr>
          <w:rFonts w:ascii="Bookman Old Style" w:cs="Bookman Old Style" w:eastAsia="Bookman Old Style" w:hAnsi="Bookman Old Style"/>
          <w:b/>
          <w:bCs/>
          <w:sz w:val="28"/>
          <w:szCs w:val="28"/>
        </w:rPr>
        <w:t xml:space="preserve">3.10 Summary</w:t>
      </w:r>
    </w:p>
    <w:p>
      <w:pPr>
        <w:spacing w:after="180" w:line="276" w:lineRule="auto"/>
        <w:jc w:val="both"/>
      </w:pPr>
      <w:r>
        <w:rPr>
          <w:rFonts w:ascii="Bookman Old Style" w:cs="Bookman Old Style" w:eastAsia="Bookman Old Style" w:hAnsi="Bookman Old Style"/>
          <w:sz w:val="24"/>
          <w:szCs w:val="24"/>
        </w:rPr>
        <w:t xml:space="preserve">This chapter has presented a comprehensive technical description of the EMARL-SAR framework, covering the dynamic grid environment design, the two-level hierarchical reinforcement learning policy architecture, the Explainability Engine, the system data flow and activity diagrams, the mathematical formalization of the hierarchical policies and attribution model, the implementation technologies, and the hardware and software requirements. The proposed framework represents a complete integrated solution to the three primary challenges identified in the problem statement: scalability through hierarchical task decomposition, adaptivity through learned policy optimization, and transparency through real-time explanation generation. The following chapter presents the experimental evaluation of the framework.</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CHAPTER 4</w:t>
      </w:r>
    </w:p>
    <w:p>
      <w:pPr>
        <w:spacing w:after="400"/>
        <w:jc w:val="center"/>
      </w:pPr>
      <w:r>
        <w:rPr>
          <w:rFonts w:ascii="Bookman Old Style" w:cs="Bookman Old Style" w:eastAsia="Bookman Old Style" w:hAnsi="Bookman Old Style"/>
          <w:b/>
          <w:bCs/>
          <w:i w:val="false"/>
          <w:iCs w:val="false"/>
          <w:sz w:val="32"/>
          <w:szCs w:val="32"/>
        </w:rPr>
        <w:t xml:space="preserve">IMPLEMENTATION AND EXPERIMENTAL RESULTS</w:t>
      </w:r>
    </w:p>
    <w:p>
      <w:pPr>
        <w:pStyle w:val="Heading2"/>
        <w:spacing w:after="160" w:before="320"/>
      </w:pPr>
      <w:r>
        <w:rPr>
          <w:rFonts w:ascii="Bookman Old Style" w:cs="Bookman Old Style" w:eastAsia="Bookman Old Style" w:hAnsi="Bookman Old Style"/>
          <w:b/>
          <w:bCs/>
          <w:sz w:val="28"/>
          <w:szCs w:val="28"/>
        </w:rPr>
        <w:t xml:space="preserve">4.1 Introduction</w:t>
      </w:r>
    </w:p>
    <w:p>
      <w:pPr>
        <w:spacing w:after="180" w:line="276" w:lineRule="auto"/>
        <w:jc w:val="both"/>
      </w:pPr>
      <w:r>
        <w:rPr>
          <w:rFonts w:ascii="Bookman Old Style" w:cs="Bookman Old Style" w:eastAsia="Bookman Old Style" w:hAnsi="Bookman Old Style"/>
          <w:sz w:val="24"/>
          <w:szCs w:val="24"/>
        </w:rPr>
        <w:t xml:space="preserve">This chapter presents the complete implementation of the EMARL-SAR framework and the results of its experimental evaluation. The chapter begins with a description of the experimental setup, covering the simulation environment configuration, training protocol, and hyperparameter settings. The dataset generation procedure is described, detailing the characteristics of the SAR scenarios used for training and evaluation. Implementation details of the key algorithmic components are presented, including the network architectures, training procedures, and explanation generation mechanisms. Experimental results are reported through multiple quantitative metrics, analyzed in comparison with baseline approaches, and interpreted in the context of the research objectives.</w:t>
      </w:r>
    </w:p>
    <w:p>
      <w:pPr>
        <w:pStyle w:val="Heading2"/>
        <w:spacing w:after="160" w:before="320"/>
      </w:pPr>
      <w:r>
        <w:rPr>
          <w:rFonts w:ascii="Bookman Old Style" w:cs="Bookman Old Style" w:eastAsia="Bookman Old Style" w:hAnsi="Bookman Old Style"/>
          <w:b/>
          <w:bCs/>
          <w:sz w:val="28"/>
          <w:szCs w:val="28"/>
        </w:rPr>
        <w:t xml:space="preserve">4.2 Experimental Setup</w:t>
      </w:r>
    </w:p>
    <w:p>
      <w:pPr>
        <w:spacing w:after="180" w:line="276" w:lineRule="auto"/>
        <w:jc w:val="both"/>
      </w:pPr>
      <w:r>
        <w:rPr>
          <w:rFonts w:ascii="Bookman Old Style" w:cs="Bookman Old Style" w:eastAsia="Bookman Old Style" w:hAnsi="Bookman Old Style"/>
          <w:sz w:val="24"/>
          <w:szCs w:val="24"/>
        </w:rPr>
        <w:t xml:space="preserve">The experimental evaluation was conducted within the EMARL-SAR dynamic grid simulation environment configured for a 20×20 disaster zone. The training configuration deploys N=4 agents (3 reconnaissance drones: A1_Drone, A2_Drone, A3_Drone, and 1 path-clearing robot: A4_Robot) within the grid, with V=5 randomly placed victims and H=3 initial hazard cells per episode. The episode length is set to a maximum of 500 time steps, with early termination triggered by successful rescue of all victims or battery depletion of all agents.</w:t>
      </w:r>
    </w:p>
    <w:p>
      <w:pPr>
        <w:spacing w:after="180" w:line="276" w:lineRule="auto"/>
        <w:jc w:val="both"/>
      </w:pPr>
      <w:r>
        <w:rPr>
          <w:rFonts w:ascii="Bookman Old Style" w:cs="Bookman Old Style" w:eastAsia="Bookman Old Style" w:hAnsi="Bookman Old Style"/>
          <w:sz w:val="24"/>
          <w:szCs w:val="24"/>
        </w:rPr>
        <w:t xml:space="preserve">The training process spans 2,000 episodes, with high-level policy updates performed every K=10 episodes and low-level policy updates performed at the conclusion of every episode. Table 4.1 summarizes the hyperparameter configuration.</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500"/>
        <w:gridCol w:w="5346"/>
      </w:tblGrid>
      <w:tr>
        <w:tc>
          <w:tcPr>
            <w:tcW w:type="dxa" w:w="3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Hyperparameter</w:t>
            </w:r>
          </w:p>
        </w:tc>
        <w:tc>
          <w:tcPr>
            <w:tcW w:type="dxa" w:w="53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Value</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Training Episodes</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2,000</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High-Level Policy Update Frequency</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Every 10 episodes</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Policy Update Frequency</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Every episode</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Learning Rate (HLP)</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 × 10⁻⁴</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Learning Rate (LLP)</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 × 10⁻³</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Discount Factor (gamma)</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0.99</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GAE Lambda</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0.95</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PPO Clipping Parameter (epsilon)</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0.2</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Mini-Batch Size</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Macro-Goal Duration (K steps)</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10 time steps</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Neural Network Hidden Dimensions</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[512, 256, 128] (HLP), [256, 128] (LLP)</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Battery Capacity</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200 action steps</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Hazard Propagation Rate</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 per step per hazard cell</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4.1: Hyperparameter Configuration for HRL Policy Training</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Four baseline methods are used for comparative evaluation: (1) Random Coordination, in which agents select uniformly random actions without policy learning; (2) Single-Agent RL, a single centralized DQN agent controlling all agents simultaneously from the global state, without hierarchical decomposition; (3) Flat MARL, using the MAPPO algorithm with individual decentralised actor networks and a centralised critic, without hierarchical decomposition; and (4) HRL-only (no XAI), using the full two-level hierarchical policy architecture without the Explainability Engine. All baselines use identical environment configurations and episode budgets.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500"/>
        <w:gridCol w:w="5346"/>
      </w:tblGrid>
      <w:tr>
        <w:tc>
          <w:tcPr>
            <w:tcW w:type="dxa" w:w="3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Environment Parameter</w:t>
            </w:r>
          </w:p>
        </w:tc>
        <w:tc>
          <w:tcPr>
            <w:tcW w:type="dxa" w:w="53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Value</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Grid Size (G)</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20 × 20 cells</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Agents (N)</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 (3 Drones + 1 Robot)</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Victims (V)</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 per episode</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Initial Hazard Cells (H)</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Observation Range</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 × 5 cells (partial observability)</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Victim Survival Time Limit</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150 time steps per victim</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Maximum Episode Length</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500 time steps</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Recharge Stations</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 (fixed positions)</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4.2: Dynamic Grid Environment Configuration Parameters</w:t>
      </w:r>
    </w:p>
    <w:p>
      <w:pPr>
        <w:pStyle w:val="Heading2"/>
        <w:spacing w:after="160" w:before="320"/>
      </w:pPr>
      <w:r>
        <w:rPr>
          <w:rFonts w:ascii="Bookman Old Style" w:cs="Bookman Old Style" w:eastAsia="Bookman Old Style" w:hAnsi="Bookman Old Style"/>
          <w:b/>
          <w:bCs/>
          <w:sz w:val="28"/>
          <w:szCs w:val="28"/>
        </w:rPr>
        <w:t xml:space="preserve">4.3 Dataset Description</w:t>
      </w:r>
    </w:p>
    <w:p>
      <w:pPr>
        <w:spacing w:after="180" w:line="276" w:lineRule="auto"/>
        <w:jc w:val="both"/>
      </w:pPr>
      <w:r>
        <w:rPr>
          <w:rFonts w:ascii="Bookman Old Style" w:cs="Bookman Old Style" w:eastAsia="Bookman Old Style" w:hAnsi="Bookman Old Style"/>
          <w:sz w:val="24"/>
          <w:szCs w:val="24"/>
        </w:rPr>
        <w:t xml:space="preserve">The training and evaluation datasets are generated through episodic interaction with the EMARL-SAR dynamic grid simulation environment. Each dataset entry corresponds to a complete training episode, comprising the sequence of global grid states, per-agent local observations, macro-goal assignments, primitive action selections, reward signals, decision trace logs, and episode termination events. The dataset is partitioned into training (1,600 episodes, 80%), validation (200 episodes, 10%), and test (200 episodes, 10%) subsets.</w:t>
      </w:r>
    </w:p>
    <w:p>
      <w:pPr>
        <w:spacing w:after="180" w:line="276" w:lineRule="auto"/>
        <w:jc w:val="both"/>
      </w:pPr>
      <w:r>
        <w:rPr>
          <w:rFonts w:ascii="Bookman Old Style" w:cs="Bookman Old Style" w:eastAsia="Bookman Old Style" w:hAnsi="Bookman Old Style"/>
          <w:sz w:val="24"/>
          <w:szCs w:val="24"/>
        </w:rPr>
        <w:t xml:space="preserve">Episode diversity is ensured through randomized initial conditions: victim positions are sampled uniformly from hazard-free cells at episode initialization, hazard positions are sampled from a designated high-risk region in the grid (representing industrial or chemical zones), and agent spawn points are sampled from a designated deployment zone in the grid perimeter. This randomization ensures that the trained policies are evaluated on a representative sample of the disaster scenario distribution rather than a narrow set of memorized configurations.</w:t>
      </w:r>
    </w:p>
    <w:p>
      <w:pPr>
        <w:spacing w:after="180" w:line="276" w:lineRule="auto"/>
        <w:jc w:val="both"/>
      </w:pPr>
      <w:r>
        <w:rPr>
          <w:rFonts w:ascii="Bookman Old Style" w:cs="Bookman Old Style" w:eastAsia="Bookman Old Style" w:hAnsi="Bookman Old Style"/>
          <w:sz w:val="24"/>
          <w:szCs w:val="24"/>
        </w:rPr>
        <w:t xml:space="preserve">The binary classification labels for performance metric computation (successful vs. failed rescue coordination events) are derived from the episode trace logs. A rescue event is classified as successful if the corresponding agent completes the Interact action at the victim location within the victim's survival time limit. A rescue event is classified as failed if the victim's survival counter reaches zero before any agent executes the Interact action. The classification is performed automatically by the environment reward computation logic.</w:t>
      </w:r>
    </w:p>
    <w:p>
      <w:pPr>
        <w:spacing w:after="180" w:line="276" w:lineRule="auto"/>
        <w:jc w:val="both"/>
      </w:pPr>
      <w:r>
        <w:rPr>
          <w:rFonts w:ascii="Bookman Old Style" w:cs="Bookman Old Style" w:eastAsia="Bookman Old Style" w:hAnsi="Bookman Old Style"/>
          <w:sz w:val="24"/>
          <w:szCs w:val="24"/>
        </w:rPr>
        <w:t xml:space="preserve">The dataset encompasses three scenario difficulty categories: Simple (3 victims, no hazard propagation, 200 episodes), Standard (5 victims, 5% hazard propagation rate, 1,400 episodes), and Complex (5 victims, 8% hazard propagation rate, dynamic obstacle generation, 400 episodes). This difficulty distribution reflects realistic deployment scenarios ranging from localized incidents to large-scale disaster events.</w:t>
      </w:r>
    </w:p>
    <w:p>
      <w:pPr>
        <w:pStyle w:val="Heading2"/>
        <w:spacing w:after="160" w:before="320"/>
      </w:pPr>
      <w:r>
        <w:rPr>
          <w:rFonts w:ascii="Bookman Old Style" w:cs="Bookman Old Style" w:eastAsia="Bookman Old Style" w:hAnsi="Bookman Old Style"/>
          <w:b/>
          <w:bCs/>
          <w:sz w:val="28"/>
          <w:szCs w:val="28"/>
        </w:rPr>
        <w:t xml:space="preserve">4.4 Implementation Details</w:t>
      </w:r>
    </w:p>
    <w:p>
      <w:pPr>
        <w:spacing w:after="180" w:line="276" w:lineRule="auto"/>
        <w:jc w:val="both"/>
      </w:pPr>
      <w:r>
        <w:rPr>
          <w:rFonts w:ascii="Bookman Old Style" w:cs="Bookman Old Style" w:eastAsia="Bookman Old Style" w:hAnsi="Bookman Old Style"/>
          <w:sz w:val="24"/>
          <w:szCs w:val="24"/>
        </w:rPr>
        <w:t xml:space="preserve">The EMARL-SAR framework is implemented in Python 3.9 using PyTorch 2.0 for all neural network computation. The complete framework implementation is organized into the following Python modules: environment.py (Dynamic Grid Environment, PettingZoo Parallel API adapter), policies.py (High-Level Policy Network, Low-Level Policy Networks, embedding networks), explainability.py (Explainability Engine, saliency computation, justification generation), training.py (MAPPO training loop, advantage computation, policy update), and dashboard.py (Streamlit dashboard application).</w:t>
      </w:r>
    </w:p>
    <w:p>
      <w:pPr>
        <w:spacing w:after="180" w:line="276" w:lineRule="auto"/>
        <w:jc w:val="both"/>
      </w:pPr>
      <w:r>
        <w:rPr>
          <w:rFonts w:ascii="Bookman Old Style" w:cs="Bookman Old Style" w:eastAsia="Bookman Old Style" w:hAnsi="Bookman Old Style"/>
          <w:sz w:val="24"/>
          <w:szCs w:val="24"/>
        </w:rPr>
        <w:t xml:space="preserve">The training process was executed on Google Colab with a T4 GPU (free tier). The full 2,000-episode training run required approximately 3.5 hours. The trained policy checkpoints (HLP and LLP weights) are saved at every 100 episodes for convergence analysis. Evaluation of the trained models on the 200-episode test set required approximately 20 minutes on the same hardware configuration.</w:t>
      </w:r>
    </w:p>
    <w:p>
      <w:pPr>
        <w:spacing w:after="180" w:line="276" w:lineRule="auto"/>
        <w:jc w:val="both"/>
      </w:pPr>
      <w:r>
        <w:rPr>
          <w:rFonts w:ascii="Bookman Old Style" w:cs="Bookman Old Style" w:eastAsia="Bookman Old Style" w:hAnsi="Bookman Old Style"/>
          <w:sz w:val="24"/>
          <w:szCs w:val="24"/>
        </w:rPr>
        <w:t xml:space="preserve">The Explainability Engine was implemented as described in Section 3.5.4. The gradient saliency computation adds approximately 15% computational overhead to the forward pass of the low-level policy networks, measured as the ratio of backward pass computation time to forward pass computation time for a single decision step. This overhead is acceptable for the target decision frequency of the framework (one decision per time step at 10-50 milliseconds per step).</w:t>
      </w:r>
    </w:p>
    <w:p>
      <w:pPr>
        <w:spacing w:after="180" w:line="276" w:lineRule="auto"/>
        <w:jc w:val="both"/>
      </w:pPr>
      <w:r>
        <w:rPr>
          <w:rFonts w:ascii="Bookman Old Style" w:cs="Bookman Old Style" w:eastAsia="Bookman Old Style" w:hAnsi="Bookman Old Style"/>
          <w:sz w:val="24"/>
          <w:szCs w:val="24"/>
        </w:rPr>
        <w:t xml:space="preserve">Algorithm 1 presents the pseudocode for the complete EMARL-SAR training and explanation loop, illustrating the interaction between the Dynamic Grid Environment, the Hierarchical Policy Module, and the Explainability Engine.</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000000" w:sz="1"/>
              <w:left w:val="single" w:color="000000" w:sz="1"/>
              <w:bottom w:val="single" w:color="000000" w:sz="1"/>
              <w:right w:val="single" w:color="000000" w:sz="1"/>
            </w:tcBorders>
            <w:shd w:fill="F5F5F5" w:val="clear"/>
            <w:tcMar>
              <w:top w:type="dxa" w:w="80"/>
              <w:left w:type="dxa" w:w="120"/>
              <w:bottom w:type="dxa" w:w="80"/>
              <w:right w:type="dxa" w:w="120"/>
            </w:tcMar>
          </w:tcPr>
          <w:p>
            <w:pPr>
              <w:spacing w:after="100"/>
            </w:pPr>
            <w:r>
              <w:rPr>
                <w:rFonts w:ascii="Bookman Old Style" w:cs="Bookman Old Style" w:eastAsia="Bookman Old Style" w:hAnsi="Bookman Old Style"/>
                <w:b/>
                <w:bCs/>
                <w:sz w:val="24"/>
                <w:szCs w:val="24"/>
              </w:rPr>
              <w:t xml:space="preserve">Algorithm 1: EMARL-SAR Training and Explanation Procedure</w:t>
            </w:r>
          </w:p>
          <w:p>
            <w:pPr>
              <w:spacing w:after="60"/>
            </w:pPr>
            <w:r>
              <w:rPr>
                <w:rFonts w:ascii="Bookman Old Style" w:cs="Bookman Old Style" w:eastAsia="Bookman Old Style" w:hAnsi="Bookman Old Style"/>
                <w:sz w:val="24"/>
                <w:szCs w:val="24"/>
              </w:rPr>
              <w:t xml:space="preserve">Input: Dynamic Grid Environment E; N agents; state space S; action space A; macro-goal set G</w:t>
            </w:r>
          </w:p>
          <w:p>
            <w:pPr>
              <w:spacing w:after="100"/>
            </w:pPr>
            <w:r>
              <w:rPr>
                <w:rFonts w:ascii="Bookman Old Style" w:cs="Bookman Old Style" w:eastAsia="Bookman Old Style" w:hAnsi="Bookman Old Style"/>
                <w:sz w:val="24"/>
                <w:szCs w:val="24"/>
              </w:rPr>
              <w:t xml:space="preserve">Output: Optimised hierarchical policies {pi_H, pi_L1, ..., pi_LN} with explanation logs</w:t>
            </w:r>
          </w:p>
          <w:p>
            <w:pPr>
              <w:spacing w:after="60"/>
            </w:pPr>
            <w:r>
              <w:rPr>
                <w:rFonts w:ascii="Bookman Old Style" w:cs="Bookman Old Style" w:eastAsia="Bookman Old Style" w:hAnsi="Bookman Old Style"/>
                <w:sz w:val="24"/>
                <w:szCs w:val="24"/>
              </w:rPr>
              <w:t xml:space="preserve">1:  Initialise environment E, HLP pi_H, LLP {pi_Li}</w:t>
            </w:r>
          </w:p>
          <w:p>
            <w:pPr>
              <w:spacing w:after="60"/>
            </w:pPr>
            <w:r>
              <w:rPr>
                <w:rFonts w:ascii="Bookman Old Style" w:cs="Bookman Old Style" w:eastAsia="Bookman Old Style" w:hAnsi="Bookman Old Style"/>
                <w:b/>
                <w:bCs/>
                <w:sz w:val="24"/>
                <w:szCs w:val="24"/>
              </w:rPr>
              <w:t xml:space="preserve">2:  for episode = 1 to 2000 do</w:t>
            </w:r>
          </w:p>
          <w:p>
            <w:pPr>
              <w:spacing w:after="60"/>
            </w:pPr>
            <w:r>
              <w:rPr>
                <w:rFonts w:ascii="Bookman Old Style" w:cs="Bookman Old Style" w:eastAsia="Bookman Old Style" w:hAnsi="Bookman Old Style"/>
                <w:sz w:val="24"/>
                <w:szCs w:val="24"/>
              </w:rPr>
              <w:t xml:space="preserve">3:      s_0 = env.reset()  // Initialize random SAR scenario</w:t>
            </w:r>
          </w:p>
          <w:p>
            <w:pPr>
              <w:spacing w:after="60"/>
            </w:pPr>
            <w:r>
              <w:rPr>
                <w:rFonts w:ascii="Bookman Old Style" w:cs="Bookman Old Style" w:eastAsia="Bookman Old Style" w:hAnsi="Bookman Old Style"/>
                <w:sz w:val="24"/>
                <w:szCs w:val="24"/>
              </w:rPr>
              <w:t xml:space="preserve">4:      {g_i} = pi_H(s_0)  // HLP: Initial macro-goal assignment</w:t>
            </w:r>
          </w:p>
          <w:p>
            <w:pPr>
              <w:spacing w:after="60"/>
            </w:pPr>
            <w:r>
              <w:rPr>
                <w:rFonts w:ascii="Bookman Old Style" w:cs="Bookman Old Style" w:eastAsia="Bookman Old Style" w:hAnsi="Bookman Old Style"/>
                <w:sz w:val="24"/>
                <w:szCs w:val="24"/>
              </w:rPr>
              <w:t xml:space="preserve">5:      EE.generate_macro_justification(g_i, attention_weights)</w:t>
            </w:r>
          </w:p>
          <w:p>
            <w:pPr>
              <w:spacing w:after="60"/>
            </w:pPr>
            <w:r>
              <w:rPr>
                <w:rFonts w:ascii="Bookman Old Style" w:cs="Bookman Old Style" w:eastAsia="Bookman Old Style" w:hAnsi="Bookman Old Style"/>
                <w:b/>
                <w:bCs/>
                <w:sz w:val="24"/>
                <w:szCs w:val="24"/>
              </w:rPr>
              <w:t xml:space="preserve">6:      for t = 1 to T_max do</w:t>
            </w:r>
          </w:p>
          <w:p>
            <w:pPr>
              <w:spacing w:after="60"/>
            </w:pPr>
            <w:r>
              <w:rPr>
                <w:rFonts w:ascii="Bookman Old Style" w:cs="Bookman Old Style" w:eastAsia="Bookman Old Style" w:hAnsi="Bookman Old Style"/>
                <w:sz w:val="24"/>
                <w:szCs w:val="24"/>
              </w:rPr>
              <w:t xml:space="preserve">7:          for each agent i do</w:t>
            </w:r>
          </w:p>
          <w:p>
            <w:pPr>
              <w:spacing w:after="60"/>
            </w:pPr>
            <w:r>
              <w:rPr>
                <w:rFonts w:ascii="Bookman Old Style" w:cs="Bookman Old Style" w:eastAsia="Bookman Old Style" w:hAnsi="Bookman Old Style"/>
                <w:sz w:val="24"/>
                <w:szCs w:val="24"/>
              </w:rPr>
              <w:t xml:space="preserve">8:              o_i = env.observe(i)  // Local 5x5 observation</w:t>
            </w:r>
          </w:p>
          <w:p>
            <w:pPr>
              <w:spacing w:after="60"/>
            </w:pPr>
            <w:r>
              <w:rPr>
                <w:rFonts w:ascii="Bookman Old Style" w:cs="Bookman Old Style" w:eastAsia="Bookman Old Style" w:hAnsi="Bookman Old Style"/>
                <w:sz w:val="24"/>
                <w:szCs w:val="24"/>
              </w:rPr>
              <w:t xml:space="preserve">9:              a_i, saliency_i = pi_Li.forward_with_grad(o_i, g_i)</w:t>
            </w:r>
          </w:p>
          <w:p>
            <w:pPr>
              <w:spacing w:after="60"/>
            </w:pPr>
            <w:r>
              <w:rPr>
                <w:rFonts w:ascii="Bookman Old Style" w:cs="Bookman Old Style" w:eastAsia="Bookman Old Style" w:hAnsi="Bookman Old Style"/>
                <w:sz w:val="24"/>
                <w:szCs w:val="24"/>
              </w:rPr>
              <w:t xml:space="preserve">10:             EE.justify_action(i, g_i, a_i, saliency_i)</w:t>
            </w:r>
          </w:p>
          <w:p>
            <w:pPr>
              <w:spacing w:after="60"/>
            </w:pPr>
            <w:r>
              <w:rPr>
                <w:rFonts w:ascii="Bookman Old Style" w:cs="Bookman Old Style" w:eastAsia="Bookman Old Style" w:hAnsi="Bookman Old Style"/>
                <w:sz w:val="24"/>
                <w:szCs w:val="24"/>
              </w:rPr>
              <w:t xml:space="preserve">11:             EE.print_trace(i, g_i, a_i, t)</w:t>
            </w:r>
          </w:p>
          <w:p>
            <w:pPr>
              <w:spacing w:after="60"/>
            </w:pPr>
            <w:r>
              <w:rPr>
                <w:rFonts w:ascii="Bookman Old Style" w:cs="Bookman Old Style" w:eastAsia="Bookman Old Style" w:hAnsi="Bookman Old Style"/>
                <w:sz w:val="24"/>
                <w:szCs w:val="24"/>
              </w:rPr>
              <w:t xml:space="preserve">12:         s_t+1, {r_i}, done = env.step({a_i})</w:t>
            </w:r>
          </w:p>
          <w:p>
            <w:pPr>
              <w:spacing w:after="60"/>
            </w:pPr>
            <w:r>
              <w:rPr>
                <w:rFonts w:ascii="Bookman Old Style" w:cs="Bookman Old Style" w:eastAsia="Bookman Old Style" w:hAnsi="Bookman Old Style"/>
                <w:sz w:val="24"/>
                <w:szCs w:val="24"/>
              </w:rPr>
              <w:t xml:space="preserve">13:         dashboard.update(s_t+1, EE.trace_log)</w:t>
            </w:r>
          </w:p>
          <w:p>
            <w:pPr>
              <w:spacing w:after="60"/>
            </w:pPr>
            <w:r>
              <w:rPr>
                <w:rFonts w:ascii="Bookman Old Style" w:cs="Bookman Old Style" w:eastAsia="Bookman Old Style" w:hAnsi="Bookman Old Style"/>
                <w:sz w:val="24"/>
                <w:szCs w:val="24"/>
              </w:rPr>
              <w:t xml:space="preserve">14:         if t mod K == 0: {g_i} = pi_H(s_t+1)  // HLP re-assignment</w:t>
            </w:r>
          </w:p>
          <w:p>
            <w:pPr>
              <w:spacing w:after="60"/>
            </w:pPr>
            <w:r>
              <w:rPr>
                <w:rFonts w:ascii="Bookman Old Style" w:cs="Bookman Old Style" w:eastAsia="Bookman Old Style" w:hAnsi="Bookman Old Style"/>
                <w:sz w:val="24"/>
                <w:szCs w:val="24"/>
              </w:rPr>
              <w:t xml:space="preserve">15:         if done: break</w:t>
            </w:r>
          </w:p>
          <w:p>
            <w:pPr>
              <w:spacing w:after="60"/>
            </w:pPr>
            <w:r>
              <w:rPr>
                <w:rFonts w:ascii="Bookman Old Style" w:cs="Bookman Old Style" w:eastAsia="Bookman Old Style" w:hAnsi="Bookman Old Style"/>
                <w:sz w:val="24"/>
                <w:szCs w:val="24"/>
              </w:rPr>
              <w:t xml:space="preserve">16:     update pi_H, {pi_Li} using PPO on collected trajectories</w:t>
            </w:r>
          </w:p>
          <w:p>
            <w:pPr>
              <w:spacing w:after="60"/>
            </w:pPr>
            <w:r>
              <w:rPr>
                <w:rFonts w:ascii="Bookman Old Style" w:cs="Bookman Old Style" w:eastAsia="Bookman Old Style" w:hAnsi="Bookman Old Style"/>
                <w:sz w:val="24"/>
                <w:szCs w:val="24"/>
              </w:rPr>
              <w:t xml:space="preserve">17: return pi_H, {pi_Li}, EE.trace_log</w:t>
            </w:r>
          </w:p>
        </w:tc>
      </w:tr>
    </w:tbl>
    <w:p>
      <w:pPr>
        <w:spacing w:after="100"/>
      </w:pPr>
      <w:r>
        <w:rPr>
          <w:rFonts w:ascii="Bookman Old Style" w:cs="Bookman Old Style" w:eastAsia="Bookman Old Style" w:hAnsi="Bookman Old Style"/>
          <w:sz w:val="24"/>
          <w:szCs w:val="24"/>
        </w:rPr>
        <w:t xml:space="preserve"/>
      </w:r>
    </w:p>
    <w:p>
      <w:pPr>
        <w:pStyle w:val="Heading2"/>
        <w:spacing w:after="160" w:before="320"/>
      </w:pPr>
      <w:r>
        <w:rPr>
          <w:rFonts w:ascii="Bookman Old Style" w:cs="Bookman Old Style" w:eastAsia="Bookman Old Style" w:hAnsi="Bookman Old Style"/>
          <w:b/>
          <w:bCs/>
          <w:sz w:val="28"/>
          <w:szCs w:val="28"/>
        </w:rPr>
        <w:t xml:space="preserve">4.5 Experimental Screenshots</w:t>
      </w:r>
    </w:p>
    <w:p>
      <w:pPr>
        <w:spacing w:after="180" w:line="276" w:lineRule="auto"/>
        <w:jc w:val="both"/>
      </w:pPr>
      <w:r>
        <w:rPr>
          <w:rFonts w:ascii="Bookman Old Style" w:cs="Bookman Old Style" w:eastAsia="Bookman Old Style" w:hAnsi="Bookman Old Style"/>
          <w:sz w:val="24"/>
          <w:szCs w:val="24"/>
        </w:rPr>
        <w:t xml:space="preserve">Figure 4.1 presents a screenshot of the 20×20 dynamic grid simulation as rendered in the Streamlit dashboard during evaluation. The disaster zone visualization shows the four active agents positioned across the grid: A1_Drone (blue square, top-left sector), A2_Drone (blue square, top-right sector), A3_Drone (blue square, bottom-left sector), and A4_Robot (orange square, center). Five victim locations are indicated by green circles, with the filled circle indicating a victim currently being rescued. Hazard zones are shown as red-shaded cells, with the darker shade indicating original hazard cells and lighter shading indicating cells where fire has spread during the episode.</w:t>
      </w:r>
    </w:p>
    <w:p>
      <w:pPr>
        <w:spacing w:after="180" w:line="276" w:lineRule="auto"/>
        <w:jc w:val="both"/>
      </w:pPr>
      <w:r>
        <w:rPr>
          <w:rFonts w:ascii="Bookman Old Style" w:cs="Bookman Old Style" w:eastAsia="Bookman Old Style" w:hAnsi="Bookman Old Style"/>
          <w:sz w:val="24"/>
          <w:szCs w:val="24"/>
        </w:rPr>
        <w:t xml:space="preserve">Figure 4.2 illustrates the right panel of the Streamlit dashboard showing the scrolling Explainability Engine output during a representative evaluation episode. The panel displays timestamped explanation entries in alternating agent color codes: blue entries for drone agent decisions and orange entries for robot agent decisions. Each entry comprises a macro-goal justification (displayed at each K-step boundary) and the primitive action justification for the current step. Example entries from the trace log include: '[t=1, A1_Drone] HLP: Assigned to NE sector — 2 victims detected, highest density quadrant. LLP: Action=Move East — Victim signal strength 0.82 detected at bearing 045°, obstacle clear.' and '[t=12, A4_Robot] HLP: Reassigned to Center — fire spreading toward victim at (11,10). LLP: Action=Interact — At victim location (11,10), rescue sequence initiated.'</w:t>
      </w:r>
    </w:p>
    <w:p>
      <w:pPr>
        <w:spacing w:after="180" w:line="276" w:lineRule="auto"/>
        <w:jc w:val="both"/>
      </w:pPr>
      <w:r>
        <w:rPr>
          <w:rFonts w:ascii="Bookman Old Style" w:cs="Bookman Old Style" w:eastAsia="Bookman Old Style" w:hAnsi="Bookman Old Style"/>
          <w:sz w:val="24"/>
          <w:szCs w:val="24"/>
        </w:rPr>
        <w:t xml:space="preserve">Figure 4.3 shows the SHAP feature importance summary plot for the A1_Drone low-level policy network, generated after evaluation on 50 test episodes. The horizontal bar chart displays the mean absolute SHAP value for each of the top-10 observation features, ranked by importance. The most influential features are: victim_distance_forward (SHAP=0.31), hazard_presence_right (SHAP=0.22), battery_remaining (SHAP=0.18), sector_boundary_distance (SHAP=0.14), and agent_overlap_count (SHAP=0.09), confirming that the drone policy's decisions are driven by victim proximity and hazard avoidance — the behaviours intended by the reward design.</w:t>
      </w:r>
    </w:p>
    <w:p>
      <w:pPr>
        <w:pStyle w:val="Heading2"/>
        <w:spacing w:after="160" w:before="320"/>
      </w:pPr>
      <w:r>
        <w:rPr>
          <w:rFonts w:ascii="Bookman Old Style" w:cs="Bookman Old Style" w:eastAsia="Bookman Old Style" w:hAnsi="Bookman Old Style"/>
          <w:b/>
          <w:bCs/>
          <w:sz w:val="28"/>
          <w:szCs w:val="28"/>
        </w:rPr>
        <w:t xml:space="preserve">4.6 Performance Evaluation Analysis</w:t>
      </w:r>
    </w:p>
    <w:p>
      <w:pPr>
        <w:pStyle w:val="Heading3"/>
        <w:spacing w:after="100" w:before="200"/>
      </w:pPr>
      <w:r>
        <w:rPr>
          <w:rFonts w:ascii="Bookman Old Style" w:cs="Bookman Old Style" w:eastAsia="Bookman Old Style" w:hAnsi="Bookman Old Style"/>
          <w:b/>
          <w:bCs/>
          <w:sz w:val="24"/>
          <w:szCs w:val="24"/>
        </w:rPr>
        <w:t xml:space="preserve">4.6.1 Victim Rescue Success Rate</w:t>
      </w:r>
    </w:p>
    <w:p>
      <w:pPr>
        <w:spacing w:after="180" w:line="276" w:lineRule="auto"/>
        <w:jc w:val="both"/>
      </w:pPr>
      <w:r>
        <w:rPr>
          <w:rFonts w:ascii="Bookman Old Style" w:cs="Bookman Old Style" w:eastAsia="Bookman Old Style" w:hAnsi="Bookman Old Style"/>
          <w:sz w:val="24"/>
          <w:szCs w:val="24"/>
        </w:rPr>
        <w:t xml:space="preserve">The victim rescue success rate is defined as the percentage of victim rescue events successfully completed (rescue interaction executed before victim survival timer expiry) across all victims and episodes in the test set. Table 4.3 presents the rescue success rate and coordination efficiency metrics for the EMARL-SAR framework and all four baselines.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746"/>
      </w:tblGrid>
      <w:tr>
        <w:tc>
          <w:tcPr>
            <w:tcW w:type="dxa" w:w="26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Method</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Rescue Rate (%)</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Avg Rescue Time (steps)</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Battery Efficiency (%)</w:t>
            </w:r>
          </w:p>
        </w:tc>
        <w:tc>
          <w:tcPr>
            <w:tcW w:type="dxa" w:w="17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All-Victim Success (%)</w:t>
            </w:r>
          </w:p>
        </w:tc>
      </w:tr>
      <w:tr>
        <w:tc>
          <w:tcPr>
            <w:tcW w:type="dxa" w:w="26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Random Coordination</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41.2</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386</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34.1</w:t>
            </w:r>
          </w:p>
        </w:tc>
        <w:tc>
          <w:tcPr>
            <w:tcW w:type="dxa" w:w="17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12.5</w:t>
            </w:r>
          </w:p>
        </w:tc>
      </w:tr>
      <w:tr>
        <w:tc>
          <w:tcPr>
            <w:tcW w:type="dxa" w:w="26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Single-Agent RL</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63.7</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312</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52.8</w:t>
            </w:r>
          </w:p>
        </w:tc>
        <w:tc>
          <w:tcPr>
            <w:tcW w:type="dxa" w:w="17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38.4</w:t>
            </w:r>
          </w:p>
        </w:tc>
      </w:tr>
      <w:tr>
        <w:tc>
          <w:tcPr>
            <w:tcW w:type="dxa" w:w="26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Flat MARL (MAPPO)</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78.4</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248</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67.3</w:t>
            </w:r>
          </w:p>
        </w:tc>
        <w:tc>
          <w:tcPr>
            <w:tcW w:type="dxa" w:w="17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54.7</w:t>
            </w:r>
          </w:p>
        </w:tc>
      </w:tr>
      <w:tr>
        <w:tc>
          <w:tcPr>
            <w:tcW w:type="dxa" w:w="26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HRL-only (No XAI)</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91.6</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189</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82.4</w:t>
            </w:r>
          </w:p>
        </w:tc>
        <w:tc>
          <w:tcPr>
            <w:tcW w:type="dxa" w:w="17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79.3</w:t>
            </w:r>
          </w:p>
        </w:tc>
      </w:tr>
      <w:tr>
        <w:tc>
          <w:tcPr>
            <w:tcW w:type="dxa" w:w="26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EMARL-SAR (Proposed)</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94.8</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171</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86.2</w:t>
            </w:r>
          </w:p>
        </w:tc>
        <w:tc>
          <w:tcPr>
            <w:tcW w:type="dxa" w:w="17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84.7</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4.3: Performance Metrics — Rescue Success and Coordination Efficiency</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The EMARL-SAR framework achieves the highest rescue rate of 94.8%, representing a 3.2 percentage point improvement over the HRL-only baseline. The average rescue time is reduced to 171 steps, a 31.2% reduction compared to flat MARL (248 steps) and a 9.5% reduction compared to HRL-only (189 steps). The all-victim rescue success rate (percentage of episodes where all 5 victims are rescued before episode end) reaches 84.7%, compared to 79.3% for HRL-only, demonstrating the additional coordination benefit provided by the explainability engine's feedback loop.</w:t>
      </w:r>
    </w:p>
    <w:p>
      <w:pPr>
        <w:pStyle w:val="Heading3"/>
        <w:spacing w:after="100" w:before="200"/>
      </w:pPr>
      <w:r>
        <w:rPr>
          <w:rFonts w:ascii="Bookman Old Style" w:cs="Bookman Old Style" w:eastAsia="Bookman Old Style" w:hAnsi="Bookman Old Style"/>
          <w:b/>
          <w:bCs/>
          <w:sz w:val="24"/>
          <w:szCs w:val="24"/>
        </w:rPr>
        <w:t xml:space="preserve">4.6.2 Baseline Comparison Analysis</w:t>
      </w:r>
    </w:p>
    <w:p>
      <w:pPr>
        <w:spacing w:after="180" w:line="276" w:lineRule="auto"/>
        <w:jc w:val="both"/>
      </w:pPr>
      <w:r>
        <w:rPr>
          <w:rFonts w:ascii="Bookman Old Style" w:cs="Bookman Old Style" w:eastAsia="Bookman Old Style" w:hAnsi="Bookman Old Style"/>
          <w:sz w:val="24"/>
          <w:szCs w:val="24"/>
        </w:rPr>
        <w:t xml:space="preserve">Table 4.4 presents the detailed baseline comparison across efficiency, transparency, and stability metrics.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646"/>
        <w:gridCol w:w="2000"/>
      </w:tblGrid>
      <w:tr>
        <w:tc>
          <w:tcPr>
            <w:tcW w:type="dxa" w:w="2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Method</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Coordination Efficiency</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Decision Latency (ms)</w:t>
            </w:r>
          </w:p>
        </w:tc>
        <w:tc>
          <w:tcPr>
            <w:tcW w:type="dxa" w:w="1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Policy Stability (std dev reward)</w:t>
            </w:r>
          </w:p>
        </w:tc>
        <w:tc>
          <w:tcPr>
            <w:tcW w:type="dxa" w:w="2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XAI Support</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Random Coordination</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Low</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&lt; 1</w:t>
            </w:r>
          </w:p>
        </w:tc>
        <w:tc>
          <w:tcPr>
            <w:tcW w:type="dxa" w:w="1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High (±42.3)</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None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Single-Agent RL</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Moderate</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w:t>
            </w:r>
          </w:p>
        </w:tc>
        <w:tc>
          <w:tcPr>
            <w:tcW w:type="dxa" w:w="1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Moderate (±28.1)</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None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Flat MARL</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Moderate-High</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12</w:t>
            </w:r>
          </w:p>
        </w:tc>
        <w:tc>
          <w:tcPr>
            <w:tcW w:type="dxa" w:w="1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Moderate (±21.4)</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None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HRL-only</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High</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18</w:t>
            </w:r>
          </w:p>
        </w:tc>
        <w:tc>
          <w:tcPr>
            <w:tcW w:type="dxa" w:w="1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Low (±9.8)</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None</w:t>
            </w:r>
          </w:p>
        </w:tc>
      </w:tr>
      <w:tr>
        <w:tc>
          <w:tcPr>
            <w:tcW w:type="dxa" w:w="2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EMARL-SAR (Proposed)</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Very High</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21</w:t>
            </w:r>
          </w:p>
        </w:tc>
        <w:tc>
          <w:tcPr>
            <w:tcW w:type="dxa" w:w="1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Very Low (±7.2)</w:t>
            </w:r>
          </w:p>
        </w:tc>
        <w:tc>
          <w:tcPr>
            <w:tcW w:type="dxa" w:w="2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Full (Real-time)</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4.4: Baseline Comparison — Efficiency, Transparency, and Stability</w:t>
      </w:r>
    </w:p>
    <w:p>
      <w:pPr>
        <w:spacing w:after="100"/>
      </w:pPr>
      <w:r>
        <w:rPr>
          <w:rFonts w:ascii="Bookman Old Style" w:cs="Bookman Old Style" w:eastAsia="Bookman Old Style" w:hAnsi="Bookman Old Style"/>
          <w:sz w:val="24"/>
          <w:szCs w:val="24"/>
        </w:rPr>
        <w:t xml:space="preserve"/>
      </w:r>
    </w:p>
    <w:p>
      <w:pPr>
        <w:pStyle w:val="Heading3"/>
        <w:spacing w:after="100" w:before="200"/>
      </w:pPr>
      <w:r>
        <w:rPr>
          <w:rFonts w:ascii="Bookman Old Style" w:cs="Bookman Old Style" w:eastAsia="Bookman Old Style" w:hAnsi="Bookman Old Style"/>
          <w:b/>
          <w:bCs/>
          <w:sz w:val="24"/>
          <w:szCs w:val="24"/>
        </w:rPr>
        <w:t xml:space="preserve">4.6.3 Explainability Evaluation Metrics</w:t>
      </w:r>
    </w:p>
    <w:p>
      <w:pPr>
        <w:spacing w:after="180" w:line="276" w:lineRule="auto"/>
        <w:jc w:val="both"/>
      </w:pPr>
      <w:r>
        <w:rPr>
          <w:rFonts w:ascii="Bookman Old Style" w:cs="Bookman Old Style" w:eastAsia="Bookman Old Style" w:hAnsi="Bookman Old Style"/>
          <w:sz w:val="24"/>
          <w:szCs w:val="24"/>
        </w:rPr>
        <w:t xml:space="preserve">The Explainability Engine is evaluated on three dedicated metrics: (1) Attribution Fidelity — the Insertion Metric measuring the degradation in action log-probability when the top-3 attributed features are masked, averaging 0.41 log-probability units across the test set; (2) Trace Consistency — the proportion of trace log entries where the stated justification features match the top-3 features identified by an independent SHAP evaluation, reaching 93.6%; and (3) Operator Interpretability Score — assessed through a structured evaluation by 5 graduate student evaluators who rated the clarity and usefulness of the generated justifications on a scale of 1-10, yielding an average score of 8.4.</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200"/>
        <w:gridCol w:w="5646"/>
      </w:tblGrid>
      <w:tr>
        <w:tc>
          <w:tcPr>
            <w:tcW w:type="dxa" w:w="3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Explainability Metric</w:t>
            </w:r>
          </w:p>
        </w:tc>
        <w:tc>
          <w:tcPr>
            <w:tcW w:type="dxa" w:w="5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Score</w:t>
            </w:r>
          </w:p>
        </w:tc>
      </w:tr>
      <w:tr>
        <w:tc>
          <w:tcPr>
            <w:tcW w:type="dxa" w:w="3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Attribution Fidelity (Insertion Metric)</w:t>
            </w:r>
          </w:p>
        </w:tc>
        <w:tc>
          <w:tcPr>
            <w:tcW w:type="dxa" w:w="5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0.41 log-prob units</w:t>
            </w:r>
          </w:p>
        </w:tc>
      </w:tr>
      <w:tr>
        <w:tc>
          <w:tcPr>
            <w:tcW w:type="dxa" w:w="3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Trace Consistency (SHAP Agreement)</w:t>
            </w:r>
          </w:p>
        </w:tc>
        <w:tc>
          <w:tcPr>
            <w:tcW w:type="dxa" w:w="5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93.6%</w:t>
            </w:r>
          </w:p>
        </w:tc>
      </w:tr>
      <w:tr>
        <w:tc>
          <w:tcPr>
            <w:tcW w:type="dxa" w:w="3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Operator Interpretability Rating</w:t>
            </w:r>
          </w:p>
        </w:tc>
        <w:tc>
          <w:tcPr>
            <w:tcW w:type="dxa" w:w="5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8.4 / 10.0</w:t>
            </w:r>
          </w:p>
        </w:tc>
      </w:tr>
      <w:tr>
        <w:tc>
          <w:tcPr>
            <w:tcW w:type="dxa" w:w="3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Macro-Goal Justification Accuracy</w:t>
            </w:r>
          </w:p>
        </w:tc>
        <w:tc>
          <w:tcPr>
            <w:tcW w:type="dxa" w:w="5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91.2% (attention weight alignment)</w:t>
            </w:r>
          </w:p>
        </w:tc>
      </w:tr>
      <w:tr>
        <w:tc>
          <w:tcPr>
            <w:tcW w:type="dxa" w:w="3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Explanation Generation Overhead</w:t>
            </w:r>
          </w:p>
        </w:tc>
        <w:tc>
          <w:tcPr>
            <w:tcW w:type="dxa" w:w="5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15% (relative to forward pass time)</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4.5: Explainability Evaluation Metrics for the EMARL-SAR Framework</w:t>
      </w:r>
    </w:p>
    <w:p>
      <w:pPr>
        <w:spacing w:after="100"/>
      </w:pPr>
      <w:r>
        <w:rPr>
          <w:rFonts w:ascii="Bookman Old Style" w:cs="Bookman Old Style" w:eastAsia="Bookman Old Style" w:hAnsi="Bookman Old Style"/>
          <w:sz w:val="24"/>
          <w:szCs w:val="24"/>
        </w:rPr>
        <w:t xml:space="preserve"/>
      </w:r>
    </w:p>
    <w:p>
      <w:pPr>
        <w:pStyle w:val="Heading3"/>
        <w:spacing w:after="100" w:before="200"/>
      </w:pPr>
      <w:r>
        <w:rPr>
          <w:rFonts w:ascii="Bookman Old Style" w:cs="Bookman Old Style" w:eastAsia="Bookman Old Style" w:hAnsi="Bookman Old Style"/>
          <w:b/>
          <w:bCs/>
          <w:sz w:val="24"/>
          <w:szCs w:val="24"/>
        </w:rPr>
        <w:t xml:space="preserve">4.6.4 Training Convergence Analysis</w:t>
      </w:r>
    </w:p>
    <w:p>
      <w:pPr>
        <w:spacing w:after="180" w:line="276" w:lineRule="auto"/>
        <w:jc w:val="both"/>
      </w:pPr>
      <w:r>
        <w:rPr>
          <w:rFonts w:ascii="Bookman Old Style" w:cs="Bookman Old Style" w:eastAsia="Bookman Old Style" w:hAnsi="Bookman Old Style"/>
          <w:sz w:val="24"/>
          <w:szCs w:val="24"/>
        </w:rPr>
        <w:t xml:space="preserve">The training reward curves for the EMARL-SAR framework and baselines are illustrated in Figure 4.2. The EMARL-SAR framework demonstrates faster convergence to high-reward policies than all baselines: it reaches 80% of its final episode reward level by episode 800, compared to episode 1,100 for HRL-only, episode 1,350 for flat MARL, and episode 1,700 for single-agent RL. The lower variance in episode reward for the EMARL-SAR framework (±7.2 reward units standard deviation over the final 200 episodes) compared to all baselines confirms the improved policy stability achieved through hierarchical decomposition.</w:t>
      </w:r>
    </w:p>
    <w:p>
      <w:pPr>
        <w:pStyle w:val="Heading2"/>
        <w:spacing w:after="160" w:before="320"/>
      </w:pPr>
      <w:r>
        <w:rPr>
          <w:rFonts w:ascii="Bookman Old Style" w:cs="Bookman Old Style" w:eastAsia="Bookman Old Style" w:hAnsi="Bookman Old Style"/>
          <w:b/>
          <w:bCs/>
          <w:sz w:val="28"/>
          <w:szCs w:val="28"/>
        </w:rPr>
        <w:t xml:space="preserve">4.7 Discussion of Results</w:t>
      </w:r>
    </w:p>
    <w:p>
      <w:pPr>
        <w:spacing w:after="180" w:line="276" w:lineRule="auto"/>
        <w:jc w:val="both"/>
      </w:pPr>
      <w:r>
        <w:rPr>
          <w:rFonts w:ascii="Bookman Old Style" w:cs="Bookman Old Style" w:eastAsia="Bookman Old Style" w:hAnsi="Bookman Old Style"/>
          <w:sz w:val="24"/>
          <w:szCs w:val="24"/>
        </w:rPr>
        <w:t xml:space="preserve">The comprehensive experimental results validate the core hypothesis of the proposed project: that the principled integration of hierarchical reinforcement learning with real-time explainability mechanisms produces a multi-agent SAR coordination framework that simultaneously outperforms conventional approaches in rescue efficiency and provides high-quality decision transparency to rescue coordinators.</w:t>
      </w:r>
    </w:p>
    <w:p>
      <w:pPr>
        <w:spacing w:after="180" w:line="276" w:lineRule="auto"/>
        <w:jc w:val="both"/>
      </w:pPr>
      <w:r>
        <w:rPr>
          <w:rFonts w:ascii="Bookman Old Style" w:cs="Bookman Old Style" w:eastAsia="Bookman Old Style" w:hAnsi="Bookman Old Style"/>
          <w:sz w:val="24"/>
          <w:szCs w:val="24"/>
        </w:rPr>
        <w:t xml:space="preserve">The 3.2 percentage point rescue rate improvement of EMARL-SAR over HRL-only is particularly significant, as it demonstrates that the Explainability Engine provides measurable coordination benefits beyond the baseline HRL approach. This improvement is attributable to the monitoring feedback effect: the decision trace logs generated by the Explainability Engine were used during training to identify and correct two systematic coordination failures that the HRL-only approach did not self-correct — specifically, the tendency for multiple drones to converge on the same victim location (rescued by one, wasted effort for others) and the failure to account for hazard propagation into assigned sectors when selecting macro-goals. These failure modes were identified through trace log analysis and corrected through targeted reward shaping adjustments that the HRL-only training loop would not have been able to identify without explicit decision logging.</w:t>
      </w:r>
    </w:p>
    <w:p>
      <w:pPr>
        <w:spacing w:after="180" w:line="276" w:lineRule="auto"/>
        <w:jc w:val="both"/>
      </w:pPr>
      <w:r>
        <w:rPr>
          <w:rFonts w:ascii="Bookman Old Style" w:cs="Bookman Old Style" w:eastAsia="Bookman Old Style" w:hAnsi="Bookman Old Style"/>
          <w:sz w:val="24"/>
          <w:szCs w:val="24"/>
        </w:rPr>
        <w:t xml:space="preserve">The 9.5% reduction in average rescue time relative to HRL-only (from 189 to 171 steps) is driven primarily by the improved sector assignment logic in the high-level policy, which benefits from the attention weight visualization outputs of the Explainability Engine. Analysis of the attention maps revealed that the HLP was initially attending to hazard zone locations when assigning sectors (a reasonable heuristic for robot agents but counterproductive for drone agents), and an attention regularization term was introduced during training to redirect attention toward victim location density maps for drone agents.</w:t>
      </w:r>
    </w:p>
    <w:p>
      <w:pPr>
        <w:spacing w:after="180" w:line="276" w:lineRule="auto"/>
        <w:jc w:val="both"/>
      </w:pPr>
      <w:r>
        <w:rPr>
          <w:rFonts w:ascii="Bookman Old Style" w:cs="Bookman Old Style" w:eastAsia="Bookman Old Style" w:hAnsi="Bookman Old Style"/>
          <w:sz w:val="24"/>
          <w:szCs w:val="24"/>
        </w:rPr>
        <w:t xml:space="preserve">The explainability evaluation results — 93.6% trace consistency and an 8.4/10 operator interpretability rating — establish the EMARL-SAR framework as a genuinely usable explanation system for rescue coordinator audiences. The high trace consistency score confirms that the gradient-based attribution method is a faithful indicator of the actual features driving policy decisions, rather than a post-hoc rationalization. The 8.4/10 interpretability rating from evaluators with graduate-level AI knowledge (but not SAR domain expertise) suggests that the natural language justification format effectively bridges the gap between the technical attribution data and the operational comprehension requirements of rescue coordinator audiences.</w:t>
      </w:r>
    </w:p>
    <w:p>
      <w:pPr>
        <w:spacing w:after="180" w:line="276" w:lineRule="auto"/>
        <w:jc w:val="both"/>
      </w:pPr>
      <w:r>
        <w:rPr>
          <w:rFonts w:ascii="Bookman Old Style" w:cs="Bookman Old Style" w:eastAsia="Bookman Old Style" w:hAnsi="Bookman Old Style"/>
          <w:sz w:val="24"/>
          <w:szCs w:val="24"/>
        </w:rPr>
        <w:t xml:space="preserve">One limitation identified in the experimental analysis is the 15% computational overhead introduced by the gradient saliency computation in the Explainability Engine. While this overhead is acceptable at the current decision frequency (one step every 20-50 milliseconds on the Colab T4 GPU), it could become a bottleneck in faster-cycle SAR scenarios or when deployed on resource-constrained onboard computing hardware. Future optimization using pre-computed attribution approximations (e.g., integrated gradients with cached baseline) could reduce this overhead significantly.</w:t>
      </w:r>
    </w:p>
    <w:p>
      <w:pPr>
        <w:pStyle w:val="Heading2"/>
        <w:spacing w:after="160" w:before="320"/>
      </w:pPr>
      <w:r>
        <w:rPr>
          <w:rFonts w:ascii="Bookman Old Style" w:cs="Bookman Old Style" w:eastAsia="Bookman Old Style" w:hAnsi="Bookman Old Style"/>
          <w:b/>
          <w:bCs/>
          <w:sz w:val="28"/>
          <w:szCs w:val="28"/>
        </w:rPr>
        <w:t xml:space="preserve">4.8 Summary</w:t>
      </w:r>
    </w:p>
    <w:p>
      <w:pPr>
        <w:spacing w:after="180" w:line="276" w:lineRule="auto"/>
        <w:jc w:val="both"/>
      </w:pPr>
      <w:r>
        <w:rPr>
          <w:rFonts w:ascii="Bookman Old Style" w:cs="Bookman Old Style" w:eastAsia="Bookman Old Style" w:hAnsi="Bookman Old Style"/>
          <w:sz w:val="24"/>
          <w:szCs w:val="24"/>
        </w:rPr>
        <w:t xml:space="preserve">This chapter has presented the complete implementation and experimental evaluation of the EMARL-SAR framework. The experimental results confirm the effectiveness of the proposed approach across all primary evaluation dimensions: the framework achieves a victim rescue success rate of 94.8%, average rescue time of 171 steps, and all-victim success rate of 84.7%, all representing the best performance among the five compared methods. The Explainability Engine delivers 93.6% trace consistency, 8.4/10 operator interpretability rating, and a 15% computational overhead relative to the forward pass. The discussion of results has identified the hierarchical policy structure, the trace log feedback mechanism, and the attention visualization capability as the primary drivers of the framework's performance advantages, and has highlighted computational overhead and system-level explanation generation as directions for future optimization.</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CHAPTER 5</w:t>
      </w:r>
    </w:p>
    <w:p>
      <w:pPr>
        <w:spacing w:after="400"/>
        <w:jc w:val="center"/>
      </w:pPr>
      <w:r>
        <w:rPr>
          <w:rFonts w:ascii="Bookman Old Style" w:cs="Bookman Old Style" w:eastAsia="Bookman Old Style" w:hAnsi="Bookman Old Style"/>
          <w:b/>
          <w:bCs/>
          <w:i w:val="false"/>
          <w:iCs w:val="false"/>
          <w:sz w:val="32"/>
          <w:szCs w:val="32"/>
        </w:rPr>
        <w:t xml:space="preserve">CONCLUSION AND FUTURE WORK</w:t>
      </w:r>
    </w:p>
    <w:p>
      <w:pPr>
        <w:pStyle w:val="Heading2"/>
        <w:spacing w:after="160" w:before="320"/>
      </w:pPr>
      <w:r>
        <w:rPr>
          <w:rFonts w:ascii="Bookman Old Style" w:cs="Bookman Old Style" w:eastAsia="Bookman Old Style" w:hAnsi="Bookman Old Style"/>
          <w:b/>
          <w:bCs/>
          <w:sz w:val="28"/>
          <w:szCs w:val="28"/>
        </w:rPr>
        <w:t xml:space="preserve">5.1 Conclusion</w:t>
      </w:r>
    </w:p>
    <w:p>
      <w:pPr>
        <w:spacing w:after="180" w:line="276" w:lineRule="auto"/>
        <w:jc w:val="both"/>
      </w:pPr>
      <w:r>
        <w:rPr>
          <w:rFonts w:ascii="Bookman Old Style" w:cs="Bookman Old Style" w:eastAsia="Bookman Old Style" w:hAnsi="Bookman Old Style"/>
          <w:sz w:val="24"/>
          <w:szCs w:val="24"/>
        </w:rPr>
        <w:t xml:space="preserve">This project has presented the design, implementation, and empirical evaluation of the Explainable Multi-Agent Reinforcement Learning for Search and Rescue (EMARL-SAR) framework, a novel approach to cooperative autonomous SAR coordination in dynamic grid environments. The research was motivated by the critical operational gap between the coordination efficiency achievable through state-of-the-art multi-agent reinforcement learning and the decision transparency requirements of real-world emergency response deployment, where rescue coordinators must be able to understand, monitor, and if necessary override autonomous system decisions in real time.</w:t>
      </w:r>
    </w:p>
    <w:p>
      <w:pPr>
        <w:spacing w:after="180" w:line="276" w:lineRule="auto"/>
        <w:jc w:val="both"/>
      </w:pPr>
      <w:r>
        <w:rPr>
          <w:rFonts w:ascii="Bookman Old Style" w:cs="Bookman Old Style" w:eastAsia="Bookman Old Style" w:hAnsi="Bookman Old Style"/>
          <w:sz w:val="24"/>
          <w:szCs w:val="24"/>
        </w:rPr>
        <w:t xml:space="preserve">The proposed framework integrates three principal components within a unified architecture: the Dynamic Grid Environment, which simulates a 20×20 disaster zone with dynamically spreading hazards, heterogeneous agent teams, and victim time-out mechanics; the Hierarchical Reinforcement Learning Module, which implements a two-level policy architecture enabling strategic macro-goal assignment at the global scale and step-wise navigation execution at the local scale; and the Explainability Engine, which generates real-time action justifications, decision trace logs, and policy attention visualizations that render all agent decisions comprehensible to rescue coordinator audiences through a Streamlit dashboard interface.</w:t>
      </w:r>
    </w:p>
    <w:p>
      <w:pPr>
        <w:spacing w:after="180" w:line="276" w:lineRule="auto"/>
        <w:jc w:val="both"/>
      </w:pPr>
      <w:r>
        <w:rPr>
          <w:rFonts w:ascii="Bookman Old Style" w:cs="Bookman Old Style" w:eastAsia="Bookman Old Style" w:hAnsi="Bookman Old Style"/>
          <w:sz w:val="24"/>
          <w:szCs w:val="24"/>
        </w:rPr>
        <w:t xml:space="preserve">The experimental evaluation demonstrates conclusively that the EMARL-SAR framework achieves superior rescue performance across all quantitative metrics compared to four baseline methods. The framework achieves a victim rescue success rate of 94.8%, representing a 16.4 percentage point improvement over flat MARL, and a 3.2 percentage point improvement over the HRL-only baseline — confirming that the Explainability Engine provides measurable coordination benefits beyond its primary transparency function. The average rescue time of 171 steps represents a 31.2% improvement over flat MARL and demonstrates the efficiency advantage of hierarchical task decomposition in large-scale SAR scenarios.</w:t>
      </w:r>
    </w:p>
    <w:p>
      <w:pPr>
        <w:spacing w:after="180" w:line="276" w:lineRule="auto"/>
        <w:jc w:val="both"/>
      </w:pPr>
      <w:r>
        <w:rPr>
          <w:rFonts w:ascii="Bookman Old Style" w:cs="Bookman Old Style" w:eastAsia="Bookman Old Style" w:hAnsi="Bookman Old Style"/>
          <w:sz w:val="24"/>
          <w:szCs w:val="24"/>
        </w:rPr>
        <w:t xml:space="preserve">The Explainability Engine achieves 93.6% trace consistency (agreement between gradient attribution explanations and independent SHAP evaluations), an operator interpretability rating of 8.4 out of 10, and a computational overhead of 15% relative to the policy forward pass. These results establish the EMARL-SAR framework as a genuinely trustworthy and operationally viable autonomous SAR coordination system — one that not only performs effectively but can justify its decisions to the humans who depend on them.</w:t>
      </w:r>
    </w:p>
    <w:p>
      <w:pPr>
        <w:spacing w:after="180" w:line="276" w:lineRule="auto"/>
        <w:jc w:val="both"/>
      </w:pPr>
      <w:r>
        <w:rPr>
          <w:rFonts w:ascii="Bookman Old Style" w:cs="Bookman Old Style" w:eastAsia="Bookman Old Style" w:hAnsi="Bookman Old Style"/>
          <w:sz w:val="24"/>
          <w:szCs w:val="24"/>
        </w:rPr>
        <w:t xml:space="preserve">A particularly significant finding of the project is the discovery that the Explainability Engine's decision trace logs provided actionable monitoring information that directly improved the training process, enabling the identification and correction of systematic coordination failure modes that the baseline HRL training loop would not have been able to detect. This finding suggests that explainability mechanisms in autonomous coordination systems may serve a dual purpose: providing transparency to human operators during deployment and providing diagnostic feedback to system developers during training.</w:t>
      </w:r>
    </w:p>
    <w:p>
      <w:pPr>
        <w:pStyle w:val="Heading2"/>
        <w:spacing w:after="160" w:before="320"/>
      </w:pPr>
      <w:r>
        <w:rPr>
          <w:rFonts w:ascii="Bookman Old Style" w:cs="Bookman Old Style" w:eastAsia="Bookman Old Style" w:hAnsi="Bookman Old Style"/>
          <w:b/>
          <w:bCs/>
          <w:sz w:val="28"/>
          <w:szCs w:val="28"/>
        </w:rPr>
        <w:t xml:space="preserve">5.2 Contributions</w:t>
      </w:r>
    </w:p>
    <w:p>
      <w:pPr>
        <w:spacing w:after="180" w:line="276" w:lineRule="auto"/>
        <w:jc w:val="both"/>
      </w:pPr>
      <w:r>
        <w:rPr>
          <w:rFonts w:ascii="Bookman Old Style" w:cs="Bookman Old Style" w:eastAsia="Bookman Old Style" w:hAnsi="Bookman Old Style"/>
          <w:sz w:val="24"/>
          <w:szCs w:val="24"/>
        </w:rPr>
        <w:t xml:space="preserve">The project makes the following specific contributions to the field of explainable multi-agent reinforcement learning for autonomous coordination:</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Novel SAR-Specific EMARL Framework: The EMARL-SAR framework is the first unified architecture to integrate multi-agent SAR coordination, hierarchical reinforcement learning, and embedded real-time explainability within a single principled design specifically adapted to dynamic disaster grid environments. The framework's modular architecture supports independent development and evaluation of each component.</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Heterogeneous Agent Support: The framework explicitly supports heterogeneous agent teams (reconnaissance drones and path-clearing robots with distinct capabilities, observation ranges, and action sets), addressing a critical gap in existing MARL approaches which overwhelmingly assume homogeneous agent populations.</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Dynamic Hazard Environment: The dynamic grid environment with stochastic hazard propagation, victim time-out mechanics, and battery constraints provides a more realistic and challenging simulation substrate for SAR coordination research than existing static benchmark environments, and is made available as an open-source PettingZoo environment.</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Real-Time Explainability Integration: The Explainability Engine demonstrates that gradient-based saliency attribution can be integrated within the live decision-making pipeline of a hierarchical MARL system with acceptable computational overhead (15%), generating justifications that achieve 93.6% consistency with independent SHAP evaluations.</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Diagnostic Value of Explainability: The identification of two systematic coordination failure modes through trace log analysis — redundant victim targeting and hazard-insensitive sector assignment — demonstrates that explainability mechanisms in autonomous systems serve a valuable diagnostic function during system development, not only a transparency function during deployment.</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Open-Source Implementation and Dashboard: The complete EMARL-SAR framework implementation, including the Streamlit dashboard, is made available as an open-source Python repository, providing a reusable baseline for future research on explainable multi-agent SAR coordination.</w:t>
      </w:r>
    </w:p>
    <w:p>
      <w:pPr>
        <w:spacing w:after="100"/>
      </w:pPr>
      <w:r>
        <w:rPr>
          <w:rFonts w:ascii="Bookman Old Style" w:cs="Bookman Old Style" w:eastAsia="Bookman Old Style" w:hAnsi="Bookman Old Style"/>
          <w:sz w:val="24"/>
          <w:szCs w:val="24"/>
        </w:rPr>
        <w:t xml:space="preserve"/>
      </w:r>
    </w:p>
    <w:p>
      <w:pPr>
        <w:pStyle w:val="Heading2"/>
        <w:spacing w:after="160" w:before="320"/>
      </w:pPr>
      <w:r>
        <w:rPr>
          <w:rFonts w:ascii="Bookman Old Style" w:cs="Bookman Old Style" w:eastAsia="Bookman Old Style" w:hAnsi="Bookman Old Style"/>
          <w:b/>
          <w:bCs/>
          <w:sz w:val="28"/>
          <w:szCs w:val="28"/>
        </w:rPr>
        <w:t xml:space="preserve">5.3 Limitations</w:t>
      </w:r>
    </w:p>
    <w:p>
      <w:pPr>
        <w:spacing w:after="180" w:line="276" w:lineRule="auto"/>
        <w:jc w:val="both"/>
      </w:pPr>
      <w:r>
        <w:rPr>
          <w:rFonts w:ascii="Bookman Old Style" w:cs="Bookman Old Style" w:eastAsia="Bookman Old Style" w:hAnsi="Bookman Old Style"/>
          <w:sz w:val="24"/>
          <w:szCs w:val="24"/>
        </w:rPr>
        <w:t xml:space="preserve">Several limitations of the current work should be acknowledged. The experimental evaluation is conducted exclusively on synthetic simulation data generated within a controlled 20×20 grid environment. The specific performance metrics reported — rescue success rate, average rescue time, battery efficiency — are calculated within this simulated context and cannot be directly mapped to real-world SAR performance without validation studies using real-world sensor data and physical robot platforms.</w:t>
      </w:r>
    </w:p>
    <w:p>
      <w:pPr>
        <w:spacing w:after="180" w:line="276" w:lineRule="auto"/>
        <w:jc w:val="both"/>
      </w:pPr>
      <w:r>
        <w:rPr>
          <w:rFonts w:ascii="Bookman Old Style" w:cs="Bookman Old Style" w:eastAsia="Bookman Old Style" w:hAnsi="Bookman Old Style"/>
          <w:sz w:val="24"/>
          <w:szCs w:val="24"/>
        </w:rPr>
        <w:t xml:space="preserve">The current framework supports a maximum of 4 agents. While the hierarchical architecture scales more gracefully than flat MARL to larger agent populations, the centralised high-level policy network — which processes the full global grid state simultaneously — will face increasing computational challenges as the agent population scales beyond 10-15 agents. The attention mechanism in the high-level policy partially addresses this, but further architectural improvements would be required for deployment in large-scale swarm SAR scenarios.</w:t>
      </w:r>
    </w:p>
    <w:p>
      <w:pPr>
        <w:spacing w:after="180" w:line="276" w:lineRule="auto"/>
        <w:jc w:val="both"/>
      </w:pPr>
      <w:r>
        <w:rPr>
          <w:rFonts w:ascii="Bookman Old Style" w:cs="Bookman Old Style" w:eastAsia="Bookman Old Style" w:hAnsi="Bookman Old Style"/>
          <w:sz w:val="24"/>
          <w:szCs w:val="24"/>
        </w:rPr>
        <w:t xml:space="preserve">The user study component of the explainability evaluation involved only 5 graduate student evaluators in a controlled academic setting. A larger-scale study involving actual SAR professionals evaluating the explanation outputs in realistic operational contexts would provide more robust evidence for the practical utility of the framework.</w:t>
      </w:r>
    </w:p>
    <w:p>
      <w:pPr>
        <w:spacing w:after="180" w:line="276" w:lineRule="auto"/>
        <w:jc w:val="both"/>
      </w:pPr>
      <w:r>
        <w:rPr>
          <w:rFonts w:ascii="Bookman Old Style" w:cs="Bookman Old Style" w:eastAsia="Bookman Old Style" w:hAnsi="Bookman Old Style"/>
          <w:sz w:val="24"/>
          <w:szCs w:val="24"/>
        </w:rPr>
        <w:t xml:space="preserve">The current Explainability Engine generates individual agent decision justifications but does not provide system-level explanations of the emergent collective coordination strategy. Rescue coordinators monitoring a multi-agent SAR operation may require an understanding of the overall coordination plan — not just individual agent actions — which the current explanation framework does not address.</w:t>
      </w:r>
    </w:p>
    <w:p>
      <w:pPr>
        <w:pStyle w:val="Heading2"/>
        <w:spacing w:after="160" w:before="320"/>
      </w:pPr>
      <w:r>
        <w:rPr>
          <w:rFonts w:ascii="Bookman Old Style" w:cs="Bookman Old Style" w:eastAsia="Bookman Old Style" w:hAnsi="Bookman Old Style"/>
          <w:b/>
          <w:bCs/>
          <w:sz w:val="28"/>
          <w:szCs w:val="28"/>
        </w:rPr>
        <w:t xml:space="preserve">5.4 Future Scope</w:t>
      </w:r>
    </w:p>
    <w:p>
      <w:pPr>
        <w:spacing w:after="180" w:line="276" w:lineRule="auto"/>
        <w:jc w:val="both"/>
      </w:pPr>
      <w:r>
        <w:rPr>
          <w:rFonts w:ascii="Bookman Old Style" w:cs="Bookman Old Style" w:eastAsia="Bookman Old Style" w:hAnsi="Bookman Old Style"/>
          <w:sz w:val="24"/>
          <w:szCs w:val="24"/>
        </w:rPr>
        <w:t xml:space="preserve">The research presented in this project opens several promising directions for future investigation.</w:t>
      </w:r>
    </w:p>
    <w:p>
      <w:pPr>
        <w:spacing w:after="180" w:line="276" w:lineRule="auto"/>
        <w:jc w:val="both"/>
      </w:pPr>
      <w:r>
        <w:rPr>
          <w:rFonts w:ascii="Bookman Old Style" w:cs="Bookman Old Style" w:eastAsia="Bookman Old Style" w:hAnsi="Bookman Old Style"/>
          <w:sz w:val="24"/>
          <w:szCs w:val="24"/>
        </w:rPr>
        <w:t xml:space="preserve">Physical Robot Validation: The most important extension of the proposed framework is validation on physical robot platforms in realistic indoor SAR test environments. Deployment of the trained policies on drone platforms (e.g., Crazyflie nano-quadcopters) and ground robots (e.g., TurtleBot) in a lab-scale disaster simulation would provide direct evidence for the sim-to-real transferability of the learned coordination strategies and identify the domain adaptation requirements for real-world deployment.</w:t>
      </w:r>
    </w:p>
    <w:p>
      <w:pPr>
        <w:spacing w:after="180" w:line="276" w:lineRule="auto"/>
        <w:jc w:val="both"/>
      </w:pPr>
      <w:r>
        <w:rPr>
          <w:rFonts w:ascii="Bookman Old Style" w:cs="Bookman Old Style" w:eastAsia="Bookman Old Style" w:hAnsi="Bookman Old Style"/>
          <w:sz w:val="24"/>
          <w:szCs w:val="24"/>
        </w:rPr>
        <w:t xml:space="preserve">Graph Neural Network High-Level Policy: Replacement of the centralised fully-connected high-level policy with a Graph Neural Network (GNN) architecture would enable the framework to scale gracefully to large agent populations by encoding agent interactions as edges in a dynamic graph, rather than concatenating all agent states in a fixed-size input vector. This extension would enable the framework to coordinate SAR operations with 20 or more heterogeneous agents without the computational bottleneck of the current centralized high-level policy.</w:t>
      </w:r>
    </w:p>
    <w:p>
      <w:pPr>
        <w:spacing w:after="180" w:line="276" w:lineRule="auto"/>
        <w:jc w:val="both"/>
      </w:pPr>
      <w:r>
        <w:rPr>
          <w:rFonts w:ascii="Bookman Old Style" w:cs="Bookman Old Style" w:eastAsia="Bookman Old Style" w:hAnsi="Bookman Old Style"/>
          <w:sz w:val="24"/>
          <w:szCs w:val="24"/>
        </w:rPr>
        <w:t xml:space="preserve">Natural Language Explanation Generation: Integration of a small language model (e.g., a distilled GPT variant fine-tuned on SAR domain text) for natural language explanation generation would enable the framework to produce fluent, contextually adaptive justifications that can be customized to the expertise level of different operator communities — from technical system engineers to field rescue coordinators with no AI background.</w:t>
      </w:r>
    </w:p>
    <w:p>
      <w:pPr>
        <w:spacing w:after="180" w:line="276" w:lineRule="auto"/>
        <w:jc w:val="both"/>
      </w:pPr>
      <w:r>
        <w:rPr>
          <w:rFonts w:ascii="Bookman Old Style" w:cs="Bookman Old Style" w:eastAsia="Bookman Old Style" w:hAnsi="Bookman Old Style"/>
          <w:sz w:val="24"/>
          <w:szCs w:val="24"/>
        </w:rPr>
        <w:t xml:space="preserve">Continual Learning for Evolving Disaster Dynamics: Real disaster environments evolve over hours or days, with hazard patterns, victim survival probabilities, and environmental structure changing continuously. Future research should investigate continual learning mechanisms that enable the EMARL-SAR framework to adapt its coordination policies to evolving disaster dynamics while preserving previously learned effective coordination behaviours through elastic weight consolidation or progressive neural network architectures.</w:t>
      </w:r>
    </w:p>
    <w:p>
      <w:pPr>
        <w:spacing w:after="180" w:line="276" w:lineRule="auto"/>
        <w:jc w:val="both"/>
      </w:pPr>
      <w:r>
        <w:rPr>
          <w:rFonts w:ascii="Bookman Old Style" w:cs="Bookman Old Style" w:eastAsia="Bookman Old Style" w:hAnsi="Bookman Old Style"/>
          <w:sz w:val="24"/>
          <w:szCs w:val="24"/>
        </w:rPr>
        <w:t xml:space="preserve">Multi-Modal Sensor Integration: The current framework assumes a simple grid-based state representation accessible through local 5×5 observation windows. Integration of multi-modal sensor streams (thermal imaging, acoustic victim detection, LiDAR-based obstacle mapping) would substantially enhance the realism and operational utility of the framework. Convolutional neural network encoders for visual observation processing and attention-based fusion of heterogeneous sensor modalities represent promising directions for this extension.</w:t>
      </w:r>
    </w:p>
    <w:p>
      <w:pPr>
        <w:pStyle w:val="Heading2"/>
        <w:spacing w:after="160" w:before="320"/>
      </w:pPr>
      <w:r>
        <w:rPr>
          <w:rFonts w:ascii="Bookman Old Style" w:cs="Bookman Old Style" w:eastAsia="Bookman Old Style" w:hAnsi="Bookman Old Style"/>
          <w:b/>
          <w:bCs/>
          <w:sz w:val="28"/>
          <w:szCs w:val="28"/>
        </w:rPr>
        <w:t xml:space="preserve">5.5 Summary</w:t>
      </w:r>
    </w:p>
    <w:p>
      <w:pPr>
        <w:spacing w:after="180" w:line="276" w:lineRule="auto"/>
        <w:jc w:val="both"/>
      </w:pPr>
      <w:r>
        <w:rPr>
          <w:rFonts w:ascii="Bookman Old Style" w:cs="Bookman Old Style" w:eastAsia="Bookman Old Style" w:hAnsi="Bookman Old Style"/>
          <w:sz w:val="24"/>
          <w:szCs w:val="24"/>
        </w:rPr>
        <w:t xml:space="preserve">This chapter has synthesized the key findings of the project, articulated the specific contributions of the research to the field of explainable autonomous SAR coordination, acknowledged the limitations of the current implementation, and outlined a comprehensive program of future research directions. The EMARL-SAR framework has been demonstrated to represent a significant advance in the development of transparent, efficient, and operationally viable autonomous SAR coordination systems, validating the core project hypothesis and establishing a foundation for continued progress toward trustworthy autonomous multi-agent SAR AI.</w:t>
      </w:r>
    </w:p>
    <w:p>
      <w:pPr>
        <w:spacing w:after="180" w:line="276" w:lineRule="auto"/>
        <w:jc w:val="both"/>
      </w:pPr>
      <w:r>
        <w:rPr>
          <w:rFonts w:ascii="Bookman Old Style" w:cs="Bookman Old Style" w:eastAsia="Bookman Old Style" w:hAnsi="Bookman Old Style"/>
          <w:sz w:val="24"/>
          <w:szCs w:val="24"/>
        </w:rPr>
        <w:t xml:space="preserve">The project has demonstrated that the integration of hierarchical reinforcement learning and real-time explainability in a SAR-specific multi-agent framework can simultaneously achieve high rescue performance (94.8% rescue rate), operational efficiency (31.2% rescue time improvement), and decision transparency (8.4/10 operator interpretability rating). These results establish the EMARL-SAR framework as a compelling and practically relevant contribution to the growing body of work on explainable AI for safety-critical autonomous systems.</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REFERENCES</w:t>
      </w:r>
    </w:p>
    <w:p>
      <w:pPr>
        <w:spacing w:after="100"/>
      </w:pPr>
      <w:r>
        <w:rPr>
          <w:rFonts w:ascii="Bookman Old Style" w:cs="Bookman Old Style" w:eastAsia="Bookman Old Style" w:hAnsi="Bookman Old Style"/>
          <w:sz w:val="24"/>
          <w:szCs w:val="24"/>
        </w:rPr>
        <w:t xml:space="preserve"/>
      </w:r>
    </w:p>
    <w:p>
      <w:pPr>
        <w:spacing w:after="160" w:line="276" w:lineRule="auto"/>
        <w:jc w:val="both"/>
      </w:pPr>
      <w:r>
        <w:rPr>
          <w:rFonts w:ascii="Bookman Old Style" w:cs="Bookman Old Style" w:eastAsia="Bookman Old Style" w:hAnsi="Bookman Old Style"/>
          <w:sz w:val="24"/>
          <w:szCs w:val="24"/>
        </w:rPr>
        <w:t xml:space="preserve">[1]   J. Chen, J. Sun, and G. Wang, "From unmanned systems to autonomous intelligent systems," Engineering, vol. 12, pp. 16–19, 2022.</w:t>
      </w:r>
    </w:p>
    <w:p>
      <w:pPr>
        <w:spacing w:after="160" w:line="276" w:lineRule="auto"/>
        <w:jc w:val="both"/>
      </w:pPr>
      <w:r>
        <w:rPr>
          <w:rFonts w:ascii="Bookman Old Style" w:cs="Bookman Old Style" w:eastAsia="Bookman Old Style" w:hAnsi="Bookman Old Style"/>
          <w:sz w:val="24"/>
          <w:szCs w:val="24"/>
        </w:rPr>
        <w:t xml:space="preserve">[2]   S. Manaseswaran, S. Vimal, R. Gowri, P. Karthikeyan, N. Kandavel, and V. Saraswathi, "Swarm Robotics in Search and Rescue Operations: Challenges, Strategies, and Future Directions," in Proc. 10th Int. Conf. Smart Structures and Systems (ICSSS), IEEE, 2025, pp. 1–6.</w:t>
      </w:r>
    </w:p>
    <w:p>
      <w:pPr>
        <w:spacing w:after="160" w:line="276" w:lineRule="auto"/>
        <w:jc w:val="both"/>
      </w:pPr>
      <w:r>
        <w:rPr>
          <w:rFonts w:ascii="Bookman Old Style" w:cs="Bookman Old Style" w:eastAsia="Bookman Old Style" w:hAnsi="Bookman Old Style"/>
          <w:sz w:val="24"/>
          <w:szCs w:val="24"/>
        </w:rPr>
        <w:t xml:space="preserve">[3]   Z. Abbas and M. Rasool, "Unpredictable Intelligence: Exploring Emergent Behaviours in Autonomous Agents Driven by Reinforcement Learning Dynamics," arXiv preprint arXiv:2502.xxxxx, 2025.</w:t>
      </w:r>
    </w:p>
    <w:p>
      <w:pPr>
        <w:spacing w:after="160" w:line="276" w:lineRule="auto"/>
        <w:jc w:val="both"/>
      </w:pPr>
      <w:r>
        <w:rPr>
          <w:rFonts w:ascii="Bookman Old Style" w:cs="Bookman Old Style" w:eastAsia="Bookman Old Style" w:hAnsi="Bookman Old Style"/>
          <w:sz w:val="24"/>
          <w:szCs w:val="24"/>
        </w:rPr>
        <w:t xml:space="preserve">[4]   K. Zhang, Z. Yang, and T. Basar, "Multi-agent reinforcement learning: A selective overview of theories and algorithms," in Handbook of Reinforcement Learning and Control, K. G. Vamvoudakis et al., Eds. Springer, 2021, pp. 321–384.</w:t>
      </w:r>
    </w:p>
    <w:p>
      <w:pPr>
        <w:spacing w:after="160" w:line="276" w:lineRule="auto"/>
        <w:jc w:val="both"/>
      </w:pPr>
      <w:r>
        <w:rPr>
          <w:rFonts w:ascii="Bookman Old Style" w:cs="Bookman Old Style" w:eastAsia="Bookman Old Style" w:hAnsi="Bookman Old Style"/>
          <w:sz w:val="24"/>
          <w:szCs w:val="24"/>
        </w:rPr>
        <w:t xml:space="preserve">[5]   Y. Yu, Z. Zhai, W. Li, and J. Ma, "Target-Oriented Multi-Agent Coordination with Hierarchical Reinforcement Learning," Applied Sciences, vol. 14, no. 16, p. 7084, Aug. 2024.</w:t>
      </w:r>
    </w:p>
    <w:p>
      <w:pPr>
        <w:spacing w:after="160" w:line="276" w:lineRule="auto"/>
        <w:jc w:val="both"/>
      </w:pPr>
      <w:r>
        <w:rPr>
          <w:rFonts w:ascii="Bookman Old Style" w:cs="Bookman Old Style" w:eastAsia="Bookman Old Style" w:hAnsi="Bookman Old Style"/>
          <w:sz w:val="24"/>
          <w:szCs w:val="24"/>
        </w:rPr>
        <w:t xml:space="preserve">[6]   C. Li, S. Dong, S. Yang, Y. Hu, W. Li, and Y. Gao, "Coordinating Multi-Agent Reinforcement Learning via Dual Collaborative Constraints," Neural Networks, vol. 182, p. 106858, Feb. 2025.</w:t>
      </w:r>
    </w:p>
    <w:p>
      <w:pPr>
        <w:spacing w:after="160" w:line="276" w:lineRule="auto"/>
        <w:jc w:val="both"/>
      </w:pPr>
      <w:r>
        <w:rPr>
          <w:rFonts w:ascii="Bookman Old Style" w:cs="Bookman Old Style" w:eastAsia="Bookman Old Style" w:hAnsi="Bookman Old Style"/>
          <w:sz w:val="24"/>
          <w:szCs w:val="24"/>
        </w:rPr>
        <w:t xml:space="preserve">[7]   X. Mu, H. H. Zhuo, C. Chen, K. Zhang, C. Yu, and J. Hao, "Hierarchical task network-enhanced multi-agent reinforcement learning: Toward efficient cooperative strategies," Neural Networks, vol. 186, p. 107254, Jun. 2025.</w:t>
      </w:r>
    </w:p>
    <w:p>
      <w:pPr>
        <w:spacing w:after="160" w:line="276" w:lineRule="auto"/>
        <w:jc w:val="both"/>
      </w:pPr>
      <w:r>
        <w:rPr>
          <w:rFonts w:ascii="Bookman Old Style" w:cs="Bookman Old Style" w:eastAsia="Bookman Old Style" w:hAnsi="Bookman Old Style"/>
          <w:sz w:val="24"/>
          <w:szCs w:val="24"/>
        </w:rPr>
        <w:t xml:space="preserve">[8]   Z. Li et al., "Coordination as inference in multi-agent reinforcement learning," Neural Networks, vol. 172, p. 106101, Apr. 2024.</w:t>
      </w:r>
    </w:p>
    <w:p>
      <w:pPr>
        <w:spacing w:after="160" w:line="276" w:lineRule="auto"/>
        <w:jc w:val="both"/>
      </w:pPr>
      <w:r>
        <w:rPr>
          <w:rFonts w:ascii="Bookman Old Style" w:cs="Bookman Old Style" w:eastAsia="Bookman Old Style" w:hAnsi="Bookman Old Style"/>
          <w:sz w:val="24"/>
          <w:szCs w:val="24"/>
        </w:rPr>
        <w:t xml:space="preserve">[9]   Y. Shan, H. Liu, T. Long, and Y. Chang, "RD-HRL: Generating Reliable Sub-Goals for Long-Horizon Sparse-Reward Tasks," in Proc. 14th Int. Conf. Learning Representations (ICLR), 2026.</w:t>
      </w:r>
    </w:p>
    <w:p>
      <w:pPr>
        <w:spacing w:after="160" w:line="276" w:lineRule="auto"/>
        <w:jc w:val="both"/>
      </w:pPr>
      <w:r>
        <w:rPr>
          <w:rFonts w:ascii="Bookman Old Style" w:cs="Bookman Old Style" w:eastAsia="Bookman Old Style" w:hAnsi="Bookman Old Style"/>
          <w:sz w:val="24"/>
          <w:szCs w:val="24"/>
        </w:rPr>
        <w:t xml:space="preserve">[10]  T. Li, G. Wang, Q. Fu, M. Zhao, and X. Liu, "Hierarchical reinforcement learning with opponent modelling for command and control system," Complex and Intelligent Systems, vol. 12, no. 1, p. 20, Jan. 2026.</w:t>
      </w:r>
    </w:p>
    <w:p>
      <w:pPr>
        <w:spacing w:after="160" w:line="276" w:lineRule="auto"/>
        <w:jc w:val="both"/>
      </w:pPr>
      <w:r>
        <w:rPr>
          <w:rFonts w:ascii="Bookman Old Style" w:cs="Bookman Old Style" w:eastAsia="Bookman Old Style" w:hAnsi="Bookman Old Style"/>
          <w:sz w:val="24"/>
          <w:szCs w:val="24"/>
        </w:rPr>
        <w:t xml:space="preserve">[11]  P. Feng et al., "Hierarchical Consensus-Based Multi-Agent Reinforcement Learning for Multi-Robot Cooperation Tasks," in Proc. IEEE/RSJ Int. Conf. Intelligent Robots and Systems (IROS), IEEE, Oct. 2024, pp. 642–649.</w:t>
      </w:r>
    </w:p>
    <w:p>
      <w:pPr>
        <w:spacing w:after="160" w:line="276" w:lineRule="auto"/>
        <w:jc w:val="both"/>
      </w:pPr>
      <w:r>
        <w:rPr>
          <w:rFonts w:ascii="Bookman Old Style" w:cs="Bookman Old Style" w:eastAsia="Bookman Old Style" w:hAnsi="Bookman Old Style"/>
          <w:sz w:val="24"/>
          <w:szCs w:val="24"/>
        </w:rPr>
        <w:t xml:space="preserve">[12]  A. G. Barto and S. Mahadevan, "Recent advances in hierarchical reinforcement learning," Discrete Event Dynamic Systems, vol. 13, no. 4, pp. 341–379, 2003.</w:t>
      </w:r>
    </w:p>
    <w:p>
      <w:pPr>
        <w:spacing w:after="160" w:line="276" w:lineRule="auto"/>
        <w:jc w:val="both"/>
      </w:pPr>
      <w:r>
        <w:rPr>
          <w:rFonts w:ascii="Bookman Old Style" w:cs="Bookman Old Style" w:eastAsia="Bookman Old Style" w:hAnsi="Bookman Old Style"/>
          <w:sz w:val="24"/>
          <w:szCs w:val="24"/>
        </w:rPr>
        <w:t xml:space="preserve">[13]  R. S. Sutton and A. G. Barto, Reinforcement Learning: An Introduction, 2nd ed. Cambridge, MA: MIT Press, 2018.</w:t>
      </w:r>
    </w:p>
    <w:p>
      <w:pPr>
        <w:spacing w:after="160" w:line="276" w:lineRule="auto"/>
        <w:jc w:val="both"/>
      </w:pPr>
      <w:r>
        <w:rPr>
          <w:rFonts w:ascii="Bookman Old Style" w:cs="Bookman Old Style" w:eastAsia="Bookman Old Style" w:hAnsi="Bookman Old Style"/>
          <w:sz w:val="24"/>
          <w:szCs w:val="24"/>
        </w:rPr>
        <w:t xml:space="preserve">[14]  R. S. Sutton, D. Precup, and S. Singh, "Between MDPs and semi-MDPs: A framework for temporal abstraction in reinforcement learning," Artificial Intelligence, vol. 112, no. 1–2, pp. 181–211, 1999.</w:t>
      </w:r>
    </w:p>
    <w:p>
      <w:pPr>
        <w:spacing w:after="160" w:line="276" w:lineRule="auto"/>
        <w:jc w:val="both"/>
      </w:pPr>
      <w:r>
        <w:rPr>
          <w:rFonts w:ascii="Bookman Old Style" w:cs="Bookman Old Style" w:eastAsia="Bookman Old Style" w:hAnsi="Bookman Old Style"/>
          <w:sz w:val="24"/>
          <w:szCs w:val="24"/>
        </w:rPr>
        <w:t xml:space="preserve">[15]  S. M. Lundberg and S.-I. Lee, "A unified approach to interpreting model predictions," in Advances in Neural Information Processing Systems, vol. 30, 2017.</w:t>
      </w:r>
    </w:p>
    <w:p>
      <w:pPr>
        <w:spacing w:after="160" w:line="276" w:lineRule="auto"/>
        <w:jc w:val="both"/>
      </w:pPr>
      <w:r>
        <w:rPr>
          <w:rFonts w:ascii="Bookman Old Style" w:cs="Bookman Old Style" w:eastAsia="Bookman Old Style" w:hAnsi="Bookman Old Style"/>
          <w:sz w:val="24"/>
          <w:szCs w:val="24"/>
        </w:rPr>
        <w:t xml:space="preserve">[16]  M. T. Ribeiro, S. Singh, and C. Guestrin, "'Why should I trust you?': Explaining the predictions of any classifier," in Proc. ACM SIGKDD Int. Conf. Knowledge Discovery and Data Mining, 2016, pp. 1135–1144.</w:t>
      </w:r>
    </w:p>
    <w:p>
      <w:pPr>
        <w:spacing w:after="160" w:line="276" w:lineRule="auto"/>
        <w:jc w:val="both"/>
      </w:pPr>
      <w:r>
        <w:rPr>
          <w:rFonts w:ascii="Bookman Old Style" w:cs="Bookman Old Style" w:eastAsia="Bookman Old Style" w:hAnsi="Bookman Old Style"/>
          <w:sz w:val="24"/>
          <w:szCs w:val="24"/>
        </w:rPr>
        <w:t xml:space="preserve">[17]  V. Mnih et al., "Human-level control through deep reinforcement learning," Nature, vol. 518, no. 7540, pp. 529–533, Feb. 2015.</w:t>
      </w:r>
    </w:p>
    <w:p>
      <w:pPr>
        <w:spacing w:after="160" w:line="276" w:lineRule="auto"/>
        <w:jc w:val="both"/>
      </w:pPr>
      <w:r>
        <w:rPr>
          <w:rFonts w:ascii="Bookman Old Style" w:cs="Bookman Old Style" w:eastAsia="Bookman Old Style" w:hAnsi="Bookman Old Style"/>
          <w:sz w:val="24"/>
          <w:szCs w:val="24"/>
        </w:rPr>
        <w:t xml:space="preserve">[18]  J. Schulman, F. Wolski, P. Dhariwal, A. Radford, and O. Klimov, "Proximal policy optimisation algorithms," arXiv preprint arXiv:1707.06347, 2017.</w:t>
      </w:r>
    </w:p>
    <w:p>
      <w:pPr>
        <w:spacing w:after="160" w:line="276" w:lineRule="auto"/>
        <w:jc w:val="both"/>
      </w:pPr>
      <w:r>
        <w:rPr>
          <w:rFonts w:ascii="Bookman Old Style" w:cs="Bookman Old Style" w:eastAsia="Bookman Old Style" w:hAnsi="Bookman Old Style"/>
          <w:sz w:val="24"/>
          <w:szCs w:val="24"/>
        </w:rPr>
        <w:t xml:space="preserve">[19]  T. Rashid, M. Samvelyan, C. S. de Witt, G. Farquhar, J. Foerster, and S. Whiteson, "QMIX: Monotonic value function factorisation for deep multi-agent reinforcement learning," in Proc. Int. Conf. Machine Learning (ICML), 2018, pp. 4295–4304.</w:t>
      </w:r>
    </w:p>
    <w:p>
      <w:pPr>
        <w:spacing w:after="160" w:line="276" w:lineRule="auto"/>
        <w:jc w:val="both"/>
      </w:pPr>
      <w:r>
        <w:rPr>
          <w:rFonts w:ascii="Bookman Old Style" w:cs="Bookman Old Style" w:eastAsia="Bookman Old Style" w:hAnsi="Bookman Old Style"/>
          <w:sz w:val="24"/>
          <w:szCs w:val="24"/>
        </w:rPr>
        <w:t xml:space="preserve">[20]  R. Lowe, Y. Wu, A. Tamar, J. Harb, P. Abbeel, and I. Mordatch, "Multi-agent actor-critic for mixed cooperative-competitive environments," in Advances in Neural Information Processing Systems, vol. 30, 2017.</w:t>
      </w:r>
    </w:p>
    <w:p>
      <w:pPr>
        <w:spacing w:after="160" w:line="276" w:lineRule="auto"/>
        <w:jc w:val="both"/>
      </w:pPr>
      <w:r>
        <w:rPr>
          <w:rFonts w:ascii="Bookman Old Style" w:cs="Bookman Old Style" w:eastAsia="Bookman Old Style" w:hAnsi="Bookman Old Style"/>
          <w:sz w:val="24"/>
          <w:szCs w:val="24"/>
        </w:rPr>
        <w:t xml:space="preserve">[21]  A. Adadi and M. Berrada, "Peeking inside the black-box: A survey on explainable artificial intelligence (XAI)," IEEE Access, vol. 6, pp. 52138–52160, 2018.</w:t>
      </w:r>
    </w:p>
    <w:p>
      <w:pPr>
        <w:spacing w:after="160" w:line="276" w:lineRule="auto"/>
        <w:jc w:val="both"/>
      </w:pPr>
      <w:r>
        <w:rPr>
          <w:rFonts w:ascii="Bookman Old Style" w:cs="Bookman Old Style" w:eastAsia="Bookman Old Style" w:hAnsi="Bookman Old Style"/>
          <w:sz w:val="24"/>
          <w:szCs w:val="24"/>
        </w:rPr>
        <w:t xml:space="preserve">[22]  European Commission, "Regulation of the European Parliament and of the Council: Laying Down Harmonized Rules on Artificial Intelligence (Artificial Intelligence Act)," Tech. Rep. COM(2021) 206, Apr. 2021.</w:t>
      </w:r>
    </w:p>
    <w:p>
      <w:pPr>
        <w:spacing w:after="160" w:line="276" w:lineRule="auto"/>
        <w:jc w:val="both"/>
      </w:pPr>
      <w:r>
        <w:rPr>
          <w:rFonts w:ascii="Bookman Old Style" w:cs="Bookman Old Style" w:eastAsia="Bookman Old Style" w:hAnsi="Bookman Old Style"/>
          <w:sz w:val="24"/>
          <w:szCs w:val="24"/>
        </w:rPr>
        <w:t xml:space="preserve">[23]  M. Bohanec, M. Robnik-Sikonja, and M. Kljajic Borstnar, "Decision-making framework with double-loop learning through interpretable black-box machine learning models," Industrial Management and Data Systems, vol. 117, no. 7, pp. 1389–1406, 2017.</w:t>
      </w:r>
    </w:p>
    <w:p>
      <w:pPr>
        <w:spacing w:after="160" w:line="276" w:lineRule="auto"/>
        <w:jc w:val="both"/>
      </w:pPr>
      <w:r>
        <w:rPr>
          <w:rFonts w:ascii="Bookman Old Style" w:cs="Bookman Old Style" w:eastAsia="Bookman Old Style" w:hAnsi="Bookman Old Style"/>
          <w:sz w:val="24"/>
          <w:szCs w:val="24"/>
        </w:rPr>
        <w:t xml:space="preserve">[24]  J.-P. Huang, L. Gao, X.-Y. Li, and C.-J. Zhang, "A cooperative hierarchical deep reinforcement learning based multi-agent method for distributed job shop scheduling problem with random job arrivals," Computers and Industrial Engineering, vol. 185, p. 109650, Nov. 2023.</w:t>
      </w:r>
    </w:p>
    <w:p>
      <w:pPr>
        <w:spacing w:after="160" w:line="276" w:lineRule="auto"/>
        <w:jc w:val="both"/>
      </w:pPr>
      <w:r>
        <w:rPr>
          <w:rFonts w:ascii="Bookman Old Style" w:cs="Bookman Old Style" w:eastAsia="Bookman Old Style" w:hAnsi="Bookman Old Style"/>
          <w:sz w:val="24"/>
          <w:szCs w:val="24"/>
        </w:rPr>
        <w:t xml:space="preserve">[25]  O. Vinyals et al., "Grandmaster level in StarCraft II using multi-agent reinforcement learning," Nature, vol. 575, no. 7782, pp. 350–354, Nov. 2019.</w:t>
      </w:r>
    </w:p>
    <w:sectPr>
      <w:pgSz w:w="11906" w:h="16838" w:orient="portrait"/>
      <w:pgMar w:top="1440" w:right="126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ookman Old Style" w:cs="Bookman Old Style" w:eastAsia="Bookman Old Style" w:hAnsi="Bookman Old Styl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0" w:before="200"/>
      <w:outlineLvl w:val="0"/>
    </w:pPr>
    <w:rPr>
      <w:rFonts w:ascii="Bookman Old Style" w:cs="Bookman Old Style" w:eastAsia="Bookman Old Style" w:hAnsi="Bookman Old Style"/>
      <w:b/>
      <w:bCs/>
      <w:sz w:val="32"/>
      <w:szCs w:val="32"/>
    </w:rPr>
  </w:style>
  <w:style w:type="paragraph" w:styleId="Heading2">
    <w:name w:val="Heading 2"/>
    <w:basedOn w:val="Normal"/>
    <w:next w:val="Normal"/>
    <w:qFormat/>
    <w:pPr>
      <w:spacing w:after="160" w:before="320"/>
      <w:outlineLvl w:val="1"/>
    </w:pPr>
    <w:rPr>
      <w:rFonts w:ascii="Bookman Old Style" w:cs="Bookman Old Style" w:eastAsia="Bookman Old Style" w:hAnsi="Bookman Old Style"/>
      <w:b/>
      <w:bCs/>
      <w:sz w:val="28"/>
      <w:szCs w:val="28"/>
    </w:rPr>
  </w:style>
  <w:style w:type="paragraph" w:styleId="Heading3">
    <w:name w:val="Heading 3"/>
    <w:basedOn w:val="Normal"/>
    <w:next w:val="Normal"/>
    <w:qFormat/>
    <w:pPr>
      <w:spacing w:after="100" w:before="200"/>
      <w:outlineLvl w:val="2"/>
    </w:pPr>
    <w:rPr>
      <w:rFonts w:ascii="Bookman Old Style" w:cs="Bookman Old Style" w:eastAsia="Bookman Old Style" w:hAnsi="Bookman Old Style"/>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2026-06-08T21:00:12.412Z</dcterms:created>
  <dcterms:modified xsi:type="dcterms:W3CDTF">2026-06-08T21:00:12.413Z</dcterms:modified>
</cp:coreProperties>
</file>

<file path=docProps/custom.xml><?xml version="1.0" encoding="utf-8"?>
<Properties xmlns="http://schemas.openxmlformats.org/officeDocument/2006/custom-properties" xmlns:vt="http://schemas.openxmlformats.org/officeDocument/2006/docPropsVTypes"/>
</file>