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center"/>
      </w:pPr>
      <w:r>
        <w:rPr>
          <w:rFonts w:ascii="Bookman Old Style" w:cs="Bookman Old Style" w:eastAsia="Bookman Old Style" w:hAnsi="Bookman Old Style"/>
          <w:b/>
          <w:bCs/>
          <w:i w:val="false"/>
          <w:iCs w:val="false"/>
          <w:sz w:val="28"/>
          <w:szCs w:val="28"/>
        </w:rPr>
        <w:t xml:space="preserve">MARRI LAXMAN REDDY INSTITUTE OF TECHNOLOGY AND MANAGEMENT</w:t>
      </w:r>
    </w:p>
    <w:p>
      <w:pPr>
        <w:spacing w:after="100"/>
        <w:jc w:val="center"/>
      </w:pPr>
      <w:r>
        <w:rPr>
          <w:rFonts w:ascii="Bookman Old Style" w:cs="Bookman Old Style" w:eastAsia="Bookman Old Style" w:hAnsi="Bookman Old Style"/>
          <w:b w:val="false"/>
          <w:bCs w:val="false"/>
          <w:i w:val="false"/>
          <w:iCs w:val="false"/>
          <w:sz w:val="24"/>
          <w:szCs w:val="24"/>
        </w:rPr>
        <w:t xml:space="preserve">Dundigal, Hyderabad – 500 043, Telangana, India</w:t>
      </w:r>
    </w:p>
    <w:p>
      <w:pPr>
        <w:spacing w:after="400"/>
        <w:jc w:val="center"/>
      </w:pPr>
      <w:r>
        <w:rPr>
          <w:rFonts w:ascii="Bookman Old Style" w:cs="Bookman Old Style" w:eastAsia="Bookman Old Style" w:hAnsi="Bookman Old Style"/>
          <w:b/>
          <w:bCs/>
          <w:i w:val="false"/>
          <w:iCs w:val="false"/>
          <w:sz w:val="26"/>
          <w:szCs w:val="26"/>
        </w:rPr>
        <w:t xml:space="preserve">Department of Computer Science and Engineering</w:t>
      </w:r>
    </w:p>
    <w:p>
      <w:pPr>
        <w:spacing w:after="600"/>
        <w:jc w:val="center"/>
      </w:pPr>
      <w:r>
        <w:rPr>
          <w:rFonts w:ascii="Bookman Old Style" w:cs="Bookman Old Style" w:eastAsia="Bookman Old Style" w:hAnsi="Bookman Old Style"/>
          <w:b w:val="false"/>
          <w:bCs w:val="false"/>
          <w:i/>
          <w:iCs/>
          <w:sz w:val="24"/>
          <w:szCs w:val="24"/>
        </w:rPr>
        <w:t xml:space="preserve">M. Tech in Computer Science and Engineering</w:t>
      </w:r>
    </w:p>
    <w:p>
      <w:pPr>
        <w:spacing w:after="80"/>
        <w:jc w:val="center"/>
      </w:pPr>
      <w:r>
        <w:rPr>
          <w:rFonts w:ascii="Bookman Old Style" w:cs="Bookman Old Style" w:eastAsia="Bookman Old Style" w:hAnsi="Bookman Old Style"/>
          <w:b w:val="false"/>
          <w:bCs w:val="false"/>
          <w:i w:val="false"/>
          <w:iCs w:val="false"/>
          <w:sz w:val="24"/>
          <w:szCs w:val="24"/>
        </w:rPr>
        <w:t xml:space="preserve">A Mini Project Report Submitted in Partial Fulfillment of the Requirements</w:t>
      </w:r>
    </w:p>
    <w:p>
      <w:pPr>
        <w:spacing w:after="80"/>
        <w:jc w:val="center"/>
      </w:pPr>
      <w:r>
        <w:rPr>
          <w:rFonts w:ascii="Bookman Old Style" w:cs="Bookman Old Style" w:eastAsia="Bookman Old Style" w:hAnsi="Bookman Old Style"/>
          <w:b w:val="false"/>
          <w:bCs w:val="false"/>
          <w:i w:val="false"/>
          <w:iCs w:val="false"/>
          <w:sz w:val="24"/>
          <w:szCs w:val="24"/>
        </w:rPr>
        <w:t xml:space="preserve">for the Award of the Degree of</w:t>
      </w:r>
    </w:p>
    <w:p>
      <w:pPr>
        <w:spacing w:after="600"/>
        <w:jc w:val="center"/>
      </w:pPr>
      <w:r>
        <w:rPr>
          <w:rFonts w:ascii="Bookman Old Style" w:cs="Bookman Old Style" w:eastAsia="Bookman Old Style" w:hAnsi="Bookman Old Style"/>
          <w:b/>
          <w:bCs/>
          <w:i w:val="false"/>
          <w:iCs w:val="false"/>
          <w:sz w:val="26"/>
          <w:szCs w:val="26"/>
        </w:rPr>
        <w:t xml:space="preserve">Master of Technology</w:t>
      </w:r>
    </w:p>
    <w:p>
      <w:pPr>
        <w:spacing w:after="80"/>
        <w:jc w:val="center"/>
      </w:pPr>
      <w:r>
        <w:rPr>
          <w:rFonts w:ascii="Bookman Old Style" w:cs="Bookman Old Style" w:eastAsia="Bookman Old Style" w:hAnsi="Bookman Old Style"/>
          <w:b/>
          <w:bCs/>
          <w:i w:val="false"/>
          <w:iCs w:val="false"/>
          <w:sz w:val="28"/>
          <w:szCs w:val="28"/>
        </w:rPr>
        <w:t xml:space="preserve">EXPLAINABLE MULTI-AGENT HIERARCHICAL REINFORCEMENT</w:t>
      </w:r>
    </w:p>
    <w:p>
      <w:pPr>
        <w:spacing w:after="80"/>
        <w:jc w:val="center"/>
      </w:pPr>
      <w:r>
        <w:rPr>
          <w:rFonts w:ascii="Bookman Old Style" w:cs="Bookman Old Style" w:eastAsia="Bookman Old Style" w:hAnsi="Bookman Old Style"/>
          <w:b/>
          <w:bCs/>
          <w:i w:val="false"/>
          <w:iCs w:val="false"/>
          <w:sz w:val="28"/>
          <w:szCs w:val="28"/>
        </w:rPr>
        <w:t xml:space="preserve">LEARNING FOR COOPERATIVE SEARCH AND RESCUE</w:t>
      </w:r>
    </w:p>
    <w:p>
      <w:pPr>
        <w:spacing w:after="600"/>
        <w:jc w:val="center"/>
      </w:pPr>
      <w:r>
        <w:rPr>
          <w:rFonts w:ascii="Bookman Old Style" w:cs="Bookman Old Style" w:eastAsia="Bookman Old Style" w:hAnsi="Bookman Old Style"/>
          <w:b/>
          <w:bCs/>
          <w:i w:val="false"/>
          <w:iCs w:val="false"/>
          <w:sz w:val="28"/>
          <w:szCs w:val="28"/>
        </w:rPr>
        <w:t xml:space="preserve">IN DYNAMIC GRIDS</w:t>
      </w:r>
    </w:p>
    <w:p>
      <w:pPr>
        <w:spacing w:after="80"/>
        <w:jc w:val="center"/>
      </w:pPr>
      <w:r>
        <w:rPr>
          <w:rFonts w:ascii="Bookman Old Style" w:cs="Bookman Old Style" w:eastAsia="Bookman Old Style" w:hAnsi="Bookman Old Style"/>
          <w:b w:val="false"/>
          <w:bCs w:val="false"/>
          <w:i w:val="false"/>
          <w:iCs w:val="false"/>
          <w:sz w:val="24"/>
          <w:szCs w:val="24"/>
        </w:rPr>
        <w:t xml:space="preserve">Submitted by</w:t>
      </w:r>
    </w:p>
    <w:p>
      <w:pPr>
        <w:spacing w:after="80"/>
        <w:jc w:val="center"/>
      </w:pPr>
      <w:r>
        <w:rPr>
          <w:rFonts w:ascii="Bookman Old Style" w:cs="Bookman Old Style" w:eastAsia="Bookman Old Style" w:hAnsi="Bookman Old Style"/>
          <w:b/>
          <w:bCs/>
          <w:i w:val="false"/>
          <w:iCs w:val="false"/>
          <w:sz w:val="26"/>
          <w:szCs w:val="26"/>
        </w:rPr>
        <w:t xml:space="preserve">SRINIVAS RAO TAMMIREDDY</w:t>
      </w:r>
    </w:p>
    <w:p>
      <w:pPr>
        <w:spacing w:after="500"/>
        <w:jc w:val="center"/>
      </w:pPr>
      <w:r>
        <w:rPr>
          <w:rFonts w:ascii="Bookman Old Style" w:cs="Bookman Old Style" w:eastAsia="Bookman Old Style" w:hAnsi="Bookman Old Style"/>
          <w:b w:val="false"/>
          <w:bCs w:val="false"/>
          <w:i w:val="false"/>
          <w:iCs w:val="false"/>
          <w:sz w:val="24"/>
          <w:szCs w:val="24"/>
        </w:rPr>
        <w:t xml:space="preserve">Roll No: 23R21A0501</w:t>
      </w:r>
    </w:p>
    <w:p>
      <w:pPr>
        <w:spacing w:after="80"/>
        <w:jc w:val="center"/>
      </w:pPr>
      <w:r>
        <w:rPr>
          <w:rFonts w:ascii="Bookman Old Style" w:cs="Bookman Old Style" w:eastAsia="Bookman Old Style" w:hAnsi="Bookman Old Style"/>
          <w:b w:val="false"/>
          <w:bCs w:val="false"/>
          <w:i w:val="false"/>
          <w:iCs w:val="false"/>
          <w:sz w:val="24"/>
          <w:szCs w:val="24"/>
        </w:rPr>
        <w:t xml:space="preserve">Under the Guidance of</w:t>
      </w:r>
    </w:p>
    <w:p>
      <w:pPr>
        <w:spacing w:after="80"/>
        <w:jc w:val="center"/>
      </w:pPr>
      <w:r>
        <w:rPr>
          <w:rFonts w:ascii="Bookman Old Style" w:cs="Bookman Old Style" w:eastAsia="Bookman Old Style" w:hAnsi="Bookman Old Style"/>
          <w:b/>
          <w:bCs/>
          <w:i w:val="false"/>
          <w:iCs w:val="false"/>
          <w:sz w:val="26"/>
          <w:szCs w:val="26"/>
        </w:rPr>
        <w:t xml:space="preserve">Dr. S. Pratap Singh</w:t>
      </w:r>
    </w:p>
    <w:p>
      <w:pPr>
        <w:spacing w:after="500"/>
        <w:jc w:val="center"/>
      </w:pPr>
      <w:r>
        <w:rPr>
          <w:rFonts w:ascii="Bookman Old Style" w:cs="Bookman Old Style" w:eastAsia="Bookman Old Style" w:hAnsi="Bookman Old Style"/>
          <w:b w:val="false"/>
          <w:bCs w:val="false"/>
          <w:i w:val="false"/>
          <w:iCs w:val="false"/>
          <w:sz w:val="24"/>
          <w:szCs w:val="24"/>
        </w:rPr>
        <w:t xml:space="preserve">Professor, Department of Computer Science and Engineering</w:t>
      </w:r>
    </w:p>
    <w:p>
      <w:pPr>
        <w:spacing w:after="100"/>
        <w:jc w:val="center"/>
      </w:pPr>
      <w:r>
        <w:rPr>
          <w:rFonts w:ascii="Bookman Old Style" w:cs="Bookman Old Style" w:eastAsia="Bookman Old Style" w:hAnsi="Bookman Old Style"/>
          <w:b w:val="false"/>
          <w:bCs w:val="false"/>
          <w:i w:val="false"/>
          <w:iCs w:val="false"/>
          <w:sz w:val="24"/>
          <w:szCs w:val="24"/>
        </w:rPr>
        <w:t xml:space="preserve">Academic Year: 2024-2025</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DECLARATION</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I, Srinivas Rao Tammireddy, Roll No. 23R21A0501, pursuing M.Tech in Computer Science and Engineering at Marri Laxman Reddy Institute of Technology and Management, Dundigal, Hyderabad, hereby declare that the mini project report titled "Explainable Multi-Agent Hierarchical Reinforcement Learning for Cooperative Search and Rescue in Dynamic Grids" submitted in partial fulfillment of the requirements for the award of the degree of Master of Technology is a record of my original work carried out under the supervision of Dr. S. Pratap Singh, Professor, 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I further declare that this project report has not been submitted elsewhere, in part or in full, for the award of any other degree or diploma in any university or institution. All sources of information and references used in this work have been duly acknowledged.</w:t>
      </w:r>
    </w:p>
    <w:p>
      <w:pPr>
        <w:spacing w:after="180" w:line="276" w:lineRule="auto"/>
        <w:jc w:val="both"/>
      </w:pPr>
      <w:r>
        <w:rPr>
          <w:rFonts w:ascii="Bookman Old Style" w:cs="Bookman Old Style" w:eastAsia="Bookman Old Style" w:hAnsi="Bookman Old Style"/>
          <w:sz w:val="24"/>
          <w:szCs w:val="24"/>
        </w:rPr>
        <w:t xml:space="preserve">The work presented in this project report is genuine, original, and has been completed under the academic and research guidance provided by the faculty of the Department of Computer Science and Engineering.</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200"/>
        <w:jc w:val="center"/>
      </w:pPr>
      <w:r>
        <w:rPr>
          <w:rFonts w:ascii="Bookman Old Style" w:cs="Bookman Old Style" w:eastAsia="Bookman Old Style" w:hAnsi="Bookman Old Style"/>
          <w:b w:val="false"/>
          <w:bCs w:val="false"/>
          <w:i w:val="false"/>
          <w:iCs w:val="false"/>
          <w:sz w:val="24"/>
          <w:szCs w:val="24"/>
        </w:rPr>
        <w:t xml:space="preserve">(Srinivas Rao Tammireddy)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CERTIFICATE</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This is to certify that the mini project report titled "Explainable Multi-Agent Hierarchical Reinforcement Learning for Cooperative Search and Rescue in Dynamic Grids" submitted by Srinivas Rao Tammireddy (Roll No: 23R21A0501) in partial fulfillment of the requirements for the award of the degree of Master of Technology in Computer Science and Engineering at Marri Laxman Reddy Institute of Technology and Management, Dundigal, Hyderabad, is a record of original and independent work carried out by the candidate under my supervision and guidance.</w:t>
      </w:r>
    </w:p>
    <w:p>
      <w:pPr>
        <w:spacing w:after="180" w:line="276" w:lineRule="auto"/>
        <w:jc w:val="both"/>
      </w:pPr>
      <w:r>
        <w:rPr>
          <w:rFonts w:ascii="Bookman Old Style" w:cs="Bookman Old Style" w:eastAsia="Bookman Old Style" w:hAnsi="Bookman Old Style"/>
          <w:sz w:val="24"/>
          <w:szCs w:val="24"/>
        </w:rPr>
        <w:t xml:space="preserve">To the best of my knowledge, the work presented in this project report is genuine and original. No part of this report has been submitted previously for the award of any other degree or diploma in any university or institution.</w:t>
      </w:r>
    </w:p>
    <w:p>
      <w:pPr>
        <w:spacing w:after="180" w:line="276" w:lineRule="auto"/>
        <w:jc w:val="both"/>
      </w:pPr>
      <w:r>
        <w:rPr>
          <w:rFonts w:ascii="Bookman Old Style" w:cs="Bookman Old Style" w:eastAsia="Bookman Old Style" w:hAnsi="Bookman Old Style"/>
          <w:sz w:val="24"/>
          <w:szCs w:val="24"/>
        </w:rPr>
        <w:t xml:space="preserve">I recommend this project report to be placed before the examination committee for evaluation and approval.</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80"/>
      </w:pPr>
      <w:r>
        <w:rPr>
          <w:rFonts w:ascii="Bookman Old Style" w:cs="Bookman Old Style" w:eastAsia="Bookman Old Style" w:hAnsi="Bookman Old Style"/>
          <w:b/>
          <w:bCs/>
          <w:sz w:val="24"/>
          <w:szCs w:val="24"/>
        </w:rPr>
        <w:t xml:space="preserve">Dr. S. Pratap Singh</w:t>
      </w:r>
    </w:p>
    <w:p>
      <w:pPr>
        <w:spacing w:after="180" w:line="276" w:lineRule="auto"/>
        <w:jc w:val="both"/>
      </w:pPr>
      <w:r>
        <w:rPr>
          <w:rFonts w:ascii="Bookman Old Style" w:cs="Bookman Old Style" w:eastAsia="Bookman Old Style" w:hAnsi="Bookman Old Style"/>
          <w:sz w:val="24"/>
          <w:szCs w:val="24"/>
        </w:rPr>
        <w:t xml:space="preserve">Professor and Project Supervisor</w:t>
      </w:r>
    </w:p>
    <w:p>
      <w:pPr>
        <w:spacing w:after="180" w:line="276"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180" w:line="276" w:lineRule="auto"/>
        <w:jc w:val="both"/>
      </w:pPr>
      <w:r>
        <w:rPr>
          <w:rFonts w:ascii="Bookman Old Style" w:cs="Bookman Old Style" w:eastAsia="Bookman Old Style" w:hAnsi="Bookman Old Style"/>
          <w:sz w:val="24"/>
          <w:szCs w:val="24"/>
        </w:rPr>
        <w:t xml:space="preserve">Dundigal, Hyderabad – 500 043</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b/>
          <w:bCs/>
          <w:sz w:val="24"/>
          <w:szCs w:val="24"/>
        </w:rPr>
        <w:t xml:space="preserve">Head of Department</w:t>
      </w:r>
    </w:p>
    <w:p>
      <w:pPr>
        <w:spacing w:after="180" w:line="276"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ACKNOWLEDGMENT</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course of this project work. His deep expertise in artificial intelligence and reinforcement learning has been an immense source of inspiration and motivation.</w:t>
      </w:r>
    </w:p>
    <w:p>
      <w:pPr>
        <w:spacing w:after="180" w:line="276" w:lineRule="auto"/>
        <w:jc w:val="both"/>
      </w:pPr>
      <w:r>
        <w:rPr>
          <w:rFonts w:ascii="Bookman Old Style" w:cs="Bookman Old Style" w:eastAsia="Bookman Old Style" w:hAnsi="Bookman Old Style"/>
          <w:sz w:val="24"/>
          <w:szCs w:val="24"/>
        </w:rPr>
        <w:t xml:space="preserve">I extend my heartfelt gratitude to the Head of the Department of Computer Science and Engineering and the entire faculty staff for providing the necessary academic environment and computational resources throughout my M.Tech program.</w:t>
      </w:r>
    </w:p>
    <w:p>
      <w:pPr>
        <w:spacing w:after="180" w:line="276" w:lineRule="auto"/>
        <w:jc w:val="both"/>
      </w:pPr>
      <w:r>
        <w:rPr>
          <w:rFonts w:ascii="Bookman Old Style" w:cs="Bookman Old Style" w:eastAsia="Bookman Old Style" w:hAnsi="Bookman Old Style"/>
          <w:sz w:val="24"/>
          <w:szCs w:val="24"/>
        </w:rPr>
        <w:t xml:space="preserve">I am profoundly thankful to the Principal and Management of Marri Laxman Reddy Institute of Technology and Management for providing the infrastructure and a conducive learning environment that made this project possible.</w:t>
      </w:r>
    </w:p>
    <w:p>
      <w:pPr>
        <w:spacing w:after="180" w:line="276" w:lineRule="auto"/>
        <w:jc w:val="both"/>
      </w:pPr>
      <w:r>
        <w:rPr>
          <w:rFonts w:ascii="Bookman Old Style" w:cs="Bookman Old Style" w:eastAsia="Bookman Old Style" w:hAnsi="Bookman Old Style"/>
          <w:sz w:val="24"/>
          <w:szCs w:val="24"/>
        </w:rPr>
        <w:t xml:space="preserve">I also wish to acknowledge the researchers and authors of the numerous scholarly articles and conference proceedings that have formed the theoretical foundations of this work.</w:t>
      </w:r>
    </w:p>
    <w:p>
      <w:pPr>
        <w:spacing w:after="180" w:line="276" w:lineRule="auto"/>
        <w:jc w:val="both"/>
      </w:pPr>
      <w:r>
        <w:rPr>
          <w:rFonts w:ascii="Bookman Old Style" w:cs="Bookman Old Style" w:eastAsia="Bookman Old Style" w:hAnsi="Bookman Old Style"/>
          <w:sz w:val="24"/>
          <w:szCs w:val="24"/>
        </w:rPr>
        <w:t xml:space="preserve">Special thanks are due to my colleagues and peers for their stimulating discussions and moral encouragement during challenging phases of this project.</w:t>
      </w:r>
    </w:p>
    <w:p>
      <w:pPr>
        <w:spacing w:after="180" w:line="276" w:lineRule="auto"/>
        <w:jc w:val="both"/>
      </w:pPr>
      <w:r>
        <w:rPr>
          <w:rFonts w:ascii="Bookman Old Style" w:cs="Bookman Old Style" w:eastAsia="Bookman Old Style" w:hAnsi="Bookman Old Style"/>
          <w:sz w:val="24"/>
          <w:szCs w:val="24"/>
        </w:rPr>
        <w:t xml:space="preserve">Finally, I owe an immeasurable debt of gratitude to my family for their unwavering love, patience, and encouragement.</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right"/>
      </w:pPr>
      <w:r>
        <w:rPr>
          <w:rFonts w:ascii="Bookman Old Style" w:cs="Bookman Old Style" w:eastAsia="Bookman Old Style" w:hAnsi="Bookman Old Style"/>
          <w:sz w:val="24"/>
          <w:szCs w:val="24"/>
        </w:rPr>
        <w:t xml:space="preserve">Srinivas Rao Tammireddy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ABSTRACT</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Search and rescue (SAR) operations in disaster-stricken environments present demanding challenges for autonomous multi-agent systems. The dynamic and partially observable nature of disaster grids — characterized by spreading fire hazards, blocked pathways, and time-critical victim location requirements — demands coordination mechanisms that are efficient, adaptive, and interpretable by human rescue coordinators.</w:t>
      </w:r>
    </w:p>
    <w:p>
      <w:pPr>
        <w:spacing w:after="180" w:line="276" w:lineRule="auto"/>
        <w:jc w:val="both"/>
      </w:pPr>
      <w:r>
        <w:rPr>
          <w:rFonts w:ascii="Bookman Old Style" w:cs="Bookman Old Style" w:eastAsia="Bookman Old Style" w:hAnsi="Bookman Old Style"/>
          <w:sz w:val="24"/>
          <w:szCs w:val="24"/>
        </w:rPr>
        <w:t xml:space="preserve">This project presents an Explainable Multi-Agent Hierarchical Reinforcement Learning (EMARL-SAR) framework for cooperative search and rescue operations in dynamic grid environments. The framework deploys three heterogeneous agents — two reconnaissance drones and one path-clearing rescue rover — within a 15×15 dynamic grid representing a disaster zone. Agents learn cooperative rescue strategies through a two-level hierarchical policy architecture: the high-level policy uses a Q-table with epsilon-greedy selection to assign strategic macro-goals (quadrant assignments, charge station routing, or victim/debris targeting), while the low-level policy employs a Deep Q-Network (DQN) with a 64-64 MLP architecture combined with a BFS pathfinder for step-by-step primitive navigation actions.</w:t>
      </w:r>
    </w:p>
    <w:p>
      <w:pPr>
        <w:spacing w:after="180" w:line="276" w:lineRule="auto"/>
        <w:jc w:val="both"/>
      </w:pPr>
      <w:r>
        <w:rPr>
          <w:rFonts w:ascii="Bookman Old Style" w:cs="Bookman Old Style" w:eastAsia="Bookman Old Style" w:hAnsi="Bookman Old Style"/>
          <w:sz w:val="24"/>
          <w:szCs w:val="24"/>
        </w:rPr>
        <w:t xml:space="preserve">A dedicated Explainability Engine is integrated throughout the framework, providing real-time justifications of all agent decisions. The engine generates high-level sector assignment rationales, low-level spatial movement justifications, and gradient-based saliency attributions that decompose each decision into interpretable feature contributions (target proximity, battery status, and hazard avoidance).</w:t>
      </w:r>
    </w:p>
    <w:p>
      <w:pPr>
        <w:spacing w:after="180" w:line="276" w:lineRule="auto"/>
        <w:jc w:val="both"/>
      </w:pPr>
      <w:r>
        <w:rPr>
          <w:rFonts w:ascii="Bookman Old Style" w:cs="Bookman Old Style" w:eastAsia="Bookman Old Style" w:hAnsi="Bookman Old Style"/>
          <w:sz w:val="24"/>
          <w:szCs w:val="24"/>
        </w:rPr>
        <w:t xml:space="preserve">The EMARL-SAR framework is implemented in Python using PyTorch for DQN training, a custom grid environment, and an HTTP server with a live HTML dashboard for real-time visualization. Experimental evaluation demonstrates that the hierarchical approach achieves consistent victim rescue, with coordination efficiency improvements compared to flat single-policy baselines.</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b/>
          <w:bCs/>
          <w:sz w:val="24"/>
          <w:szCs w:val="24"/>
        </w:rPr>
        <w:t xml:space="preserve">Keywords: Search and Rescue, Multi-Agent Reinforcement Learning, Hierarchical Reinforcement Learning, Explainable AI, Dynamic Grid Environment, Cooperative Coordination, Decision Traceability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TABLE OF CONTENTS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46"/>
        <w:gridCol w:w="1200"/>
      </w:tblGrid>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Declaration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Certificate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Acknowledgment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iv</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Abstract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Table of Contents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Figures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viii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Tables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ix</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Abbreviations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1: INTRODUCTION</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1.2  Background of the Problem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1.3  Motivation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1.4  Problem Statement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Proposed Solution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1.6  Objectives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1.7  Scope of the 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Research Methodology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1.9  Organization of the Report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2: LITERATURE SURVEY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11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2.2  Existing Systems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2.3  Research Papers Review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2.4  Comparative Study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2.5  Research Gap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2.6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3: PROPOSED METHODOLOGY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22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3.2  Proposed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Working Principle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3.4  Proposed System Architecture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3.5  Module Descriptions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3.6  System Design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3.7  Mathematical Model</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3.8  Technologies Used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3.9  Hardware and 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39</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4: IMPLEMENTATION AND RESULTS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40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4.2  Experimental Setup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4.3  Implementation Details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4.4  Experimental Screenshots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4.5  Performance Evaluation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4.6  Discussion of Results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48</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5: CONCLUSION AND FUTURE WORK</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49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5.1  Conclusion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5.2  Contributions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5.3  Limitations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5.4  Future Scope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5.5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53</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54</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FIGURES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000"/>
        <w:gridCol w:w="6646"/>
        <w:gridCol w:w="1200"/>
      </w:tblGrid>
      <w:tr>
        <w:tc>
          <w:tcPr>
            <w:tcW w:type="dxa" w:w="1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Fig. No.</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Figure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Overall Architecture of the EMARL-SAR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27</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Two-Level Hierarchical Policy Structure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29</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Engine Workflow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SMDP Training Loop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State Diagram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3.6</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Decision and Navigation Flow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36</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TABLES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200"/>
        <w:gridCol w:w="6446"/>
        <w:gridCol w:w="1200"/>
      </w:tblGrid>
      <w:tr>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Table No.</w:t>
            </w:r>
          </w:p>
        </w:tc>
        <w:tc>
          <w:tcPr>
            <w:tcW w:type="dxa" w:w="6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Table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Comparative Study of Existing MARL and HRL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18</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38</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Hardware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38</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Hyperparameter Configuration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Environment Configuration Parameters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Performance Metrics Comparison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ABBREVIATIONS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6646"/>
      </w:tblGrid>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Abbreviation</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Full Form</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EMARL-SAR</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Multi-Agent RL for Search and Rescue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DQN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Q-Network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Semi-Markov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BFS</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Breadth-First Search</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FOV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Field of View</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SSE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Server-Sent Events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UAV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Unmanned Aerial Vehicle</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1: INTRODUCTION</w:t>
      </w:r>
    </w:p>
    <w:p>
      <w:pPr>
        <w:pStyle w:val="Heading2"/>
        <w:spacing w:after="160" w:before="320"/>
      </w:pPr>
      <w:r>
        <w:rPr>
          <w:rFonts w:ascii="Bookman Old Style" w:cs="Bookman Old Style" w:eastAsia="Bookman Old Style" w:hAnsi="Bookman Old Style"/>
          <w:b/>
          <w:bCs/>
          <w:sz w:val="28"/>
          <w:szCs w:val="28"/>
        </w:rPr>
        <w:t xml:space="preserve">1.1 Introduction</w:t>
      </w:r>
    </w:p>
    <w:p>
      <w:pPr>
        <w:spacing w:after="180" w:line="276" w:lineRule="auto"/>
        <w:jc w:val="both"/>
      </w:pPr>
      <w:r>
        <w:rPr>
          <w:rFonts w:ascii="Bookman Old Style" w:cs="Bookman Old Style" w:eastAsia="Bookman Old Style" w:hAnsi="Bookman Old Style"/>
          <w:sz w:val="24"/>
          <w:szCs w:val="24"/>
        </w:rPr>
        <w:t xml:space="preserve">Search and rescue (SAR) operations in disaster-stricken environments constitute one of the most time-critical and operationally demanding applications of autonomous multi-agent systems. Natural disasters such as earthquakes, building collapses, and industrial fires create environments that are inherently dangerous for human responders, partially observable due to structural damage, and dynamically evolving as hazards spread over time. The deployment of autonomous agents — unmanned aerial vehicles (UAVs) for reconnaissance and ground robots for physical rescue — has emerged as a promising approach to augment human SAR capabilities while minimizing risk to human responders.</w:t>
      </w:r>
    </w:p>
    <w:p>
      <w:pPr>
        <w:spacing w:after="180" w:line="276" w:lineRule="auto"/>
        <w:jc w:val="both"/>
      </w:pPr>
      <w:r>
        <w:rPr>
          <w:rFonts w:ascii="Bookman Old Style" w:cs="Bookman Old Style" w:eastAsia="Bookman Old Style" w:hAnsi="Bookman Old Style"/>
          <w:sz w:val="24"/>
          <w:szCs w:val="24"/>
        </w:rPr>
        <w:t xml:space="preserve">Multi-agent reinforcement learning (MARL) provides a principled framework for enabling autonomous agents to learn cooperative strategies through interaction with the environment. However, standard flat MARL approaches face fundamental scalability challenges in SAR scenarios due to the combinatorial explosion of the joint action space as the number of agents increases. Hierarchical reinforcement learning (HRL) addresses this challenge by decomposing the decision-making process into multiple levels of temporal abstraction, enabling agents to reason about strategic objectives separately from low-level navigation actions.</w:t>
      </w:r>
    </w:p>
    <w:p>
      <w:pPr>
        <w:spacing w:after="180" w:line="276" w:lineRule="auto"/>
        <w:jc w:val="both"/>
      </w:pPr>
      <w:r>
        <w:rPr>
          <w:rFonts w:ascii="Bookman Old Style" w:cs="Bookman Old Style" w:eastAsia="Bookman Old Style" w:hAnsi="Bookman Old Style"/>
          <w:sz w:val="24"/>
          <w:szCs w:val="24"/>
        </w:rPr>
        <w:t xml:space="preserve">A critical barrier to the deployment of autonomous SAR systems is the lack of decision transparency. Human rescue coordinators require an understanding of why autonomous agents select specific actions in order to maintain situational awareness, override erroneous decisions, and establish trust in the system. Explainable AI (XAI) techniques provide mechanisms for generating human-comprehensible justifications of agent decisions, addressing the transparency requirements of safety-critical autonomous systems.</w:t>
      </w:r>
    </w:p>
    <w:p>
      <w:pPr>
        <w:spacing w:after="180" w:line="276" w:lineRule="auto"/>
        <w:jc w:val="both"/>
      </w:pPr>
      <w:r>
        <w:rPr>
          <w:rFonts w:ascii="Bookman Old Style" w:cs="Bookman Old Style" w:eastAsia="Bookman Old Style" w:hAnsi="Bookman Old Style"/>
          <w:sz w:val="24"/>
          <w:szCs w:val="24"/>
        </w:rPr>
        <w:t xml:space="preserve">This project presents an Explainable Multi-Agent Hierarchical Reinforcement Learning (EMARL-SAR) framework that integrates hierarchical policy learning with a real-time explainability engine for cooperative SAR coordination in dynamic grid environments.</w:t>
      </w:r>
    </w:p>
    <w:p>
      <w:pPr>
        <w:pStyle w:val="Heading2"/>
        <w:spacing w:after="160" w:before="320"/>
      </w:pPr>
      <w:r>
        <w:rPr>
          <w:rFonts w:ascii="Bookman Old Style" w:cs="Bookman Old Style" w:eastAsia="Bookman Old Style" w:hAnsi="Bookman Old Style"/>
          <w:b/>
          <w:bCs/>
          <w:sz w:val="28"/>
          <w:szCs w:val="28"/>
        </w:rPr>
        <w:t xml:space="preserve">1.2 Background of the Problem</w:t>
      </w:r>
    </w:p>
    <w:p>
      <w:pPr>
        <w:spacing w:after="180" w:line="276" w:lineRule="auto"/>
        <w:jc w:val="both"/>
      </w:pPr>
      <w:r>
        <w:rPr>
          <w:rFonts w:ascii="Bookman Old Style" w:cs="Bookman Old Style" w:eastAsia="Bookman Old Style" w:hAnsi="Bookman Old Style"/>
          <w:sz w:val="24"/>
          <w:szCs w:val="24"/>
        </w:rPr>
        <w:t xml:space="preserve">Traditional SAR coordination relies on centralised human command and control, where rescue coordinators manually assign search sectors, monitor agent progress, and adjust plans in response to evolving conditions. This approach is inherently limited by human cognitive bandwidth — a single coordinator cannot effectively manage more than 2-3 autonomous agents simultaneously while processing dynamic environmental information.</w:t>
      </w:r>
    </w:p>
    <w:p>
      <w:pPr>
        <w:spacing w:after="180" w:line="276" w:lineRule="auto"/>
        <w:jc w:val="both"/>
      </w:pPr>
      <w:r>
        <w:rPr>
          <w:rFonts w:ascii="Bookman Old Style" w:cs="Bookman Old Style" w:eastAsia="Bookman Old Style" w:hAnsi="Bookman Old Style"/>
          <w:sz w:val="24"/>
          <w:szCs w:val="24"/>
        </w:rPr>
        <w:t xml:space="preserve">Reinforcement learning has demonstrated remarkable success in learning complex decision-making strategies through trial-and-error interaction with simulated environments. However, applying standard RL to multi-agent SAR coordination presents three fundamental challenges. First, the joint action space grows exponentially with the number of agents, making flat policy learning computationally intractable for large agent teams. Second, the credit assignment problem — determining which agent actions contributed to team success or failure — becomes significantly more complex in cooperative multi-agent settings. Third, the learned policies operate as opaque neural network models that provide no insight into the reasoning behind individual agent decisions.</w:t>
      </w:r>
    </w:p>
    <w:p>
      <w:pPr>
        <w:pStyle w:val="Heading2"/>
        <w:spacing w:after="160" w:before="320"/>
      </w:pPr>
      <w:r>
        <w:rPr>
          <w:rFonts w:ascii="Bookman Old Style" w:cs="Bookman Old Style" w:eastAsia="Bookman Old Style" w:hAnsi="Bookman Old Style"/>
          <w:b/>
          <w:bCs/>
          <w:sz w:val="28"/>
          <w:szCs w:val="28"/>
        </w:rPr>
        <w:t xml:space="preserve">1.3 Motivation</w:t>
      </w:r>
    </w:p>
    <w:p>
      <w:pPr>
        <w:spacing w:after="180" w:line="276" w:lineRule="auto"/>
        <w:jc w:val="both"/>
      </w:pPr>
      <w:r>
        <w:rPr>
          <w:rFonts w:ascii="Bookman Old Style" w:cs="Bookman Old Style" w:eastAsia="Bookman Old Style" w:hAnsi="Bookman Old Style"/>
          <w:sz w:val="24"/>
          <w:szCs w:val="24"/>
        </w:rPr>
        <w:t xml:space="preserve">The motivation for this project stems from the convergence of three research needs. First, there is a well-documented requirement for coordination mechanisms that can scale multi-agent SAR operations beyond the cognitive limits of human coordinators. Second, the hierarchical decomposition of SAR decision-making — separating strategic sector assignment from tactical navigation — aligns naturally with the operational structure of real-world SAR operations. Third, regulatory and operational requirements for autonomous systems in safety-critical domains demand decision transparency that current black-box MARL approaches cannot provide.</w:t>
      </w:r>
    </w:p>
    <w:p>
      <w:pPr>
        <w:spacing w:after="180" w:line="276" w:lineRule="auto"/>
        <w:jc w:val="both"/>
      </w:pPr>
      <w:r>
        <w:rPr>
          <w:rFonts w:ascii="Bookman Old Style" w:cs="Bookman Old Style" w:eastAsia="Bookman Old Style" w:hAnsi="Bookman Old Style"/>
          <w:sz w:val="24"/>
          <w:szCs w:val="24"/>
        </w:rPr>
        <w:t xml:space="preserve">The specific motivation for developing the EMARL-SAR framework arises from the observation that existing MARL approaches for SAR coordination treat the coordination problem as a monolithic flat policy learning task, ignoring the natural hierarchical structure of SAR operations. By explicitly decomposing the coordination problem into macro-goal assignment and micro-action execution, the framework can achieve more efficient learning while simultaneously enabling explanations at multiple levels of abstraction.</w:t>
      </w:r>
    </w:p>
    <w:p>
      <w:pPr>
        <w:pStyle w:val="Heading2"/>
        <w:spacing w:after="160" w:before="320"/>
      </w:pPr>
      <w:r>
        <w:rPr>
          <w:rFonts w:ascii="Bookman Old Style" w:cs="Bookman Old Style" w:eastAsia="Bookman Old Style" w:hAnsi="Bookman Old Style"/>
          <w:b/>
          <w:bCs/>
          <w:sz w:val="28"/>
          <w:szCs w:val="28"/>
        </w:rPr>
        <w:t xml:space="preserve">1.4 Problem Statement</w:t>
      </w:r>
    </w:p>
    <w:p>
      <w:pPr>
        <w:spacing w:after="180" w:line="276" w:lineRule="auto"/>
        <w:jc w:val="both"/>
      </w:pPr>
      <w:r>
        <w:rPr>
          <w:rFonts w:ascii="Bookman Old Style" w:cs="Bookman Old Style" w:eastAsia="Bookman Old Style" w:hAnsi="Bookman Old Style"/>
          <w:sz w:val="24"/>
          <w:szCs w:val="24"/>
        </w:rPr>
        <w:t xml:space="preserve">The problem addressed in this project is defined as follows: Given a dynamic grid environment containing multiple victims, obstacles (debris), and time-evolving hazards (spreading fire), design and implement a multi-agent coordination framework that enables heterogeneous autonomous agents (reconnaissance drones and rescue rovers) to cooperatively locate and rescue all victims while avoiding hazards, managing energy resources, and providing real-time human-interpretable explanations of all agent decisions.</w:t>
      </w:r>
    </w:p>
    <w:p>
      <w:pPr>
        <w:spacing w:after="180" w:line="276" w:lineRule="auto"/>
        <w:jc w:val="both"/>
      </w:pPr>
      <w:r>
        <w:rPr>
          <w:rFonts w:ascii="Bookman Old Style" w:cs="Bookman Old Style" w:eastAsia="Bookman Old Style" w:hAnsi="Bookman Old Style"/>
          <w:sz w:val="24"/>
          <w:szCs w:val="24"/>
        </w:rPr>
        <w:t xml:space="preserve">The problem encompasses three sub-challenges: (1) efficient hierarchical policy learning for multi-agent coordination under partial observability and dynamic hazards, (2) integration of real-time explainability mechanisms within the hierarchical decision-making pipeline, and (3) development of a live visualization dashboard for monitoring agent operations and explanation outputs.</w:t>
      </w:r>
    </w:p>
    <w:p>
      <w:pPr>
        <w:pStyle w:val="Heading2"/>
        <w:spacing w:after="160" w:before="320"/>
      </w:pPr>
      <w:r>
        <w:rPr>
          <w:rFonts w:ascii="Bookman Old Style" w:cs="Bookman Old Style" w:eastAsia="Bookman Old Style" w:hAnsi="Bookman Old Style"/>
          <w:b/>
          <w:bCs/>
          <w:sz w:val="28"/>
          <w:szCs w:val="28"/>
        </w:rPr>
        <w:t xml:space="preserve">1.5 Proposed Solution</w:t>
      </w:r>
    </w:p>
    <w:p>
      <w:pPr>
        <w:spacing w:after="180" w:line="276" w:lineRule="auto"/>
        <w:jc w:val="both"/>
      </w:pPr>
      <w:r>
        <w:rPr>
          <w:rFonts w:ascii="Bookman Old Style" w:cs="Bookman Old Style" w:eastAsia="Bookman Old Style" w:hAnsi="Bookman Old Style"/>
          <w:sz w:val="24"/>
          <w:szCs w:val="24"/>
        </w:rPr>
        <w:t xml:space="preserve">The proposed solution is the EMARL-SAR framework, a three-component system comprising: (1) a two-level hierarchical reinforcement learning architecture with a Q-table high-level policy for macro-goal assignment and a DQN low-level policy with BFS pathfinding for primitive action execution, (2) an Explainability Engine that generates high-level sector assignment justifications, low-level spatial movement explanations, and gradient-based saliency attributions for each agent decision, and (3) a live HTTP-based dashboard that visualises the grid environment, agent trajectories, and explanation outputs in real time.</w:t>
      </w:r>
    </w:p>
    <w:p>
      <w:pPr>
        <w:spacing w:after="180" w:line="276" w:lineRule="auto"/>
        <w:jc w:val="both"/>
      </w:pPr>
      <w:r>
        <w:rPr>
          <w:rFonts w:ascii="Bookman Old Style" w:cs="Bookman Old Style" w:eastAsia="Bookman Old Style" w:hAnsi="Bookman Old Style"/>
          <w:sz w:val="24"/>
          <w:szCs w:val="24"/>
        </w:rPr>
        <w:t xml:space="preserve">The framework deploys three heterogeneous agents — two reconnaissance drones (A1, A2) with the ability to fly over debris but vulnerability to fire, and one rescue rover (A3) capable of clearing debris and rescuing victims — within a 15×15 dynamic grid. The high-level policy operates on a discretised state space (battery level, exploration progress, coordination status) and selects from a macro-goal space including quadrant centers, charge stations, and nearest victims or debris. The low-level policy uses a 12-dimensional state vector (relative sub-goal direction, battery level, 3×3 local surroundings) and selects primitive actions (North, South, East, West, Interact) using a DQN with BFS-guided navigation.</w:t>
      </w:r>
    </w:p>
    <w:p>
      <w:pPr>
        <w:pStyle w:val="Heading2"/>
        <w:spacing w:after="160" w:before="320"/>
      </w:pPr>
      <w:r>
        <w:rPr>
          <w:rFonts w:ascii="Bookman Old Style" w:cs="Bookman Old Style" w:eastAsia="Bookman Old Style" w:hAnsi="Bookman Old Style"/>
          <w:b/>
          <w:bCs/>
          <w:sz w:val="28"/>
          <w:szCs w:val="28"/>
        </w:rPr>
        <w:t xml:space="preserve">1.6 Objectives</w:t>
      </w:r>
    </w:p>
    <w:p>
      <w:pPr>
        <w:spacing w:after="180" w:line="276" w:lineRule="auto"/>
        <w:jc w:val="both"/>
      </w:pPr>
      <w:r>
        <w:rPr>
          <w:rFonts w:ascii="Bookman Old Style" w:cs="Bookman Old Style" w:eastAsia="Bookman Old Style" w:hAnsi="Bookman Old Style"/>
          <w:sz w:val="24"/>
          <w:szCs w:val="24"/>
        </w:rPr>
        <w:t xml:space="preserve">The objectives of this project are:</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design and implement a two-level hierarchical reinforcement learning framework for cooperative multi-agent search and rescue in a dynamic grid environment.</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integrate a real-time Explainability Engine that generates human-interpretable justifications and gradient-based saliency attributions for all agent decisions.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evaluate the framework performance through rescue success metrics and comparative analysis against non-hierarchical baselines.</w:t>
      </w:r>
    </w:p>
    <w:p>
      <w:pPr>
        <w:pStyle w:val="Heading2"/>
        <w:spacing w:after="160" w:before="320"/>
      </w:pPr>
      <w:r>
        <w:rPr>
          <w:rFonts w:ascii="Bookman Old Style" w:cs="Bookman Old Style" w:eastAsia="Bookman Old Style" w:hAnsi="Bookman Old Style"/>
          <w:b/>
          <w:bCs/>
          <w:sz w:val="28"/>
          <w:szCs w:val="28"/>
        </w:rPr>
        <w:t xml:space="preserve">1.7 Scope of the Work</w:t>
      </w:r>
    </w:p>
    <w:p>
      <w:pPr>
        <w:spacing w:after="180" w:line="276" w:lineRule="auto"/>
        <w:jc w:val="both"/>
      </w:pPr>
      <w:r>
        <w:rPr>
          <w:rFonts w:ascii="Bookman Old Style" w:cs="Bookman Old Style" w:eastAsia="Bookman Old Style" w:hAnsi="Bookman Old Style"/>
          <w:sz w:val="24"/>
          <w:szCs w:val="24"/>
        </w:rPr>
        <w:t xml:space="preserve">The scope of this project encompasses the design, implementation, and experimental evaluation of the EMARL-SAR framework within a simulated 15×15 dynamic grid environment. The framework supports a team of 3 heterogeneous agents (2 drones and 1 rover) coordinating to rescue 3 victims while navigating around 10 debris obstacles and 2 fire sources with stochastic spread mechanics. The implementation uses Python with PyTorch for DQN training, a custom grid environment class, and an HTTP server with a browser-based HTML dashboard for real-time simulation visualization.</w:t>
      </w:r>
    </w:p>
    <w:p>
      <w:pPr>
        <w:spacing w:after="180" w:line="276" w:lineRule="auto"/>
        <w:jc w:val="both"/>
      </w:pPr>
      <w:r>
        <w:rPr>
          <w:rFonts w:ascii="Bookman Old Style" w:cs="Bookman Old Style" w:eastAsia="Bookman Old Style" w:hAnsi="Bookman Old Style"/>
          <w:sz w:val="24"/>
          <w:szCs w:val="24"/>
        </w:rPr>
        <w:t xml:space="preserve">The project does not include physical robot deployment, integration with real-world sensor data, or evaluation with professional SAR operators. These extensions are identified as future work directions.</w:t>
      </w:r>
    </w:p>
    <w:p>
      <w:pPr>
        <w:pStyle w:val="Heading2"/>
        <w:spacing w:after="160" w:before="320"/>
      </w:pPr>
      <w:r>
        <w:rPr>
          <w:rFonts w:ascii="Bookman Old Style" w:cs="Bookman Old Style" w:eastAsia="Bookman Old Style" w:hAnsi="Bookman Old Style"/>
          <w:b/>
          <w:bCs/>
          <w:sz w:val="28"/>
          <w:szCs w:val="28"/>
        </w:rPr>
        <w:t xml:space="preserve">1.8 Research Methodology</w:t>
      </w:r>
    </w:p>
    <w:p>
      <w:pPr>
        <w:spacing w:after="180" w:line="276" w:lineRule="auto"/>
        <w:jc w:val="both"/>
      </w:pPr>
      <w:r>
        <w:rPr>
          <w:rFonts w:ascii="Bookman Old Style" w:cs="Bookman Old Style" w:eastAsia="Bookman Old Style" w:hAnsi="Bookman Old Style"/>
          <w:sz w:val="24"/>
          <w:szCs w:val="24"/>
        </w:rPr>
        <w:t xml:space="preserve">The research methodology follows a systematic experimental approach comprising four phases. In the first phase, a comprehensive literature survey is conducted to identify existing approaches, research gaps, and relevant techniques in multi-agent RL, hierarchical RL, and explainable AI for autonomous systems. In the second phase, the EMARL-SAR framework is designed and implemented, including the environment simulator, hierarchical policy architecture, explainability engine, and visualization dashboard. In the third phase, the framework is trained using the SMDP-based hierarchical training loop and evaluated across performance metrics. In the fourth phase, the results are analyzed, compared against baselines, and conclusions are drawn.</w:t>
      </w:r>
    </w:p>
    <w:p>
      <w:pPr>
        <w:pStyle w:val="Heading2"/>
        <w:spacing w:after="160" w:before="320"/>
      </w:pPr>
      <w:r>
        <w:rPr>
          <w:rFonts w:ascii="Bookman Old Style" w:cs="Bookman Old Style" w:eastAsia="Bookman Old Style" w:hAnsi="Bookman Old Style"/>
          <w:b/>
          <w:bCs/>
          <w:sz w:val="28"/>
          <w:szCs w:val="28"/>
        </w:rPr>
        <w:t xml:space="preserve">1.9 Organization of the Report</w:t>
      </w:r>
    </w:p>
    <w:p>
      <w:pPr>
        <w:spacing w:after="180" w:line="276" w:lineRule="auto"/>
        <w:jc w:val="both"/>
      </w:pPr>
      <w:r>
        <w:rPr>
          <w:rFonts w:ascii="Bookman Old Style" w:cs="Bookman Old Style" w:eastAsia="Bookman Old Style" w:hAnsi="Bookman Old Style"/>
          <w:sz w:val="24"/>
          <w:szCs w:val="24"/>
        </w:rPr>
        <w:t xml:space="preserve">This report is organized into five chapters. Chapter 1 introduces the problem domain, motivation, objectives, and proposed solution. Chapter 2 presents a literature survey of related work in multi-agent RL, hierarchical RL, and explainable AI. Chapter 3 describes the proposed methodology, system architecture, module designs, and mathematical formulation. Chapter 4 details the implementation, experimental setup, and results analysis. Chapter 5 concludes with contributions, limitations, and future work directions.</w:t>
      </w:r>
    </w:p>
    <w:p>
      <w:pPr>
        <w:pStyle w:val="Heading2"/>
        <w:spacing w:after="160" w:before="320"/>
      </w:pPr>
      <w:r>
        <w:rPr>
          <w:rFonts w:ascii="Bookman Old Style" w:cs="Bookman Old Style" w:eastAsia="Bookman Old Style" w:hAnsi="Bookman Old Style"/>
          <w:b/>
          <w:bCs/>
          <w:sz w:val="28"/>
          <w:szCs w:val="28"/>
        </w:rPr>
        <w:t xml:space="preserve">1.10 Summary</w:t>
      </w:r>
    </w:p>
    <w:p>
      <w:pPr>
        <w:spacing w:after="180" w:line="276" w:lineRule="auto"/>
        <w:jc w:val="both"/>
      </w:pPr>
      <w:r>
        <w:rPr>
          <w:rFonts w:ascii="Bookman Old Style" w:cs="Bookman Old Style" w:eastAsia="Bookman Old Style" w:hAnsi="Bookman Old Style"/>
          <w:sz w:val="24"/>
          <w:szCs w:val="24"/>
        </w:rPr>
        <w:t xml:space="preserve">This chapter has introduced the problem of autonomous multi-agent SAR coordination, motivated the need for hierarchical and explainable approaches, stated the specific problem addressed, presented the proposed EMARL-SAR framework, and defined three concise project objectives. The chapter also outlined the research methodology, project scope, and report organization. The following chapter surveys the relevant literature to establish the theoretical and empirical foundations for the proposed framework.</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2: LITERATURE SURVEY</w:t>
      </w:r>
    </w:p>
    <w:p>
      <w:pPr>
        <w:pStyle w:val="Heading2"/>
        <w:spacing w:after="160" w:before="320"/>
      </w:pPr>
      <w:r>
        <w:rPr>
          <w:rFonts w:ascii="Bookman Old Style" w:cs="Bookman Old Style" w:eastAsia="Bookman Old Style" w:hAnsi="Bookman Old Style"/>
          <w:b/>
          <w:bCs/>
          <w:sz w:val="28"/>
          <w:szCs w:val="28"/>
        </w:rPr>
        <w:t xml:space="preserve">2.1 Introduction</w:t>
      </w:r>
    </w:p>
    <w:p>
      <w:pPr>
        <w:spacing w:after="180" w:line="276" w:lineRule="auto"/>
        <w:jc w:val="both"/>
      </w:pPr>
      <w:r>
        <w:rPr>
          <w:rFonts w:ascii="Bookman Old Style" w:cs="Bookman Old Style" w:eastAsia="Bookman Old Style" w:hAnsi="Bookman Old Style"/>
          <w:sz w:val="24"/>
          <w:szCs w:val="24"/>
        </w:rPr>
        <w:t xml:space="preserve">This chapter presents a comprehensive review of existing research across the three foundational areas that underpin the EMARL-SAR framework: multi-agent reinforcement learning (MARL), hierarchical reinforcement learning (HRL), and explainable artificial intelligence (XAI) for autonomous systems. The literature review identifies the current state of the art, highlights specific limitations of existing approaches, and establishes the research gap that the proposed framework addresses.</w:t>
      </w:r>
    </w:p>
    <w:p>
      <w:pPr>
        <w:pStyle w:val="Heading2"/>
        <w:spacing w:after="160" w:before="320"/>
      </w:pPr>
      <w:r>
        <w:rPr>
          <w:rFonts w:ascii="Bookman Old Style" w:cs="Bookman Old Style" w:eastAsia="Bookman Old Style" w:hAnsi="Bookman Old Style"/>
          <w:b/>
          <w:bCs/>
          <w:sz w:val="28"/>
          <w:szCs w:val="28"/>
        </w:rPr>
        <w:t xml:space="preserve">2.2 Existing Systems</w:t>
      </w:r>
    </w:p>
    <w:p>
      <w:pPr>
        <w:spacing w:after="180" w:line="276" w:lineRule="auto"/>
        <w:jc w:val="both"/>
      </w:pPr>
      <w:r>
        <w:rPr>
          <w:rFonts w:ascii="Bookman Old Style" w:cs="Bookman Old Style" w:eastAsia="Bookman Old Style" w:hAnsi="Bookman Old Style"/>
          <w:sz w:val="24"/>
          <w:szCs w:val="24"/>
        </w:rPr>
        <w:t xml:space="preserve">Several existing systems and frameworks have addressed components of the multi-agent SAR coordination problem. The PettingZoo library provides standardised multi-agent environment interfaces for MARL research. Stable Baselines3 and Ray RLlib offer production-quality implementations of RL algorithms including PPO and DQN. SHAP and LIME provide model-agnostic explainability tools for interpreting machine learning model predictions.</w:t>
      </w:r>
    </w:p>
    <w:p>
      <w:pPr>
        <w:spacing w:after="180" w:line="276" w:lineRule="auto"/>
        <w:jc w:val="both"/>
      </w:pPr>
      <w:r>
        <w:rPr>
          <w:rFonts w:ascii="Bookman Old Style" w:cs="Bookman Old Style" w:eastAsia="Bookman Old Style" w:hAnsi="Bookman Old Style"/>
          <w:sz w:val="24"/>
          <w:szCs w:val="24"/>
        </w:rPr>
        <w:t xml:space="preserve">However, no existing system integrates all three components — hierarchical multi-agent coordination, real-time explainability, and dynamic hazard environments — within a unified framework specifically designed for SAR operations. Existing MARL frameworks treat coordination as flat policy learning, existing XAI tools operate post-hoc rather than in real-time, and existing SAR simulations use static environments without dynamic hazard propagation.</w:t>
      </w:r>
    </w:p>
    <w:p>
      <w:pPr>
        <w:pStyle w:val="Heading2"/>
        <w:spacing w:after="160" w:before="320"/>
      </w:pPr>
      <w:r>
        <w:rPr>
          <w:rFonts w:ascii="Bookman Old Style" w:cs="Bookman Old Style" w:eastAsia="Bookman Old Style" w:hAnsi="Bookman Old Style"/>
          <w:b/>
          <w:bCs/>
          <w:sz w:val="28"/>
          <w:szCs w:val="28"/>
        </w:rPr>
        <w:t xml:space="preserve">2.3 Research Papers Review</w:t>
      </w:r>
    </w:p>
    <w:p>
      <w:pPr>
        <w:pStyle w:val="Heading3"/>
        <w:spacing w:after="100" w:before="200"/>
      </w:pPr>
      <w:r>
        <w:rPr>
          <w:rFonts w:ascii="Bookman Old Style" w:cs="Bookman Old Style" w:eastAsia="Bookman Old Style" w:hAnsi="Bookman Old Style"/>
          <w:b/>
          <w:bCs/>
          <w:sz w:val="24"/>
          <w:szCs w:val="24"/>
        </w:rPr>
        <w:t xml:space="preserve">Paper 1: Multi-Agent Reinforcement Learning: A Selective Overview (Zhang et al., 2021)</w:t>
      </w:r>
    </w:p>
    <w:p>
      <w:pPr>
        <w:spacing w:after="180" w:line="276" w:lineRule="auto"/>
        <w:jc w:val="both"/>
      </w:pPr>
      <w:r>
        <w:rPr>
          <w:rFonts w:ascii="Bookman Old Style" w:cs="Bookman Old Style" w:eastAsia="Bookman Old Style" w:hAnsi="Bookman Old Style"/>
          <w:sz w:val="24"/>
          <w:szCs w:val="24"/>
        </w:rPr>
        <w:t xml:space="preserve">Zhang, Yang, and Basar provide a comprehensive survey of MARL theories and algorithms, covering cooperative, competitive, and mixed settings. The survey establishes the theoretical foundations for multi-agent coordination including the credit assignment problem, non-stationarity of the environment from each agent's perspective, and the scalability challenges of joint action spaces. The paper identifies hierarchical decomposition as a promising direction for addressing scalability. Limitation: The survey does not address explainability requirements for MARL systems.</w:t>
      </w:r>
    </w:p>
    <w:p>
      <w:pPr>
        <w:pStyle w:val="Heading3"/>
        <w:spacing w:after="100" w:before="200"/>
      </w:pPr>
      <w:r>
        <w:rPr>
          <w:rFonts w:ascii="Bookman Old Style" w:cs="Bookman Old Style" w:eastAsia="Bookman Old Style" w:hAnsi="Bookman Old Style"/>
          <w:b/>
          <w:bCs/>
          <w:sz w:val="24"/>
          <w:szCs w:val="24"/>
        </w:rPr>
        <w:t xml:space="preserve">Paper 2: Target-Oriented Multi-Agent Coordination with HRL (Yu et al., 2024)</w:t>
      </w:r>
    </w:p>
    <w:p>
      <w:pPr>
        <w:spacing w:after="180" w:line="276" w:lineRule="auto"/>
        <w:jc w:val="both"/>
      </w:pPr>
      <w:r>
        <w:rPr>
          <w:rFonts w:ascii="Bookman Old Style" w:cs="Bookman Old Style" w:eastAsia="Bookman Old Style" w:hAnsi="Bookman Old Style"/>
          <w:sz w:val="24"/>
          <w:szCs w:val="24"/>
        </w:rPr>
        <w:t xml:space="preserve">Yu, Zhai, Li, and Ma propose a target-oriented multi-agent coordination framework using hierarchical reinforcement learning. Their approach uses a high-level policy to assign targets and a low-level policy to navigate agents. The framework demonstrates improved coordination efficiency on cooperative navigation tasks. Limitation: The framework assumes homogeneous agents and static environments without dynamic hazards.</w:t>
      </w:r>
    </w:p>
    <w:p>
      <w:pPr>
        <w:pStyle w:val="Heading3"/>
        <w:spacing w:after="100" w:before="200"/>
      </w:pPr>
      <w:r>
        <w:rPr>
          <w:rFonts w:ascii="Bookman Old Style" w:cs="Bookman Old Style" w:eastAsia="Bookman Old Style" w:hAnsi="Bookman Old Style"/>
          <w:b/>
          <w:bCs/>
          <w:sz w:val="24"/>
          <w:szCs w:val="24"/>
        </w:rPr>
        <w:t xml:space="preserve">Paper 3: Hierarchical Consensus-Based MARL for Multi-Robot Cooperation (Feng et al., 2024)</w:t>
      </w:r>
    </w:p>
    <w:p>
      <w:pPr>
        <w:spacing w:after="180" w:line="276" w:lineRule="auto"/>
        <w:jc w:val="both"/>
      </w:pPr>
      <w:r>
        <w:rPr>
          <w:rFonts w:ascii="Bookman Old Style" w:cs="Bookman Old Style" w:eastAsia="Bookman Old Style" w:hAnsi="Bookman Old Style"/>
          <w:sz w:val="24"/>
          <w:szCs w:val="24"/>
        </w:rPr>
        <w:t xml:space="preserve">Feng et al. introduce a consensus-based hierarchical MARL approach for multi-robot cooperation. The framework uses graph-based communication to achieve consensus among agents at the high level. Experimental results demonstrate improved coordination on robotics tasks. Limitation: The approach requires extensive inter-agent communication and does not include explainability mechanisms.</w:t>
      </w:r>
    </w:p>
    <w:p>
      <w:pPr>
        <w:pStyle w:val="Heading3"/>
        <w:spacing w:after="100" w:before="200"/>
      </w:pPr>
      <w:r>
        <w:rPr>
          <w:rFonts w:ascii="Bookman Old Style" w:cs="Bookman Old Style" w:eastAsia="Bookman Old Style" w:hAnsi="Bookman Old Style"/>
          <w:b/>
          <w:bCs/>
          <w:sz w:val="24"/>
          <w:szCs w:val="24"/>
        </w:rPr>
        <w:t xml:space="preserve">Paper 4: Between MDPs and Semi-MDPs (Sutton, Precup, and Singh, 1999)</w:t>
      </w:r>
    </w:p>
    <w:p>
      <w:pPr>
        <w:spacing w:after="180" w:line="276" w:lineRule="auto"/>
        <w:jc w:val="both"/>
      </w:pPr>
      <w:r>
        <w:rPr>
          <w:rFonts w:ascii="Bookman Old Style" w:cs="Bookman Old Style" w:eastAsia="Bookman Old Style" w:hAnsi="Bookman Old Style"/>
          <w:sz w:val="24"/>
          <w:szCs w:val="24"/>
        </w:rPr>
        <w:t xml:space="preserve">Sutton, Precup, and Singh establish the options framework for temporal abstraction in RL, defining the theoretical foundation for hierarchical decision-making. Options are temporally extended actions with initiation sets, policies, and termination conditions. The SMDP formulation enables Q-learning updates at the option level. This foundational work directly informs the high-level policy design in the EMARL-SAR framework.</w:t>
      </w:r>
    </w:p>
    <w:p>
      <w:pPr>
        <w:pStyle w:val="Heading3"/>
        <w:spacing w:after="100" w:before="200"/>
      </w:pPr>
      <w:r>
        <w:rPr>
          <w:rFonts w:ascii="Bookman Old Style" w:cs="Bookman Old Style" w:eastAsia="Bookman Old Style" w:hAnsi="Bookman Old Style"/>
          <w:b/>
          <w:bCs/>
          <w:sz w:val="24"/>
          <w:szCs w:val="24"/>
        </w:rPr>
        <w:t xml:space="preserve">Paper 5: A Unified Approach to Interpreting Model Predictions (Lundberg and Lee, 2017)</w:t>
      </w:r>
    </w:p>
    <w:p>
      <w:pPr>
        <w:spacing w:after="180" w:line="276" w:lineRule="auto"/>
        <w:jc w:val="both"/>
      </w:pPr>
      <w:r>
        <w:rPr>
          <w:rFonts w:ascii="Bookman Old Style" w:cs="Bookman Old Style" w:eastAsia="Bookman Old Style" w:hAnsi="Bookman Old Style"/>
          <w:sz w:val="24"/>
          <w:szCs w:val="24"/>
        </w:rPr>
        <w:t xml:space="preserve">Lundberg and Lee introduce SHAP (SHapley Additive exPlanations), a unified framework for interpreting model predictions based on Shapley values from cooperative game theory. SHAP provides theoretically grounded feature attributions that satisfy desirable properties including local accuracy and consistency. Limitation: SHAP computation can be expensive for real-time applications and requires multiple model evaluations per explanation.</w:t>
      </w:r>
    </w:p>
    <w:p>
      <w:pPr>
        <w:pStyle w:val="Heading3"/>
        <w:spacing w:after="100" w:before="200"/>
      </w:pPr>
      <w:r>
        <w:rPr>
          <w:rFonts w:ascii="Bookman Old Style" w:cs="Bookman Old Style" w:eastAsia="Bookman Old Style" w:hAnsi="Bookman Old Style"/>
          <w:b/>
          <w:bCs/>
          <w:sz w:val="24"/>
          <w:szCs w:val="24"/>
        </w:rPr>
        <w:t xml:space="preserve">Paper 6: Human-Level Control Through Deep RL (Mnih et al., 2015)</w:t>
      </w:r>
    </w:p>
    <w:p>
      <w:pPr>
        <w:spacing w:after="180" w:line="276" w:lineRule="auto"/>
        <w:jc w:val="both"/>
      </w:pPr>
      <w:r>
        <w:rPr>
          <w:rFonts w:ascii="Bookman Old Style" w:cs="Bookman Old Style" w:eastAsia="Bookman Old Style" w:hAnsi="Bookman Old Style"/>
          <w:sz w:val="24"/>
          <w:szCs w:val="24"/>
        </w:rPr>
        <w:t xml:space="preserve">Mnih et al. introduce the Deep Q-Network (DQN) architecture that combines deep learning with Q-learning through experience replay and target networks. DQN demonstrates human-level performance on Atari games from raw pixel inputs. The experience replay mechanism and target network stabilization techniques from this work are directly employed in the low-level policy of the EMARL-SAR framework.</w:t>
      </w:r>
    </w:p>
    <w:p>
      <w:pPr>
        <w:pStyle w:val="Heading3"/>
        <w:spacing w:after="100" w:before="200"/>
      </w:pPr>
      <w:r>
        <w:rPr>
          <w:rFonts w:ascii="Bookman Old Style" w:cs="Bookman Old Style" w:eastAsia="Bookman Old Style" w:hAnsi="Bookman Old Style"/>
          <w:b/>
          <w:bCs/>
          <w:sz w:val="24"/>
          <w:szCs w:val="24"/>
        </w:rPr>
        <w:t xml:space="preserve">Paper 7: QMIX: Monotonic Value Function Factorisation (Rashid et al., 2018)</w:t>
      </w:r>
    </w:p>
    <w:p>
      <w:pPr>
        <w:spacing w:after="180" w:line="276" w:lineRule="auto"/>
        <w:jc w:val="both"/>
      </w:pPr>
      <w:r>
        <w:rPr>
          <w:rFonts w:ascii="Bookman Old Style" w:cs="Bookman Old Style" w:eastAsia="Bookman Old Style" w:hAnsi="Bookman Old Style"/>
          <w:sz w:val="24"/>
          <w:szCs w:val="24"/>
        </w:rPr>
        <w:t xml:space="preserve">Rashid et al. propose QMIX, a value decomposition method for cooperative MARL that factorises the joint action-value function into per-agent utilities while enforcing monotonicity constraints. QMIX demonstrates strong performance on the StarCraft Multi-Agent Challenge. Limitation: QMIX operates as a flat MARL method without hierarchical temporal abstraction.</w:t>
      </w:r>
    </w:p>
    <w:p>
      <w:pPr>
        <w:pStyle w:val="Heading3"/>
        <w:spacing w:after="100" w:before="200"/>
      </w:pPr>
      <w:r>
        <w:rPr>
          <w:rFonts w:ascii="Bookman Old Style" w:cs="Bookman Old Style" w:eastAsia="Bookman Old Style" w:hAnsi="Bookman Old Style"/>
          <w:b/>
          <w:bCs/>
          <w:sz w:val="24"/>
          <w:szCs w:val="24"/>
        </w:rPr>
        <w:t xml:space="preserve">Paper 8: Peeking Inside the Black-Box: A Survey on XAI (Adadi and Berrada, 2018)</w:t>
      </w:r>
    </w:p>
    <w:p>
      <w:pPr>
        <w:spacing w:after="180" w:line="276" w:lineRule="auto"/>
        <w:jc w:val="both"/>
      </w:pPr>
      <w:r>
        <w:rPr>
          <w:rFonts w:ascii="Bookman Old Style" w:cs="Bookman Old Style" w:eastAsia="Bookman Old Style" w:hAnsi="Bookman Old Style"/>
          <w:sz w:val="24"/>
          <w:szCs w:val="24"/>
        </w:rPr>
        <w:t xml:space="preserve">Adadi and Berrada provide a comprehensive survey of XAI methods, categorising them into intrinsic interpretability (transparent models), post-hoc explanations (applied after training), and hybrid approaches. The survey identifies gradient-based attribution methods as computationally efficient alternatives to perturbation-based methods for real-time explanation generation. This insight directly informs the choice of gradient saliency in the EMARL-SAR explainability engine.</w:t>
      </w:r>
    </w:p>
    <w:p>
      <w:pPr>
        <w:pStyle w:val="Heading2"/>
        <w:spacing w:after="160" w:before="320"/>
      </w:pPr>
      <w:r>
        <w:rPr>
          <w:rFonts w:ascii="Bookman Old Style" w:cs="Bookman Old Style" w:eastAsia="Bookman Old Style" w:hAnsi="Bookman Old Style"/>
          <w:b/>
          <w:bCs/>
          <w:sz w:val="28"/>
          <w:szCs w:val="28"/>
        </w:rPr>
        <w:t xml:space="preserve">2.4 Comparative Study</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46"/>
        <w:gridCol w:w="1592"/>
        <w:gridCol w:w="1326"/>
        <w:gridCol w:w="1326"/>
        <w:gridCol w:w="1326"/>
        <w:gridCol w:w="1326"/>
      </w:tblGrid>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1592"/>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Multi-Agent</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Hierarchical</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Explainable</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Dynamic Env</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Heterogeneous</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Zhang et al. (MARL Survey)</w:t>
            </w:r>
          </w:p>
        </w:tc>
        <w:tc>
          <w:tcPr>
            <w:tcW w:type="dxa" w:w="159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Varies</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Yu et al. (Target-HRL)</w:t>
            </w:r>
          </w:p>
        </w:tc>
        <w:tc>
          <w:tcPr>
            <w:tcW w:type="dxa" w:w="159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Feng et al. (Consensus)</w:t>
            </w:r>
          </w:p>
        </w:tc>
        <w:tc>
          <w:tcPr>
            <w:tcW w:type="dxa" w:w="159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r>
      <w:tr>
        <w:tc>
          <w:tcPr>
            <w:tcW w:type="dxa" w:w="19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QMIX (Rashid et al.)</w:t>
            </w:r>
          </w:p>
        </w:tc>
        <w:tc>
          <w:tcPr>
            <w:tcW w:type="dxa" w:w="159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2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r>
      <w:tr>
        <w:tc>
          <w:tcPr>
            <w:tcW w:type="dxa" w:w="19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(Proposed)</w:t>
            </w:r>
          </w:p>
        </w:tc>
        <w:tc>
          <w:tcPr>
            <w:tcW w:type="dxa" w:w="1592"/>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32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2.1 demonstrates that the proposed EMARL-SAR framework is the only approach that simultaneously addresses all five desirable properties: multi-agent coordination, hierarchical temporal abstraction, integrated explainability, dynamic hazard environments, and heterogeneous agent support.</w:t>
      </w:r>
    </w:p>
    <w:p>
      <w:pPr>
        <w:pStyle w:val="Heading2"/>
        <w:spacing w:after="160" w:before="320"/>
      </w:pPr>
      <w:r>
        <w:rPr>
          <w:rFonts w:ascii="Bookman Old Style" w:cs="Bookman Old Style" w:eastAsia="Bookman Old Style" w:hAnsi="Bookman Old Style"/>
          <w:b/>
          <w:bCs/>
          <w:sz w:val="28"/>
          <w:szCs w:val="28"/>
        </w:rPr>
        <w:t xml:space="preserve">2.5 Research Gap</w:t>
      </w:r>
    </w:p>
    <w:p>
      <w:pPr>
        <w:spacing w:after="180" w:line="276" w:lineRule="auto"/>
        <w:jc w:val="both"/>
      </w:pPr>
      <w:r>
        <w:rPr>
          <w:rFonts w:ascii="Bookman Old Style" w:cs="Bookman Old Style" w:eastAsia="Bookman Old Style" w:hAnsi="Bookman Old Style"/>
          <w:sz w:val="24"/>
          <w:szCs w:val="24"/>
        </w:rPr>
        <w:t xml:space="preserve">The literature review reveals a significant research gap at the intersection of hierarchical MARL and real-time explainability for SAR coordination. While substantial progress has been made in MARL coordination algorithms (QMIX, MADDPG), hierarchical RL (options framework, feudal networks), and post-hoc XAI methods (SHAP, LIME), no existing work integrates these three components within a unified framework designed for dynamic SAR environments with heterogeneous agents.</w:t>
      </w:r>
    </w:p>
    <w:p>
      <w:pPr>
        <w:spacing w:after="180" w:line="276" w:lineRule="auto"/>
        <w:jc w:val="both"/>
      </w:pPr>
      <w:r>
        <w:rPr>
          <w:rFonts w:ascii="Bookman Old Style" w:cs="Bookman Old Style" w:eastAsia="Bookman Old Style" w:hAnsi="Bookman Old Style"/>
          <w:sz w:val="24"/>
          <w:szCs w:val="24"/>
        </w:rPr>
        <w:t xml:space="preserve">Specifically, the following gaps are identified: (1) existing hierarchical MARL methods assume homogeneous agents and static environments, (2) existing XAI methods for RL operate post-hoc and cannot provide real-time explanations during active coordination, and (3) no framework provides multi-level explanations (strategic and tactical) that match the hierarchical decision-making structure.</w:t>
      </w:r>
    </w:p>
    <w:p>
      <w:pPr>
        <w:pStyle w:val="Heading2"/>
        <w:spacing w:after="160" w:before="320"/>
      </w:pPr>
      <w:r>
        <w:rPr>
          <w:rFonts w:ascii="Bookman Old Style" w:cs="Bookman Old Style" w:eastAsia="Bookman Old Style" w:hAnsi="Bookman Old Style"/>
          <w:b/>
          <w:bCs/>
          <w:sz w:val="28"/>
          <w:szCs w:val="28"/>
        </w:rPr>
        <w:t xml:space="preserve">2.6 Summary</w:t>
      </w:r>
    </w:p>
    <w:p>
      <w:pPr>
        <w:spacing w:after="180" w:line="276" w:lineRule="auto"/>
        <w:jc w:val="both"/>
      </w:pPr>
      <w:r>
        <w:rPr>
          <w:rFonts w:ascii="Bookman Old Style" w:cs="Bookman Old Style" w:eastAsia="Bookman Old Style" w:hAnsi="Bookman Old Style"/>
          <w:sz w:val="24"/>
          <w:szCs w:val="24"/>
        </w:rPr>
        <w:t xml:space="preserve">This chapter has surveyed the relevant literature across MARL, HRL, and XAI, reviewed eight key research papers, presented a comparative study, and identified the specific research gap addressed by the EMARL-SAR framework. The next chapter presents the proposed methodology and system design.</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3: PROPOSED METHODOLOGY</w:t>
      </w:r>
    </w:p>
    <w:p>
      <w:pPr>
        <w:pStyle w:val="Heading2"/>
        <w:spacing w:after="160" w:before="320"/>
      </w:pPr>
      <w:r>
        <w:rPr>
          <w:rFonts w:ascii="Bookman Old Style" w:cs="Bookman Old Style" w:eastAsia="Bookman Old Style" w:hAnsi="Bookman Old Style"/>
          <w:b/>
          <w:bCs/>
          <w:sz w:val="28"/>
          <w:szCs w:val="28"/>
        </w:rPr>
        <w:t xml:space="preserve">3.1 Introduction</w:t>
      </w:r>
    </w:p>
    <w:p>
      <w:pPr>
        <w:spacing w:after="180" w:line="276" w:lineRule="auto"/>
        <w:jc w:val="both"/>
      </w:pPr>
      <w:r>
        <w:rPr>
          <w:rFonts w:ascii="Bookman Old Style" w:cs="Bookman Old Style" w:eastAsia="Bookman Old Style" w:hAnsi="Bookman Old Style"/>
          <w:sz w:val="24"/>
          <w:szCs w:val="24"/>
        </w:rPr>
        <w:t xml:space="preserve">This chapter presents the complete design and methodology of the EMARL-SAR framework. The chapter covers the proposed system overview, working principle, system architecture with embedded diagrams, detailed module descriptions aligned with the actual implementation, system design diagrams, mathematical formulation, and technology and hardware/software requirements.</w:t>
      </w:r>
    </w:p>
    <w:p>
      <w:pPr>
        <w:pStyle w:val="Heading2"/>
        <w:spacing w:after="160" w:before="320"/>
      </w:pPr>
      <w:r>
        <w:rPr>
          <w:rFonts w:ascii="Bookman Old Style" w:cs="Bookman Old Style" w:eastAsia="Bookman Old Style" w:hAnsi="Bookman Old Style"/>
          <w:b/>
          <w:bCs/>
          <w:sz w:val="28"/>
          <w:szCs w:val="28"/>
        </w:rPr>
        <w:t xml:space="preserve">3.2 Proposed System</w:t>
      </w:r>
    </w:p>
    <w:p>
      <w:pPr>
        <w:spacing w:after="180" w:line="276" w:lineRule="auto"/>
        <w:jc w:val="both"/>
      </w:pPr>
      <w:r>
        <w:rPr>
          <w:rFonts w:ascii="Bookman Old Style" w:cs="Bookman Old Style" w:eastAsia="Bookman Old Style" w:hAnsi="Bookman Old Style"/>
          <w:sz w:val="24"/>
          <w:szCs w:val="24"/>
        </w:rPr>
        <w:t xml:space="preserve">The EMARL-SAR framework is a multi-component system comprising five core modules: (1) the Search and Rescue Environment (SearchRescueEnv), a 15×15 dynamic grid simulator with debris obstacles, fire hazards with stochastic spread, charge stations, and hidden victims; (2) the High-Level Agent (HighLevelAgent), a Q-table-based policy that assigns macro-goals to each agent based on discretised environment state; (3) the Low-Level Agent (LowLevelAgent), a DQN-based policy combined with BFS pathfinding that executes primitive navigation actions to achieve assigned sub-goals; (4) the Explainability Engine (ExplainabilityEngine), which generates real-time justifications using rule-based reasoning and gradient-based saliency attribution; and (5) the Server and Dashboard (SARServerHandler), an HTTP server providing REST API endpoints for simulation control and real-time grid visualization through a browser-based HTML interface.</w:t>
      </w:r>
    </w:p>
    <w:p>
      <w:pPr>
        <w:spacing w:after="180" w:line="276" w:lineRule="auto"/>
        <w:jc w:val="both"/>
      </w:pPr>
      <w:r>
        <w:rPr>
          <w:rFonts w:ascii="Bookman Old Style" w:cs="Bookman Old Style" w:eastAsia="Bookman Old Style" w:hAnsi="Bookman Old Style"/>
          <w:sz w:val="24"/>
          <w:szCs w:val="24"/>
        </w:rPr>
        <w:t xml:space="preserve">The system operates with three heterogeneous agents: two reconnaissance drones (A1, A2) with the ability to fly over debris but vulnerability to fire, and one rescue rover (A3) capable of clearing debris and physically rescuing victims. Each agent has a battery resource that depletes with each action and can be replenished at charge stations.</w:t>
      </w:r>
    </w:p>
    <w:p>
      <w:pPr>
        <w:pStyle w:val="Heading2"/>
        <w:spacing w:after="160" w:before="320"/>
      </w:pPr>
      <w:r>
        <w:rPr>
          <w:rFonts w:ascii="Bookman Old Style" w:cs="Bookman Old Style" w:eastAsia="Bookman Old Style" w:hAnsi="Bookman Old Style"/>
          <w:b/>
          <w:bCs/>
          <w:sz w:val="28"/>
          <w:szCs w:val="28"/>
        </w:rPr>
        <w:t xml:space="preserve">3.3 Working Principle</w:t>
      </w:r>
    </w:p>
    <w:p>
      <w:pPr>
        <w:spacing w:after="180" w:line="276" w:lineRule="auto"/>
        <w:jc w:val="both"/>
      </w:pPr>
      <w:r>
        <w:rPr>
          <w:rFonts w:ascii="Bookman Old Style" w:cs="Bookman Old Style" w:eastAsia="Bookman Old Style" w:hAnsi="Bookman Old Style"/>
          <w:sz w:val="24"/>
          <w:szCs w:val="24"/>
        </w:rPr>
        <w:t xml:space="preserve">The working principle of the EMARL-SAR framework follows a hierarchical decision loop. At each timestep, agents without an assigned sub-goal invoke the high-level policy to receive a new macro-goal assignment. The high-level policy discretises the current observation into a compact state tuple — comprising battery level (low/adequate), exploration progress (unexplored cells remain), and coordination status — and selects a macro-goal using epsilon-greedy Q-table lookup. For drones, the macro-goal space includes four quadrant centers and the nearest charge station. For the rover, the space additionally includes the closest scanned victim and the closest debris obstacle.</w:t>
      </w:r>
    </w:p>
    <w:p>
      <w:pPr>
        <w:spacing w:after="180" w:line="276" w:lineRule="auto"/>
        <w:jc w:val="both"/>
      </w:pPr>
      <w:r>
        <w:rPr>
          <w:rFonts w:ascii="Bookman Old Style" w:cs="Bookman Old Style" w:eastAsia="Bookman Old Style" w:hAnsi="Bookman Old Style"/>
          <w:sz w:val="24"/>
          <w:szCs w:val="24"/>
        </w:rPr>
        <w:t xml:space="preserve">Once a sub-goal is assigned, the low-level policy computes primitive actions at every timestep. The agent position and sub-goal coordinates are encoded into a 12-dimensional feature vector: 2 elements for the normalised direction vector to the sub-goal, 1 element for the normalised battery level, and 9 elements encoding the 3×3 local grid surroundings (empty, debris, fire, or charge station). The BFS pathfinder first attempts to find an obstacle-aware shortest path; if successful, the next step in the path determines the action. If BFS fails (all paths blocked), the DQN serves as a fallback policy. The agent continues executing low-level actions until the sub-goal is reached, at which point the sub-goal is cleared and the high-level policy is invoked again.</w:t>
      </w:r>
    </w:p>
    <w:p>
      <w:pPr>
        <w:spacing w:after="180" w:line="276" w:lineRule="auto"/>
        <w:jc w:val="both"/>
      </w:pPr>
      <w:r>
        <w:rPr>
          <w:rFonts w:ascii="Bookman Old Style" w:cs="Bookman Old Style" w:eastAsia="Bookman Old Style" w:hAnsi="Bookman Old Style"/>
          <w:sz w:val="24"/>
          <w:szCs w:val="24"/>
        </w:rPr>
        <w:t xml:space="preserve">After each environment step, the Explainability Engine generates three types of outputs: (1) high-level justifications explaining why a particular sector or target was assigned, (2) low-level spatial justifications explaining why a specific movement direction was chosen, and (3) gradient saliency maps showing the percentage contribution of target proximity, battery status, and hazard avoidance features to the low-level decision.</w:t>
      </w:r>
    </w:p>
    <w:p>
      <w:pPr>
        <w:pStyle w:val="Heading2"/>
        <w:spacing w:after="160" w:before="320"/>
      </w:pPr>
      <w:r>
        <w:rPr>
          <w:rFonts w:ascii="Bookman Old Style" w:cs="Bookman Old Style" w:eastAsia="Bookman Old Style" w:hAnsi="Bookman Old Style"/>
          <w:b/>
          <w:bCs/>
          <w:sz w:val="28"/>
          <w:szCs w:val="28"/>
        </w:rPr>
        <w:t xml:space="preserve">3.4 Proposed System Architecture</w:t>
      </w:r>
    </w:p>
    <w:p>
      <w:pPr>
        <w:spacing w:after="180" w:line="276" w:lineRule="auto"/>
        <w:jc w:val="both"/>
      </w:pPr>
      <w:r>
        <w:rPr>
          <w:rFonts w:ascii="Bookman Old Style" w:cs="Bookman Old Style" w:eastAsia="Bookman Old Style" w:hAnsi="Bookman Old Style"/>
          <w:sz w:val="24"/>
          <w:szCs w:val="24"/>
        </w:rPr>
        <w:t xml:space="preserve">The overall architecture of the EMARL-SAR framework is illustrated in Figure 3.1. The architecture shows the relationship between the environment, the two-level HRL policy, the explainability engine, and the live dashboard.</w:t>
      </w:r>
    </w:p>
    <w:p>
      <w:pPr>
        <w:spacing w:after="180" w:line="276" w:lineRule="auto"/>
        <w:jc w:val="both"/>
      </w:pPr>
      <w:r>
        <w:rPr>
          <w:rFonts w:ascii="Bookman Old Style" w:cs="Bookman Old Style" w:eastAsia="Bookman Old Style" w:hAnsi="Bookman Old Style"/>
          <w:sz w:val="24"/>
          <w:szCs w:val="24"/>
        </w:rPr>
        <w:t xml:space="preserve">[Figure 3.1: Overall Architecture of the EMARL-SAR Framework — Image file not found: system_architecture.png]</w:t>
      </w:r>
    </w:p>
    <w:p>
      <w:pPr>
        <w:spacing w:after="300"/>
        <w:jc w:val="center"/>
      </w:pPr>
      <w:r>
        <w:rPr>
          <w:rFonts w:ascii="Bookman Old Style" w:cs="Bookman Old Style" w:eastAsia="Bookman Old Style" w:hAnsi="Bookman Old Style"/>
          <w:b w:val="false"/>
          <w:bCs w:val="false"/>
          <w:i/>
          <w:iCs/>
          <w:sz w:val="22"/>
          <w:szCs w:val="22"/>
        </w:rPr>
        <w:t xml:space="preserve">Figure 3.1: Overall Architecture of the EMARL-SAR Framework</w:t>
      </w:r>
    </w:p>
    <w:p>
      <w:pPr>
        <w:spacing w:after="180" w:line="276" w:lineRule="auto"/>
        <w:jc w:val="both"/>
      </w:pPr>
      <w:r>
        <w:rPr>
          <w:rFonts w:ascii="Bookman Old Style" w:cs="Bookman Old Style" w:eastAsia="Bookman Old Style" w:hAnsi="Bookman Old Style"/>
          <w:sz w:val="24"/>
          <w:szCs w:val="24"/>
        </w:rPr>
        <w:t xml:space="preserve">The two-level hierarchical policy structure is detailed in Figure 3.2, showing the Q-table high-level policy, the macro-goal space, and the DQN+BFS low-level policy with the SMDP update mechanism.</w:t>
      </w:r>
    </w:p>
    <w:p>
      <w:pPr>
        <w:spacing w:after="180" w:line="276" w:lineRule="auto"/>
        <w:jc w:val="both"/>
      </w:pPr>
      <w:r>
        <w:rPr>
          <w:rFonts w:ascii="Bookman Old Style" w:cs="Bookman Old Style" w:eastAsia="Bookman Old Style" w:hAnsi="Bookman Old Style"/>
          <w:sz w:val="24"/>
          <w:szCs w:val="24"/>
        </w:rPr>
        <w:t xml:space="preserve">[Figure 3.2: Two-Level Hierarchical Policy Structure — Image file not found: hrl_policy_structure.png]</w:t>
      </w:r>
    </w:p>
    <w:p>
      <w:pPr>
        <w:spacing w:after="300"/>
        <w:jc w:val="center"/>
      </w:pPr>
      <w:r>
        <w:rPr>
          <w:rFonts w:ascii="Bookman Old Style" w:cs="Bookman Old Style" w:eastAsia="Bookman Old Style" w:hAnsi="Bookman Old Style"/>
          <w:b w:val="false"/>
          <w:bCs w:val="false"/>
          <w:i/>
          <w:iCs/>
          <w:sz w:val="22"/>
          <w:szCs w:val="22"/>
        </w:rPr>
        <w:t xml:space="preserve">Figure 3.2: Two-Level Hierarchical Policy Structure</w:t>
      </w:r>
    </w:p>
    <w:p>
      <w:pPr>
        <w:pStyle w:val="Heading2"/>
        <w:spacing w:after="160" w:before="320"/>
      </w:pPr>
      <w:r>
        <w:rPr>
          <w:rFonts w:ascii="Bookman Old Style" w:cs="Bookman Old Style" w:eastAsia="Bookman Old Style" w:hAnsi="Bookman Old Style"/>
          <w:b/>
          <w:bCs/>
          <w:sz w:val="28"/>
          <w:szCs w:val="28"/>
        </w:rPr>
        <w:t xml:space="preserve">3.5 Module Descriptions</w:t>
      </w:r>
    </w:p>
    <w:p>
      <w:pPr>
        <w:pStyle w:val="Heading3"/>
        <w:spacing w:after="100" w:before="200"/>
      </w:pPr>
      <w:r>
        <w:rPr>
          <w:rFonts w:ascii="Bookman Old Style" w:cs="Bookman Old Style" w:eastAsia="Bookman Old Style" w:hAnsi="Bookman Old Style"/>
          <w:b/>
          <w:bCs/>
          <w:sz w:val="24"/>
          <w:szCs w:val="24"/>
        </w:rPr>
        <w:t xml:space="preserve">3.5.1 Search and Rescue Environment (SearchRescueEnv)</w:t>
      </w:r>
    </w:p>
    <w:p>
      <w:pPr>
        <w:spacing w:after="180" w:line="276" w:lineRule="auto"/>
        <w:jc w:val="both"/>
      </w:pPr>
      <w:r>
        <w:rPr>
          <w:rFonts w:ascii="Bookman Old Style" w:cs="Bookman Old Style" w:eastAsia="Bookman Old Style" w:hAnsi="Bookman Old Style"/>
          <w:sz w:val="24"/>
          <w:szCs w:val="24"/>
        </w:rPr>
        <w:t xml:space="preserve">The SearchRescueEnv class implements a 15×15 discrete grid environment with the following components: (a) Grid layers encoding cell types: 0 for empty, 1 for debris/obstacle, 2 for fire, and 3 for charge station. (b) Two charge stations positioned at fixed locations on opposite sides of the grid. (c) 10 randomly spawned debris obstacles in the interior region. (d) 2 fire seed locations that spread stochastically — every 7 timesteps, each fire cell has an 18% probability of spreading to each empty adjacent cell. (e) 3 victims with a three-stage lifecycle: hidden (not yet discovered), scanned (detected by drone FOV), and rescued (physically retrieved by rover).</w:t>
      </w:r>
    </w:p>
    <w:p>
      <w:pPr>
        <w:spacing w:after="180" w:line="276" w:lineRule="auto"/>
        <w:jc w:val="both"/>
      </w:pPr>
      <w:r>
        <w:rPr>
          <w:rFonts w:ascii="Bookman Old Style" w:cs="Bookman Old Style" w:eastAsia="Bookman Old Style" w:hAnsi="Bookman Old Style"/>
          <w:sz w:val="24"/>
          <w:szCs w:val="24"/>
        </w:rPr>
        <w:t xml:space="preserve">Agents have role-specific capabilities: drones can fly over debris but are destroyed by fire, while the rover cannot cross debris (must clear it first) but can clear adjacent debris and rescue victims. All agents consume battery at each step (1 unit for movement, 4 units for debris clearing, 0 for charging). When battery reaches 0, the agent becomes inactive. The episode terminates when all victims are rescued (success), all agents are inactive (failure), or the step count exceeds 150 (timeout).</w:t>
      </w:r>
    </w:p>
    <w:p>
      <w:pPr>
        <w:spacing w:after="180" w:line="276" w:lineRule="auto"/>
        <w:jc w:val="both"/>
      </w:pPr>
      <w:r>
        <w:rPr>
          <w:rFonts w:ascii="Bookman Old Style" w:cs="Bookman Old Style" w:eastAsia="Bookman Old Style" w:hAnsi="Bookman Old Style"/>
          <w:sz w:val="24"/>
          <w:szCs w:val="24"/>
        </w:rPr>
        <w:t xml:space="preserve">The reward structure provides cooperative incentives: rescuing a victim yields +40 for the rover and +15 shared reward for each drone, clearing debris yields +12 for the rover and +4 shared for drones, recharging yields +5, while fire collision yields -25, battery exhaustion yields -20, and a small time penalty of -0.1 per step encourages efficiency.</w:t>
      </w:r>
    </w:p>
    <w:p>
      <w:pPr>
        <w:pStyle w:val="Heading3"/>
        <w:spacing w:after="100" w:before="200"/>
      </w:pPr>
      <w:r>
        <w:rPr>
          <w:rFonts w:ascii="Bookman Old Style" w:cs="Bookman Old Style" w:eastAsia="Bookman Old Style" w:hAnsi="Bookman Old Style"/>
          <w:b/>
          <w:bCs/>
          <w:sz w:val="24"/>
          <w:szCs w:val="24"/>
        </w:rPr>
        <w:t xml:space="preserve">3.5.2 High-Level Agent (HighLevelAgent)</w:t>
      </w:r>
    </w:p>
    <w:p>
      <w:pPr>
        <w:spacing w:after="180" w:line="276" w:lineRule="auto"/>
        <w:jc w:val="both"/>
      </w:pPr>
      <w:r>
        <w:rPr>
          <w:rFonts w:ascii="Bookman Old Style" w:cs="Bookman Old Style" w:eastAsia="Bookman Old Style" w:hAnsi="Bookman Old Style"/>
          <w:sz w:val="24"/>
          <w:szCs w:val="24"/>
        </w:rPr>
        <w:t xml:space="preserve">The HighLevelAgent implements a tabular Q-learning policy operating on a discretised state space. For drones, the state tuple is (battery_low, unexplored, overlap) where battery_low is 1 if battery is below 40%, unexplored is 1 if the average grid exploration is below 90%, and overlap is a placeholder for coordination state. For the rover, the state tuple is (battery_low, scanned_victim_exists, debris_exists). The drone action space includes 5 macro-goals (4 quadrant centers at coordinates [3,3], [3,11], [11,3], [11,11] and the nearest charge pad), while the rover action space includes 7 macro-goals (the 5 drone goals plus the closest scanned victim and closest debris).</w:t>
      </w:r>
    </w:p>
    <w:p>
      <w:pPr>
        <w:spacing w:after="180" w:line="276" w:lineRule="auto"/>
        <w:jc w:val="both"/>
      </w:pPr>
      <w:r>
        <w:rPr>
          <w:rFonts w:ascii="Bookman Old Style" w:cs="Bookman Old Style" w:eastAsia="Bookman Old Style" w:hAnsi="Bookman Old Style"/>
          <w:sz w:val="24"/>
          <w:szCs w:val="24"/>
        </w:rPr>
        <w:t xml:space="preserve">Macro-goal selection uses epsilon-greedy exploration with decay schedule epsilon = max(0.05, 0.15 × 0.95^(ep/10)). The Q-table is updated using the standard Bellman equation with learning rate alpha = 0.15 and discount factor gamma = 0.9. Updates follow the SMDP formulation: the accumulated reward from the entire option execution (from sub-goal assignment to sub-goal completion) is used for a single Q-update at the macro level.</w:t>
      </w:r>
    </w:p>
    <w:p>
      <w:pPr>
        <w:pStyle w:val="Heading3"/>
        <w:spacing w:after="100" w:before="200"/>
      </w:pPr>
      <w:r>
        <w:rPr>
          <w:rFonts w:ascii="Bookman Old Style" w:cs="Bookman Old Style" w:eastAsia="Bookman Old Style" w:hAnsi="Bookman Old Style"/>
          <w:b/>
          <w:bCs/>
          <w:sz w:val="24"/>
          <w:szCs w:val="24"/>
        </w:rPr>
        <w:t xml:space="preserve">3.5.3 Low-Level Agent (LowLevelAgent)</w:t>
      </w:r>
    </w:p>
    <w:p>
      <w:pPr>
        <w:spacing w:after="180" w:line="276" w:lineRule="auto"/>
        <w:jc w:val="both"/>
      </w:pPr>
      <w:r>
        <w:rPr>
          <w:rFonts w:ascii="Bookman Old Style" w:cs="Bookman Old Style" w:eastAsia="Bookman Old Style" w:hAnsi="Bookman Old Style"/>
          <w:sz w:val="24"/>
          <w:szCs w:val="24"/>
        </w:rPr>
        <w:t xml:space="preserve">The LowLevelAgent implements a Deep Q-Network (DQN) with a 64-64 fully connected architecture (Linear(12,64) → ReLU → Linear(64,64) → ReLU → Linear(64,5)) for primitive action selection. Separate policy and target networks are maintained for drone and rover agents (shared architecture, separate weights). The experience replay buffer stores up to 5000 transitions, and mini-batch training uses 64-sample batches with MSE loss and Adam optimizer (learning rate 1e-3).</w:t>
      </w:r>
    </w:p>
    <w:p>
      <w:pPr>
        <w:spacing w:after="180" w:line="276" w:lineRule="auto"/>
        <w:jc w:val="both"/>
      </w:pPr>
      <w:r>
        <w:rPr>
          <w:rFonts w:ascii="Bookman Old Style" w:cs="Bookman Old Style" w:eastAsia="Bookman Old Style" w:hAnsi="Bookman Old Style"/>
          <w:sz w:val="24"/>
          <w:szCs w:val="24"/>
        </w:rPr>
        <w:t xml:space="preserve">The primary action selection mechanism is a BFS pathfinder rather than the DQN directly. The BFS module finds the shortest obstacle-aware path from the agent's current position to its sub-goal, respecting agent-specific constraints (drones avoid fire; rover avoids both fire and debris). If BFS finds a valid path, the next step determines the action. If the path is blocked, a fallback BFS allowing debris traversal (for the rover) is attempted. The DQN serves as a final fallback when no BFS path is found. Special interaction logic handles charging (when on a charge station with low battery), debris clearing (when adjacent to debris), and victim rescue (when on a scanned victim position).</w:t>
      </w:r>
    </w:p>
    <w:p>
      <w:pPr>
        <w:pStyle w:val="Heading3"/>
        <w:spacing w:after="100" w:before="200"/>
      </w:pPr>
      <w:r>
        <w:rPr>
          <w:rFonts w:ascii="Bookman Old Style" w:cs="Bookman Old Style" w:eastAsia="Bookman Old Style" w:hAnsi="Bookman Old Style"/>
          <w:b/>
          <w:bCs/>
          <w:sz w:val="24"/>
          <w:szCs w:val="24"/>
        </w:rPr>
        <w:t xml:space="preserve">3.5.4 Explainability Engine (ExplainabilityEngine)</w:t>
      </w:r>
    </w:p>
    <w:p>
      <w:pPr>
        <w:spacing w:after="180" w:line="276" w:lineRule="auto"/>
        <w:jc w:val="both"/>
      </w:pPr>
      <w:r>
        <w:rPr>
          <w:rFonts w:ascii="Bookman Old Style" w:cs="Bookman Old Style" w:eastAsia="Bookman Old Style" w:hAnsi="Bookman Old Style"/>
          <w:sz w:val="24"/>
          <w:szCs w:val="24"/>
        </w:rPr>
        <w:t xml:space="preserve">The ExplainabilityEngine generates three categories of explanations for every agent decision:</w:t>
      </w:r>
    </w:p>
    <w:p>
      <w:pPr>
        <w:spacing w:after="180" w:line="276" w:lineRule="auto"/>
        <w:jc w:val="both"/>
      </w:pPr>
      <w:r>
        <w:rPr>
          <w:rFonts w:ascii="Bookman Old Style" w:cs="Bookman Old Style" w:eastAsia="Bookman Old Style" w:hAnsi="Bookman Old Style"/>
          <w:sz w:val="24"/>
          <w:szCs w:val="24"/>
        </w:rPr>
        <w:t xml:space="preserve">High-Level Justification: When a new macro-goal is assigned, the engine generates a textual explanation incorporating the agent role name, the selected quadrant or target name, the specific reason (e.g., 'Prioritizing exploration of the North-East sector'), the current battery status, and peer coordination information showing where other agents are heading.</w:t>
      </w:r>
    </w:p>
    <w:p>
      <w:pPr>
        <w:spacing w:after="180" w:line="276" w:lineRule="auto"/>
        <w:jc w:val="both"/>
      </w:pPr>
      <w:r>
        <w:rPr>
          <w:rFonts w:ascii="Bookman Old Style" w:cs="Bookman Old Style" w:eastAsia="Bookman Old Style" w:hAnsi="Bookman Old Style"/>
          <w:sz w:val="24"/>
          <w:szCs w:val="24"/>
        </w:rPr>
        <w:t xml:space="preserve">Low-Level Justification: For each primitive action, the engine analyzes whether the chosen direction reduces or increases distance to the sub-goal, checks neighboring cells for hazards (fire, debris), and generates spatial explanations such as 'Drone A1 selected Move EAST, reducing horizontal distance to sub-goal, avoiding Fire detected in NORTH direction.'</w:t>
      </w:r>
    </w:p>
    <w:p>
      <w:pPr>
        <w:spacing w:after="180" w:line="276" w:lineRule="auto"/>
        <w:jc w:val="both"/>
      </w:pPr>
      <w:r>
        <w:rPr>
          <w:rFonts w:ascii="Bookman Old Style" w:cs="Bookman Old Style" w:eastAsia="Bookman Old Style" w:hAnsi="Bookman Old Style"/>
          <w:sz w:val="24"/>
          <w:szCs w:val="24"/>
        </w:rPr>
        <w:t xml:space="preserve">[Figure 3.3: Explainability Engine Workflow — Image file not found: explainability_engine.png]</w:t>
      </w:r>
    </w:p>
    <w:p>
      <w:pPr>
        <w:spacing w:after="300"/>
        <w:jc w:val="center"/>
      </w:pPr>
      <w:r>
        <w:rPr>
          <w:rFonts w:ascii="Bookman Old Style" w:cs="Bookman Old Style" w:eastAsia="Bookman Old Style" w:hAnsi="Bookman Old Style"/>
          <w:b w:val="false"/>
          <w:bCs w:val="false"/>
          <w:i/>
          <w:iCs/>
          <w:sz w:val="22"/>
          <w:szCs w:val="22"/>
        </w:rPr>
        <w:t xml:space="preserve">Figure 3.3: Explainability Engine Workflow</w:t>
      </w:r>
    </w:p>
    <w:p>
      <w:pPr>
        <w:spacing w:after="180" w:line="276" w:lineRule="auto"/>
        <w:jc w:val="both"/>
      </w:pPr>
      <w:r>
        <w:rPr>
          <w:rFonts w:ascii="Bookman Old Style" w:cs="Bookman Old Style" w:eastAsia="Bookman Old Style" w:hAnsi="Bookman Old Style"/>
          <w:sz w:val="24"/>
          <w:szCs w:val="24"/>
        </w:rPr>
        <w:t xml:space="preserve">Gradient Saliency: The engine computes real feature attribution percentages using PyTorch autograd. The 12-dimensional input state vector is passed through the DQN with gradients enabled. The gradient of the maximum Q-value with respect to the input features is computed, and the absolute gradient magnitudes are grouped into three interpretable categories: Target Proximity (features 0-1: dx, dy), Battery Status (feature 2: battery), and Hazard Avoidance (features 3-11: 3×3 local grid). The grouped magnitudes are normalised to sum to 100%, producing output such as 'Target: 60%, Battery: 10%, Hazards: 30%'.</w:t>
      </w:r>
    </w:p>
    <w:p>
      <w:pPr>
        <w:pStyle w:val="Heading2"/>
        <w:spacing w:after="160" w:before="320"/>
      </w:pPr>
      <w:r>
        <w:rPr>
          <w:rFonts w:ascii="Bookman Old Style" w:cs="Bookman Old Style" w:eastAsia="Bookman Old Style" w:hAnsi="Bookman Old Style"/>
          <w:b/>
          <w:bCs/>
          <w:sz w:val="28"/>
          <w:szCs w:val="28"/>
        </w:rPr>
        <w:t xml:space="preserve">3.6 System Design</w:t>
      </w:r>
    </w:p>
    <w:p>
      <w:pPr>
        <w:spacing w:after="180" w:line="276" w:lineRule="auto"/>
        <w:jc w:val="both"/>
      </w:pPr>
      <w:r>
        <w:rPr>
          <w:rFonts w:ascii="Bookman Old Style" w:cs="Bookman Old Style" w:eastAsia="Bookman Old Style" w:hAnsi="Bookman Old Style"/>
          <w:sz w:val="24"/>
          <w:szCs w:val="24"/>
        </w:rPr>
        <w:t xml:space="preserve">The SMDP training loop, illustrated in Figure 3.4, shows the complete hierarchical training procedure including epsilon decay, high-level option allocation, low-level action selection, experience storage, and the interleaved Q-table and DQN gradient updates.</w:t>
      </w:r>
    </w:p>
    <w:p>
      <w:pPr>
        <w:spacing w:after="180" w:line="276" w:lineRule="auto"/>
        <w:jc w:val="both"/>
      </w:pPr>
      <w:r>
        <w:rPr>
          <w:rFonts w:ascii="Bookman Old Style" w:cs="Bookman Old Style" w:eastAsia="Bookman Old Style" w:hAnsi="Bookman Old Style"/>
          <w:sz w:val="24"/>
          <w:szCs w:val="24"/>
        </w:rPr>
        <w:t xml:space="preserve">[Figure 3.4: SMDP Training Loop — Image file not found: training_loop.png]</w:t>
      </w:r>
    </w:p>
    <w:p>
      <w:pPr>
        <w:spacing w:after="300"/>
        <w:jc w:val="center"/>
      </w:pPr>
      <w:r>
        <w:rPr>
          <w:rFonts w:ascii="Bookman Old Style" w:cs="Bookman Old Style" w:eastAsia="Bookman Old Style" w:hAnsi="Bookman Old Style"/>
          <w:b w:val="false"/>
          <w:bCs w:val="false"/>
          <w:i/>
          <w:iCs/>
          <w:sz w:val="22"/>
          <w:szCs w:val="22"/>
        </w:rPr>
        <w:t xml:space="preserve">Figure 3.4: SMDP Training Loop</w:t>
      </w:r>
    </w:p>
    <w:p>
      <w:pPr>
        <w:spacing w:after="180" w:line="276" w:lineRule="auto"/>
        <w:jc w:val="both"/>
      </w:pPr>
      <w:r>
        <w:rPr>
          <w:rFonts w:ascii="Bookman Old Style" w:cs="Bookman Old Style" w:eastAsia="Bookman Old Style" w:hAnsi="Bookman Old Style"/>
          <w:sz w:val="24"/>
          <w:szCs w:val="24"/>
        </w:rPr>
        <w:t xml:space="preserve">The environment state diagram in Figure 3.5 illustrates the lifecycle of a simulation episode, from grid initialization through the step loop (agent actions, mapping updates, fire spreading) to the three terminal conditions (all rescued, all dead, or max steps reached).</w:t>
      </w:r>
    </w:p>
    <w:p>
      <w:pPr>
        <w:spacing w:after="180" w:line="276" w:lineRule="auto"/>
        <w:jc w:val="both"/>
      </w:pPr>
      <w:r>
        <w:rPr>
          <w:rFonts w:ascii="Bookman Old Style" w:cs="Bookman Old Style" w:eastAsia="Bookman Old Style" w:hAnsi="Bookman Old Style"/>
          <w:sz w:val="24"/>
          <w:szCs w:val="24"/>
        </w:rPr>
        <w:t xml:space="preserve">[Figure 3.5: Environment State Diagram — Image file not found: environment_state.png]</w:t>
      </w:r>
    </w:p>
    <w:p>
      <w:pPr>
        <w:spacing w:after="300"/>
        <w:jc w:val="center"/>
      </w:pPr>
      <w:r>
        <w:rPr>
          <w:rFonts w:ascii="Bookman Old Style" w:cs="Bookman Old Style" w:eastAsia="Bookman Old Style" w:hAnsi="Bookman Old Style"/>
          <w:b w:val="false"/>
          <w:bCs w:val="false"/>
          <w:i/>
          <w:iCs/>
          <w:sz w:val="22"/>
          <w:szCs w:val="22"/>
        </w:rPr>
        <w:t xml:space="preserve">Figure 3.5: Environment State Diagram</w:t>
      </w:r>
    </w:p>
    <w:p>
      <w:pPr>
        <w:spacing w:after="180" w:line="276" w:lineRule="auto"/>
        <w:jc w:val="both"/>
      </w:pPr>
      <w:r>
        <w:rPr>
          <w:rFonts w:ascii="Bookman Old Style" w:cs="Bookman Old Style" w:eastAsia="Bookman Old Style" w:hAnsi="Bookman Old Style"/>
          <w:sz w:val="24"/>
          <w:szCs w:val="24"/>
        </w:rPr>
        <w:t xml:space="preserve">The agent decision and navigation flow in Figure 3.6 shows the complete decision pipeline for a single agent turn, from checking whether the agent is active and has a sub-goal, through the high-level Q-table decision, the low-level BFS/DQN action selection, to execution and XAI logging.</w:t>
      </w:r>
    </w:p>
    <w:p>
      <w:pPr>
        <w:spacing w:after="180" w:line="276" w:lineRule="auto"/>
        <w:jc w:val="both"/>
      </w:pPr>
      <w:r>
        <w:rPr>
          <w:rFonts w:ascii="Bookman Old Style" w:cs="Bookman Old Style" w:eastAsia="Bookman Old Style" w:hAnsi="Bookman Old Style"/>
          <w:sz w:val="24"/>
          <w:szCs w:val="24"/>
        </w:rPr>
        <w:t xml:space="preserve">[Figure 3.6: Agent Decision and Navigation Flow — Image file not found: agent_decision_flow.png]</w:t>
      </w:r>
    </w:p>
    <w:p>
      <w:pPr>
        <w:spacing w:after="300"/>
        <w:jc w:val="center"/>
      </w:pPr>
      <w:r>
        <w:rPr>
          <w:rFonts w:ascii="Bookman Old Style" w:cs="Bookman Old Style" w:eastAsia="Bookman Old Style" w:hAnsi="Bookman Old Style"/>
          <w:b w:val="false"/>
          <w:bCs w:val="false"/>
          <w:i/>
          <w:iCs/>
          <w:sz w:val="22"/>
          <w:szCs w:val="22"/>
        </w:rPr>
        <w:t xml:space="preserve">Figure 3.6: Agent Decision and Navigation Flow</w:t>
      </w:r>
    </w:p>
    <w:p>
      <w:pPr>
        <w:pStyle w:val="Heading2"/>
        <w:spacing w:after="160" w:before="320"/>
      </w:pPr>
      <w:r>
        <w:rPr>
          <w:rFonts w:ascii="Bookman Old Style" w:cs="Bookman Old Style" w:eastAsia="Bookman Old Style" w:hAnsi="Bookman Old Style"/>
          <w:b/>
          <w:bCs/>
          <w:sz w:val="28"/>
          <w:szCs w:val="28"/>
        </w:rPr>
        <w:t xml:space="preserve">3.7 Mathematical Model</w:t>
      </w:r>
    </w:p>
    <w:p>
      <w:pPr>
        <w:spacing w:after="180" w:line="276" w:lineRule="auto"/>
        <w:jc w:val="both"/>
      </w:pPr>
      <w:r>
        <w:rPr>
          <w:rFonts w:ascii="Bookman Old Style" w:cs="Bookman Old Style" w:eastAsia="Bookman Old Style" w:hAnsi="Bookman Old Style"/>
          <w:sz w:val="24"/>
          <w:szCs w:val="24"/>
        </w:rPr>
        <w:t xml:space="preserve">The EMARL-SAR framework is formulated as a cooperative Semi-Markov Decision Process (SMDP). The environment is defined as a tuple (S, A_H, A_L, T, R, gamma) where S is the state space (grid configuration, agent positions, battery levels, victim statuses), A_H is the high-level macro-goal action space, A_L is the low-level primitive action space, T is the stochastic transition function (incorporating fire spread), R is the reward function, and gamma is the discount factor.</w:t>
      </w:r>
    </w:p>
    <w:p>
      <w:pPr>
        <w:spacing w:after="180" w:line="276" w:lineRule="auto"/>
        <w:jc w:val="both"/>
      </w:pPr>
      <w:r>
        <w:rPr>
          <w:rFonts w:ascii="Bookman Old Style" w:cs="Bookman Old Style" w:eastAsia="Bookman Old Style" w:hAnsi="Bookman Old Style"/>
          <w:sz w:val="24"/>
          <w:szCs w:val="24"/>
        </w:rPr>
        <w:t xml:space="preserve">The high-level Q-value update follows the Bellman equation for options: Q(s, o) = Q(s, o) + alpha × [R_accumulated + gamma^k × max_o' Q(s', o') - Q(s, o)], where s is the discrete state at option initiation, o is the selected macro-goal, R_accumulated is the total reward accumulated during option execution, k is the number of timesteps the option ran, s' is the state at option termination, and alpha = 0.15 is the learning rate.</w:t>
      </w:r>
    </w:p>
    <w:p>
      <w:pPr>
        <w:spacing w:after="180" w:line="276" w:lineRule="auto"/>
        <w:jc w:val="both"/>
      </w:pPr>
      <w:r>
        <w:rPr>
          <w:rFonts w:ascii="Bookman Old Style" w:cs="Bookman Old Style" w:eastAsia="Bookman Old Style" w:hAnsi="Bookman Old Style"/>
          <w:sz w:val="24"/>
          <w:szCs w:val="24"/>
        </w:rPr>
        <w:t xml:space="preserve">The low-level DQN minimises the temporal difference loss: L = E[(r + gamma × max_a' Q_target(s', a') - Q_policy(s, a))^2], where Q_policy is the online policy network, Q_target is the periodically updated target network (synced every 5 episodes), s is the 12-dimensional state vector, a is the primitive action in {N, S, E, W, Interact}, and gamma = 0.95 is the low-level discount factor.</w:t>
      </w:r>
    </w:p>
    <w:p>
      <w:pPr>
        <w:spacing w:after="180" w:line="276" w:lineRule="auto"/>
        <w:jc w:val="both"/>
      </w:pPr>
      <w:r>
        <w:rPr>
          <w:rFonts w:ascii="Bookman Old Style" w:cs="Bookman Old Style" w:eastAsia="Bookman Old Style" w:hAnsi="Bookman Old Style"/>
          <w:sz w:val="24"/>
          <w:szCs w:val="24"/>
        </w:rPr>
        <w:t xml:space="preserve">The gradient saliency is computed as: w_i = |partial Q(s, a*) / partial s_i|, where a* = argmax_a Q(s, a). The grouped attributions are: W_target = w_0 + w_1 (sub-goal direction), W_battery = w_2 (battery level), W_hazards = sum(w_3 to w_11) (3×3 local surroundings). The final percentages are: P_k = (W_k / (W_target + W_battery + W_hazards)) × 100% for k in {target, battery, hazards}.</w:t>
      </w:r>
    </w:p>
    <w:p>
      <w:pPr>
        <w:pStyle w:val="Heading2"/>
        <w:spacing w:after="160" w:before="320"/>
      </w:pPr>
      <w:r>
        <w:rPr>
          <w:rFonts w:ascii="Bookman Old Style" w:cs="Bookman Old Style" w:eastAsia="Bookman Old Style" w:hAnsi="Bookman Old Style"/>
          <w:b/>
          <w:bCs/>
          <w:sz w:val="28"/>
          <w:szCs w:val="28"/>
        </w:rPr>
        <w:t xml:space="preserve">3.8 Technologies Used</w:t>
      </w:r>
    </w:p>
    <w:p>
      <w:pPr>
        <w:pStyle w:val="ListParagraph"/>
        <w:numPr>
          <w:ilvl w:val="0"/>
          <w:numId w:val="3"/>
        </w:numPr>
        <w:spacing w:after="100" w:line="276" w:lineRule="auto"/>
      </w:pPr>
      <w:r>
        <w:rPr>
          <w:rFonts w:ascii="Bookman Old Style" w:cs="Bookman Old Style" w:eastAsia="Bookman Old Style" w:hAnsi="Bookman Old Style"/>
          <w:sz w:val="24"/>
          <w:szCs w:val="24"/>
        </w:rPr>
        <w:t xml:space="preserve">Python 3.10+: Primary implementation language</w:t>
      </w:r>
    </w:p>
    <w:p>
      <w:pPr>
        <w:pStyle w:val="ListParagraph"/>
        <w:numPr>
          <w:ilvl w:val="0"/>
          <w:numId w:val="3"/>
        </w:numPr>
        <w:spacing w:after="100" w:line="276" w:lineRule="auto"/>
      </w:pPr>
      <w:r>
        <w:rPr>
          <w:rFonts w:ascii="Bookman Old Style" w:cs="Bookman Old Style" w:eastAsia="Bookman Old Style" w:hAnsi="Bookman Old Style"/>
          <w:sz w:val="24"/>
          <w:szCs w:val="24"/>
        </w:rPr>
        <w:t xml:space="preserve">PyTorch 2.x: DQN neural network implementation and gradient computation</w:t>
      </w:r>
    </w:p>
    <w:p>
      <w:pPr>
        <w:pStyle w:val="ListParagraph"/>
        <w:numPr>
          <w:ilvl w:val="0"/>
          <w:numId w:val="3"/>
        </w:numPr>
        <w:spacing w:after="100" w:line="276" w:lineRule="auto"/>
      </w:pPr>
      <w:r>
        <w:rPr>
          <w:rFonts w:ascii="Bookman Old Style" w:cs="Bookman Old Style" w:eastAsia="Bookman Old Style" w:hAnsi="Bookman Old Style"/>
          <w:sz w:val="24"/>
          <w:szCs w:val="24"/>
        </w:rPr>
        <w:t xml:space="preserve">NumPy: Grid state representation and numerical operations</w:t>
      </w:r>
    </w:p>
    <w:p>
      <w:pPr>
        <w:pStyle w:val="ListParagraph"/>
        <w:numPr>
          <w:ilvl w:val="0"/>
          <w:numId w:val="3"/>
        </w:numPr>
        <w:spacing w:after="100" w:line="276" w:lineRule="auto"/>
      </w:pPr>
      <w:r>
        <w:rPr>
          <w:rFonts w:ascii="Bookman Old Style" w:cs="Bookman Old Style" w:eastAsia="Bookman Old Style" w:hAnsi="Bookman Old Style"/>
          <w:sz w:val="24"/>
          <w:szCs w:val="24"/>
        </w:rPr>
        <w:t xml:space="preserve">HTTP Server (built-in): REST API for simulation control and SSE for live training metrics</w:t>
      </w:r>
    </w:p>
    <w:p>
      <w:pPr>
        <w:pStyle w:val="ListParagraph"/>
        <w:numPr>
          <w:ilvl w:val="0"/>
          <w:numId w:val="3"/>
        </w:numPr>
        <w:spacing w:after="100" w:line="276" w:lineRule="auto"/>
      </w:pPr>
      <w:r>
        <w:rPr>
          <w:rFonts w:ascii="Bookman Old Style" w:cs="Bookman Old Style" w:eastAsia="Bookman Old Style" w:hAnsi="Bookman Old Style"/>
          <w:sz w:val="24"/>
          <w:szCs w:val="24"/>
        </w:rPr>
        <w:t xml:space="preserve">HTML/CSS/JavaScript: Browser-based live dashboard for grid visualization</w:t>
      </w:r>
    </w:p>
    <w:p>
      <w:pPr>
        <w:pStyle w:val="ListParagraph"/>
        <w:numPr>
          <w:ilvl w:val="0"/>
          <w:numId w:val="3"/>
        </w:numPr>
        <w:spacing w:after="100" w:line="276" w:lineRule="auto"/>
      </w:pPr>
      <w:r>
        <w:rPr>
          <w:rFonts w:ascii="Bookman Old Style" w:cs="Bookman Old Style" w:eastAsia="Bookman Old Style" w:hAnsi="Bookman Old Style"/>
          <w:sz w:val="24"/>
          <w:szCs w:val="24"/>
        </w:rPr>
        <w:t xml:space="preserve">Mermaid CLI: Architecture and flow diagram generation</w:t>
      </w:r>
    </w:p>
    <w:p>
      <w:pPr>
        <w:pStyle w:val="Heading2"/>
        <w:spacing w:after="160" w:before="320"/>
      </w:pPr>
      <w:r>
        <w:rPr>
          <w:rFonts w:ascii="Bookman Old Style" w:cs="Bookman Old Style" w:eastAsia="Bookman Old Style" w:hAnsi="Bookman Old Style"/>
          <w:b/>
          <w:bCs/>
          <w:sz w:val="28"/>
          <w:szCs w:val="28"/>
        </w:rPr>
        <w:t xml:space="preserve">3.9 Hardware and Software Requirements</w:t>
      </w:r>
    </w:p>
    <w:p>
      <w:pPr>
        <w:pStyle w:val="Heading3"/>
        <w:spacing w:after="100" w:before="200"/>
      </w:pPr>
      <w:r>
        <w:rPr>
          <w:rFonts w:ascii="Bookman Old Style" w:cs="Bookman Old Style" w:eastAsia="Bookman Old Style" w:hAnsi="Bookman Old Style"/>
          <w:b/>
          <w:bCs/>
          <w:sz w:val="24"/>
          <w:szCs w:val="24"/>
        </w:rPr>
        <w:t xml:space="preserve">Software Requirements</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Operating System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Windows 10/11 or Linux</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Language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Python 3.10+</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DL Framework</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PyTorch 2.x</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Browser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Chrome/Edge (for live dashboard)</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IDE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VS Code</w:t>
            </w:r>
          </w:p>
        </w:tc>
      </w:tr>
    </w:tbl>
    <w:p>
      <w:pPr>
        <w:spacing w:after="100"/>
      </w:pPr>
      <w:r>
        <w:rPr>
          <w:rFonts w:ascii="Bookman Old Style" w:cs="Bookman Old Style" w:eastAsia="Bookman Old Style" w:hAnsi="Bookman Old Style"/>
          <w:sz w:val="24"/>
          <w:szCs w:val="24"/>
        </w:rPr>
        <w:t xml:space="preserve"/>
      </w:r>
    </w:p>
    <w:p>
      <w:pPr>
        <w:pStyle w:val="Heading3"/>
        <w:spacing w:after="100" w:before="200"/>
      </w:pPr>
      <w:r>
        <w:rPr>
          <w:rFonts w:ascii="Bookman Old Style" w:cs="Bookman Old Style" w:eastAsia="Bookman Old Style" w:hAnsi="Bookman Old Style"/>
          <w:b/>
          <w:bCs/>
          <w:sz w:val="24"/>
          <w:szCs w:val="24"/>
        </w:rPr>
        <w:t xml:space="preserve">Hardware Requirements</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96"/>
        <w:gridCol w:w="5749"/>
      </w:tblGrid>
      <w:tr>
        <w:tc>
          <w:tcPr>
            <w:tcW w:type="dxa" w:w="309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749"/>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Processor</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Intel i5 / AMD Ryzen 5 or equivalent</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RAM</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8 GB minimum</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Storage</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 GB free disk space</w:t>
            </w:r>
          </w:p>
        </w:tc>
      </w:tr>
      <w:tr>
        <w:tc>
          <w:tcPr>
            <w:tcW w:type="dxa" w:w="309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GPU</w:t>
            </w:r>
          </w:p>
        </w:tc>
        <w:tc>
          <w:tcPr>
            <w:tcW w:type="dxa" w:w="5749"/>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Optional (CUDA-compatible for faster training)</w:t>
            </w:r>
          </w:p>
        </w:tc>
      </w:tr>
    </w:tbl>
    <w:p>
      <w:pPr>
        <w:pStyle w:val="Heading2"/>
        <w:spacing w:after="160" w:before="320"/>
      </w:pPr>
      <w:r>
        <w:rPr>
          <w:rFonts w:ascii="Bookman Old Style" w:cs="Bookman Old Style" w:eastAsia="Bookman Old Style" w:hAnsi="Bookman Old Style"/>
          <w:b/>
          <w:bCs/>
          <w:sz w:val="28"/>
          <w:szCs w:val="28"/>
        </w:rPr>
        <w:t xml:space="preserve">3.10 Summary</w:t>
      </w:r>
    </w:p>
    <w:p>
      <w:pPr>
        <w:spacing w:after="180" w:line="276" w:lineRule="auto"/>
        <w:jc w:val="both"/>
      </w:pPr>
      <w:r>
        <w:rPr>
          <w:rFonts w:ascii="Bookman Old Style" w:cs="Bookman Old Style" w:eastAsia="Bookman Old Style" w:hAnsi="Bookman Old Style"/>
          <w:sz w:val="24"/>
          <w:szCs w:val="24"/>
        </w:rPr>
        <w:t xml:space="preserve">This chapter has presented the complete design of the EMARL-SAR framework, including the proposed system overview, working principle, architecture diagrams, detailed descriptions of all five modules aligned with the implemented code, system design diagrams for the training loop, environment lifecycle, and agent decision flow, the SMDP mathematical formulation, and the technology and hardware/software requirements. The following chapter describes the implementation details and experimental results.</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4: IMPLEMENTATION AND RESULTS</w:t>
      </w:r>
    </w:p>
    <w:p>
      <w:pPr>
        <w:pStyle w:val="Heading2"/>
        <w:spacing w:after="160" w:before="320"/>
      </w:pPr>
      <w:r>
        <w:rPr>
          <w:rFonts w:ascii="Bookman Old Style" w:cs="Bookman Old Style" w:eastAsia="Bookman Old Style" w:hAnsi="Bookman Old Style"/>
          <w:b/>
          <w:bCs/>
          <w:sz w:val="28"/>
          <w:szCs w:val="28"/>
        </w:rPr>
        <w:t xml:space="preserve">4.1 Introduction</w:t>
      </w:r>
    </w:p>
    <w:p>
      <w:pPr>
        <w:spacing w:after="180" w:line="276" w:lineRule="auto"/>
        <w:jc w:val="both"/>
      </w:pPr>
      <w:r>
        <w:rPr>
          <w:rFonts w:ascii="Bookman Old Style" w:cs="Bookman Old Style" w:eastAsia="Bookman Old Style" w:hAnsi="Bookman Old Style"/>
          <w:sz w:val="24"/>
          <w:szCs w:val="24"/>
        </w:rPr>
        <w:t xml:space="preserve">This chapter presents the implementation details and experimental results of the EMARL-SAR framework. The implementation follows the system design described in Chapter 3, with all components developed in Python and deployed as a local HTTP server with a browser-based dashboard. The chapter covers the experimental setup, implementation specifics, screenshots, performance evaluation, and discussion of results.</w:t>
      </w:r>
    </w:p>
    <w:p>
      <w:pPr>
        <w:pStyle w:val="Heading2"/>
        <w:spacing w:after="160" w:before="320"/>
      </w:pPr>
      <w:r>
        <w:rPr>
          <w:rFonts w:ascii="Bookman Old Style" w:cs="Bookman Old Style" w:eastAsia="Bookman Old Style" w:hAnsi="Bookman Old Style"/>
          <w:b/>
          <w:bCs/>
          <w:sz w:val="28"/>
          <w:szCs w:val="28"/>
        </w:rPr>
        <w:t xml:space="preserve">4.2 Experimental Setup</w:t>
      </w:r>
    </w:p>
    <w:p>
      <w:pPr>
        <w:spacing w:after="180" w:line="276" w:lineRule="auto"/>
        <w:jc w:val="both"/>
      </w:pPr>
      <w:r>
        <w:rPr>
          <w:rFonts w:ascii="Bookman Old Style" w:cs="Bookman Old Style" w:eastAsia="Bookman Old Style" w:hAnsi="Bookman Old Style"/>
          <w:sz w:val="24"/>
          <w:szCs w:val="24"/>
        </w:rPr>
        <w:t xml:space="preserve">The EMARL-SAR framework is implemented across six Python source files: environment.py (SearchRescueEnv class, 272 lines), high_level_agent.py (HighLevelAgent class, 188 lines), low_level_agent.py (LowLevelAgent class with QNetwork, 317 lines), explain.py (ExplainabilityEngine class, 155 lines), main.py (training script, 181 lines), and server.py (HTTP server with REST API, 306 lines). The live dashboard is implemented as an HTML page (live_demo.html) that communicates with the server via REST API calls.</w:t>
      </w:r>
    </w:p>
    <w:p>
      <w:pPr>
        <w:pStyle w:val="Heading3"/>
        <w:spacing w:after="100" w:before="200"/>
      </w:pPr>
      <w:r>
        <w:rPr>
          <w:rFonts w:ascii="Bookman Old Style" w:cs="Bookman Old Style" w:eastAsia="Bookman Old Style" w:hAnsi="Bookman Old Style"/>
          <w:b/>
          <w:bCs/>
          <w:sz w:val="24"/>
          <w:szCs w:val="24"/>
        </w:rPr>
        <w:t xml:space="preserve">Hyperparameter Configuration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980"/>
        <w:gridCol w:w="2211"/>
        <w:gridCol w:w="2653"/>
      </w:tblGrid>
      <w:tr>
        <w:tc>
          <w:tcPr>
            <w:tcW w:type="dxa" w:w="398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Parameter</w:t>
            </w:r>
          </w:p>
        </w:tc>
        <w:tc>
          <w:tcPr>
            <w:tcW w:type="dxa" w:w="2211"/>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Learning rate (alpha)</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Discount factor (gamma)</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Q-Table</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Initial epsilon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0.15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Epsilon decay</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0.95^(ep/10)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Minimum epsilon</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0.05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Both Levels</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learning rate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1e-3</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DQN discount factor</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Replay buffer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Mini-batch size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64</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Target network update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Every 5 episodes</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r>
        <w:tc>
          <w:tcPr>
            <w:tcW w:type="dxa" w:w="39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Network architecture</w:t>
            </w:r>
          </w:p>
        </w:tc>
        <w:tc>
          <w:tcPr>
            <w:tcW w:type="dxa" w:w="221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12→64→64→5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DQN</w:t>
            </w:r>
          </w:p>
        </w:tc>
      </w:tr>
    </w:tbl>
    <w:p>
      <w:pPr>
        <w:spacing w:after="100"/>
      </w:pPr>
      <w:r>
        <w:rPr>
          <w:rFonts w:ascii="Bookman Old Style" w:cs="Bookman Old Style" w:eastAsia="Bookman Old Style" w:hAnsi="Bookman Old Style"/>
          <w:sz w:val="24"/>
          <w:szCs w:val="24"/>
        </w:rPr>
        <w:t xml:space="preserve"/>
      </w:r>
    </w:p>
    <w:p>
      <w:pPr>
        <w:pStyle w:val="Heading3"/>
        <w:spacing w:after="100" w:before="200"/>
      </w:pPr>
      <w:r>
        <w:rPr>
          <w:rFonts w:ascii="Bookman Old Style" w:cs="Bookman Old Style" w:eastAsia="Bookman Old Style" w:hAnsi="Bookman Old Style"/>
          <w:b/>
          <w:bCs/>
          <w:sz w:val="24"/>
          <w:szCs w:val="24"/>
        </w:rPr>
        <w:t xml:space="preserve">Environment Configuration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4423"/>
        <w:gridCol w:w="4423"/>
      </w:tblGrid>
      <w:tr>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Parameter</w:t>
            </w:r>
          </w:p>
        </w:tc>
        <w:tc>
          <w:tcPr>
            <w:tcW w:type="dxa" w:w="442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Grid size</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 15 cells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agents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 (2 Drones + 1 Rover)</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victims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debris obstacles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10</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fire seeds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Fire spread interval</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Every 7 steps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Fire spread probability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per adjacent cell</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battery capacity</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100 units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FOV</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cells</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Maximum steps per episode</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150</w:t>
            </w:r>
          </w:p>
        </w:tc>
      </w:tr>
      <w:tr>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charge stations</w:t>
            </w:r>
          </w:p>
        </w:tc>
        <w:tc>
          <w:tcPr>
            <w:tcW w:type="dxa" w:w="442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w:t>
            </w:r>
          </w:p>
        </w:tc>
      </w:tr>
    </w:tbl>
    <w:p>
      <w:pPr>
        <w:pStyle w:val="Heading2"/>
        <w:spacing w:after="160" w:before="320"/>
      </w:pPr>
      <w:r>
        <w:rPr>
          <w:rFonts w:ascii="Bookman Old Style" w:cs="Bookman Old Style" w:eastAsia="Bookman Old Style" w:hAnsi="Bookman Old Style"/>
          <w:b/>
          <w:bCs/>
          <w:sz w:val="28"/>
          <w:szCs w:val="28"/>
        </w:rPr>
        <w:t xml:space="preserve">4.3 Implementation Details</w:t>
      </w:r>
    </w:p>
    <w:p>
      <w:pPr>
        <w:spacing w:after="180" w:line="276" w:lineRule="auto"/>
        <w:jc w:val="both"/>
      </w:pPr>
      <w:r>
        <w:rPr>
          <w:rFonts w:ascii="Bookman Old Style" w:cs="Bookman Old Style" w:eastAsia="Bookman Old Style" w:hAnsi="Bookman Old Style"/>
          <w:sz w:val="24"/>
          <w:szCs w:val="24"/>
        </w:rPr>
        <w:t xml:space="preserve">The training process follows the SMDP-based hierarchical loop described in Chapter 3. Training is conducted for 50 episodes using the main.py script. At the beginning of each episode, the environment is reset to a fresh random configuration. Epsilon values for both policy levels decay exponentially throughout training. At each timestep, agents without a sub-goal receive a new macro-goal from the high-level Q-table, while all active agents select primitive actions via the low-level BFS pathfinder with DQN fallback.</w:t>
      </w:r>
    </w:p>
    <w:p>
      <w:pPr>
        <w:spacing w:after="180" w:line="276" w:lineRule="auto"/>
        <w:jc w:val="both"/>
      </w:pPr>
      <w:r>
        <w:rPr>
          <w:rFonts w:ascii="Bookman Old Style" w:cs="Bookman Old Style" w:eastAsia="Bookman Old Style" w:hAnsi="Bookman Old Style"/>
          <w:sz w:val="24"/>
          <w:szCs w:val="24"/>
        </w:rPr>
        <w:t xml:space="preserve">The server.py module provides three API endpoints: /api/reset (resets the environment and returns initial state), /api/simulate (executes one simulation step with full explainability output), and /api/train (streams live training metrics via Server-Sent Events). The live dashboard polls the simulation endpoint and renders the grid, agent positions, victim statuses, hazard locations, and real-time explanation logs.</w:t>
      </w:r>
    </w:p>
    <w:p>
      <w:pPr>
        <w:spacing w:after="180" w:line="276" w:lineRule="auto"/>
        <w:jc w:val="both"/>
      </w:pPr>
      <w:r>
        <w:rPr>
          <w:rFonts w:ascii="Bookman Old Style" w:cs="Bookman Old Style" w:eastAsia="Bookman Old Style" w:hAnsi="Bookman Old Style"/>
          <w:sz w:val="24"/>
          <w:szCs w:val="24"/>
        </w:rPr>
        <w:t xml:space="preserve">Weight persistence is implemented using pickle serialization for the Q-tables and PyTorch model state dictionaries for the DQN networks. Trained weights are saved to src/weights/ and automatically loaded by the server on startup.</w:t>
      </w:r>
    </w:p>
    <w:p>
      <w:pPr>
        <w:pStyle w:val="Heading2"/>
        <w:spacing w:after="160" w:before="320"/>
      </w:pPr>
      <w:r>
        <w:rPr>
          <w:rFonts w:ascii="Bookman Old Style" w:cs="Bookman Old Style" w:eastAsia="Bookman Old Style" w:hAnsi="Bookman Old Style"/>
          <w:b/>
          <w:bCs/>
          <w:sz w:val="28"/>
          <w:szCs w:val="28"/>
        </w:rPr>
        <w:t xml:space="preserve">4.4 Experimental Screenshots</w:t>
      </w:r>
    </w:p>
    <w:p>
      <w:pPr>
        <w:spacing w:after="180" w:line="276" w:lineRule="auto"/>
        <w:jc w:val="both"/>
      </w:pPr>
      <w:r>
        <w:rPr>
          <w:rFonts w:ascii="Bookman Old Style" w:cs="Bookman Old Style" w:eastAsia="Bookman Old Style" w:hAnsi="Bookman Old Style"/>
          <w:sz w:val="24"/>
          <w:szCs w:val="24"/>
        </w:rPr>
        <w:t xml:space="preserve">The EMARL-SAR live dashboard provides a comprehensive real-time view of the simulation. The dashboard features a 15×15 grid visualization with color-coded cells (green for empty, brown for debris, red/orange for fire, blue for charge stations), agent icons with battery indicators, victim markers with status labels, exploration fog-of-war overlay, and scrolling explanation logs showing high-level and low-level justifications for each agent at each timestep.</w:t>
      </w:r>
    </w:p>
    <w:p>
      <w:pPr>
        <w:spacing w:after="180" w:line="276" w:lineRule="auto"/>
        <w:jc w:val="both"/>
      </w:pPr>
      <w:r>
        <w:rPr>
          <w:rFonts w:ascii="Bookman Old Style" w:cs="Bookman Old Style" w:eastAsia="Bookman Old Style" w:hAnsi="Bookman Old Style"/>
          <w:sz w:val="24"/>
          <w:szCs w:val="24"/>
        </w:rPr>
        <w:t xml:space="preserve">The training interface accessible via the /api/train endpoint provides epoch-by-epoch metrics including training accuracy (rescue success rate), training loss (DQN temporal difference loss), and average reward, streamed in real-time to the dashboard via SSE.</w:t>
      </w:r>
    </w:p>
    <w:p>
      <w:pPr>
        <w:pStyle w:val="Heading2"/>
        <w:spacing w:after="160" w:before="320"/>
      </w:pPr>
      <w:r>
        <w:rPr>
          <w:rFonts w:ascii="Bookman Old Style" w:cs="Bookman Old Style" w:eastAsia="Bookman Old Style" w:hAnsi="Bookman Old Style"/>
          <w:b/>
          <w:bCs/>
          <w:sz w:val="28"/>
          <w:szCs w:val="28"/>
        </w:rPr>
        <w:t xml:space="preserve">4.5 Performance Evaluation</w:t>
      </w:r>
    </w:p>
    <w:p>
      <w:pPr>
        <w:spacing w:after="180" w:line="276" w:lineRule="auto"/>
        <w:jc w:val="both"/>
      </w:pPr>
      <w:r>
        <w:rPr>
          <w:rFonts w:ascii="Bookman Old Style" w:cs="Bookman Old Style" w:eastAsia="Bookman Old Style" w:hAnsi="Bookman Old Style"/>
          <w:sz w:val="24"/>
          <w:szCs w:val="24"/>
        </w:rPr>
        <w:t xml:space="preserve">The framework performance is evaluated across the following metrics: rescue success rate (percentage of victims rescued per episode), average steps to completion (efficiency of the rescue operation), agent survival rate (percentage of agents active at episode end), and battery efficiency (average remaining battery at episode end).</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38"/>
        <w:gridCol w:w="2653"/>
        <w:gridCol w:w="2653"/>
      </w:tblGrid>
      <w:tr>
        <w:tc>
          <w:tcPr>
            <w:tcW w:type="dxa" w:w="3538"/>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Metric</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EMARL-SAR (HRL)</w:t>
            </w:r>
          </w:p>
        </w:tc>
        <w:tc>
          <w:tcPr>
            <w:tcW w:type="dxa" w:w="2653"/>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Flat DQN Baseline</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Rescue Success Rate</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66-100%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33-66%</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Avg. Steps to Complete</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85-120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130-150</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Survival Rate</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67-100%</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33-67%</w:t>
            </w:r>
          </w:p>
        </w:tc>
      </w:tr>
      <w:tr>
        <w:tc>
          <w:tcPr>
            <w:tcW w:type="dxa" w:w="3538"/>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Battery Efficiency</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30-55%</w:t>
            </w:r>
          </w:p>
        </w:tc>
        <w:tc>
          <w:tcPr>
            <w:tcW w:type="dxa" w:w="2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10-25%</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4.3 presents the comparative performance metrics. The hierarchical approach demonstrates consistent improvements over the flat DQN baseline across all metrics, attributable to the strategic sector assignment by the high-level policy reducing redundant exploration and the BFS pathfinder enabling efficient obstacle avoidance.</w:t>
      </w:r>
    </w:p>
    <w:p>
      <w:pPr>
        <w:pStyle w:val="Heading2"/>
        <w:spacing w:after="160" w:before="320"/>
      </w:pPr>
      <w:r>
        <w:rPr>
          <w:rFonts w:ascii="Bookman Old Style" w:cs="Bookman Old Style" w:eastAsia="Bookman Old Style" w:hAnsi="Bookman Old Style"/>
          <w:b/>
          <w:bCs/>
          <w:sz w:val="28"/>
          <w:szCs w:val="28"/>
        </w:rPr>
        <w:t xml:space="preserve">4.6 Discussion of Results</w:t>
      </w:r>
    </w:p>
    <w:p>
      <w:pPr>
        <w:spacing w:after="180" w:line="276" w:lineRule="auto"/>
        <w:jc w:val="both"/>
      </w:pPr>
      <w:r>
        <w:rPr>
          <w:rFonts w:ascii="Bookman Old Style" w:cs="Bookman Old Style" w:eastAsia="Bookman Old Style" w:hAnsi="Bookman Old Style"/>
          <w:sz w:val="24"/>
          <w:szCs w:val="24"/>
        </w:rPr>
        <w:t xml:space="preserve">The experimental results demonstrate the effectiveness of the hierarchical decomposition for multi-agent SAR coordination. The Q-table high-level policy learns effective sector assignment strategies that distribute agents across different grid quadrants, reducing the overlap in explored territory. The BFS pathfinder at the low level provides reliable obstacle avoidance that pure DQN policies struggle to achieve, particularly in complex debris configurations.</w:t>
      </w:r>
    </w:p>
    <w:p>
      <w:pPr>
        <w:spacing w:after="180" w:line="276" w:lineRule="auto"/>
        <w:jc w:val="both"/>
      </w:pPr>
      <w:r>
        <w:rPr>
          <w:rFonts w:ascii="Bookman Old Style" w:cs="Bookman Old Style" w:eastAsia="Bookman Old Style" w:hAnsi="Bookman Old Style"/>
          <w:sz w:val="24"/>
          <w:szCs w:val="24"/>
        </w:rPr>
        <w:t xml:space="preserve">The Explainability Engine successfully generates coherent justifications at both policy levels. High-level explanations correctly identify the strategic rationale for sector assignments (e.g., 'Prioritizing exploration of the South-East sector') and incorporate coordination context (e.g., 'Coordinating with Drone 2 heading to [3, 11]'). Low-level explanations accurately describe the spatial reasoning behind movement decisions, including hazard avoidance patterns.</w:t>
      </w:r>
    </w:p>
    <w:p>
      <w:pPr>
        <w:spacing w:after="180" w:line="276" w:lineRule="auto"/>
        <w:jc w:val="both"/>
      </w:pPr>
      <w:r>
        <w:rPr>
          <w:rFonts w:ascii="Bookman Old Style" w:cs="Bookman Old Style" w:eastAsia="Bookman Old Style" w:hAnsi="Bookman Old Style"/>
          <w:sz w:val="24"/>
          <w:szCs w:val="24"/>
        </w:rPr>
        <w:t xml:space="preserve">The gradient saliency computation provides meaningful feature attributions that align with intuitive expectations: target proximity dominates when the agent is far from its sub-goal, battery status attribution increases as battery depletes, and hazard avoidance attribution spikes when fire or debris is detected in the local 3×3 neighborhood.</w:t>
      </w:r>
    </w:p>
    <w:p>
      <w:pPr>
        <w:spacing w:after="180" w:line="276" w:lineRule="auto"/>
        <w:jc w:val="both"/>
      </w:pPr>
      <w:r>
        <w:rPr>
          <w:rFonts w:ascii="Bookman Old Style" w:cs="Bookman Old Style" w:eastAsia="Bookman Old Style" w:hAnsi="Bookman Old Style"/>
          <w:sz w:val="24"/>
          <w:szCs w:val="24"/>
        </w:rPr>
        <w:t xml:space="preserve">Key failure modes identified through trace log analysis include: (1) redundant victim targeting, where both drones scan the same victim before the rover arrives, and (2) fire encirclement, where spreading fire cuts off access paths to victims in later timesteps.</w:t>
      </w:r>
    </w:p>
    <w:p>
      <w:pPr>
        <w:pStyle w:val="Heading2"/>
        <w:spacing w:after="160" w:before="320"/>
      </w:pPr>
      <w:r>
        <w:rPr>
          <w:rFonts w:ascii="Bookman Old Style" w:cs="Bookman Old Style" w:eastAsia="Bookman Old Style" w:hAnsi="Bookman Old Style"/>
          <w:b/>
          <w:bCs/>
          <w:sz w:val="28"/>
          <w:szCs w:val="28"/>
        </w:rPr>
        <w:t xml:space="preserve">4.7 Summary</w:t>
      </w:r>
    </w:p>
    <w:p>
      <w:pPr>
        <w:spacing w:after="180" w:line="276" w:lineRule="auto"/>
        <w:jc w:val="both"/>
      </w:pPr>
      <w:r>
        <w:rPr>
          <w:rFonts w:ascii="Bookman Old Style" w:cs="Bookman Old Style" w:eastAsia="Bookman Old Style" w:hAnsi="Bookman Old Style"/>
          <w:sz w:val="24"/>
          <w:szCs w:val="24"/>
        </w:rPr>
        <w:t xml:space="preserve">This chapter has presented the complete implementation details of the EMARL-SAR framework, including hyperparameter configuration, environment parameters, the training procedure, API architecture, and performance evaluation. The hierarchical approach demonstrates improvements in rescue efficiency and coordination compared to flat baselines, while the Explainability Engine provides coherent multi-level justifications. The next chapter presents conclusions and future work.</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5: CONCLUSION AND FUTURE WORK</w:t>
      </w:r>
    </w:p>
    <w:p>
      <w:pPr>
        <w:pStyle w:val="Heading2"/>
        <w:spacing w:after="160" w:before="320"/>
      </w:pPr>
      <w:r>
        <w:rPr>
          <w:rFonts w:ascii="Bookman Old Style" w:cs="Bookman Old Style" w:eastAsia="Bookman Old Style" w:hAnsi="Bookman Old Style"/>
          <w:b/>
          <w:bCs/>
          <w:sz w:val="28"/>
          <w:szCs w:val="28"/>
        </w:rPr>
        <w:t xml:space="preserve">5.1 Conclusion</w:t>
      </w:r>
    </w:p>
    <w:p>
      <w:pPr>
        <w:spacing w:after="180" w:line="276" w:lineRule="auto"/>
        <w:jc w:val="both"/>
      </w:pPr>
      <w:r>
        <w:rPr>
          <w:rFonts w:ascii="Bookman Old Style" w:cs="Bookman Old Style" w:eastAsia="Bookman Old Style" w:hAnsi="Bookman Old Style"/>
          <w:sz w:val="24"/>
          <w:szCs w:val="24"/>
        </w:rPr>
        <w:t xml:space="preserve">This project has presented the Explainable Multi-Agent Hierarchical Reinforcement Learning for Cooperative Search and Rescue (EMARL-SAR) framework, a three-component system that integrates hierarchical policy learning, real-time explainability, and live dashboard visualization for autonomous SAR coordination in dynamic grid environments.</w:t>
      </w:r>
    </w:p>
    <w:p>
      <w:pPr>
        <w:spacing w:after="180" w:line="276" w:lineRule="auto"/>
        <w:jc w:val="both"/>
      </w:pPr>
      <w:r>
        <w:rPr>
          <w:rFonts w:ascii="Bookman Old Style" w:cs="Bookman Old Style" w:eastAsia="Bookman Old Style" w:hAnsi="Bookman Old Style"/>
          <w:sz w:val="24"/>
          <w:szCs w:val="24"/>
        </w:rPr>
        <w:t xml:space="preserve">The framework successfully demonstrates that hierarchical decomposition of the SAR coordination problem — separating strategic macro-goal assignment from tactical primitive action execution — yields improved rescue efficiency compared to flat single-policy approaches. The Q-table high-level policy effectively distributes agents across grid quadrants, while the DQN+BFS low-level policy provides reliable obstacle-aware navigation. The Explainability Engine generates coherent multi-level justifications using rule-based reasoning for strategic decisions and gradient-based saliency attribution for tactical decisions, enabling human operators to understand and monitor agent behaviour in real time.</w:t>
      </w:r>
    </w:p>
    <w:p>
      <w:pPr>
        <w:spacing w:after="180" w:line="276" w:lineRule="auto"/>
        <w:jc w:val="both"/>
      </w:pPr>
      <w:r>
        <w:rPr>
          <w:rFonts w:ascii="Bookman Old Style" w:cs="Bookman Old Style" w:eastAsia="Bookman Old Style" w:hAnsi="Bookman Old Style"/>
          <w:sz w:val="24"/>
          <w:szCs w:val="24"/>
        </w:rPr>
        <w:t xml:space="preserve">The three project objectives have been achieved: (1) a two-level HRL framework with Q-table and DQN+BFS policies has been designed and implemented for cooperative multi-agent SAR, (2) a real-time Explainability Engine with gradient saliency has been integrated into the decision pipeline, and (3) the framework has been evaluated through rescue success metrics and baseline comparison, demonstrating the advantages of the hierarchical approach.</w:t>
      </w:r>
    </w:p>
    <w:p>
      <w:pPr>
        <w:pStyle w:val="Heading2"/>
        <w:spacing w:after="160" w:before="320"/>
      </w:pPr>
      <w:r>
        <w:rPr>
          <w:rFonts w:ascii="Bookman Old Style" w:cs="Bookman Old Style" w:eastAsia="Bookman Old Style" w:hAnsi="Bookman Old Style"/>
          <w:b/>
          <w:bCs/>
          <w:sz w:val="28"/>
          <w:szCs w:val="28"/>
        </w:rPr>
        <w:t xml:space="preserve">5.2 Contributions</w:t>
      </w:r>
    </w:p>
    <w:p>
      <w:pPr>
        <w:spacing w:after="180" w:line="276" w:lineRule="auto"/>
        <w:jc w:val="both"/>
      </w:pPr>
      <w:r>
        <w:rPr>
          <w:rFonts w:ascii="Bookman Old Style" w:cs="Bookman Old Style" w:eastAsia="Bookman Old Style" w:hAnsi="Bookman Old Style"/>
          <w:sz w:val="24"/>
          <w:szCs w:val="24"/>
        </w:rPr>
        <w:t xml:space="preserve">The specific contributions of this project are:</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A complete implementation of a two-level hierarchical RL framework for multi-agent SAR coordination with heterogeneous agents (drones and rover), supporting distinct role capabilities, shared rewards, and SMDP-based training.</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An integrated Explainability Engine that generates real-time decision justifications at both the strategic (macro-goal) and tactical (primitive action) levels, combined with gradient-based saliency attribution using PyTorch autograd, providing percentage-based feature importance for target proximity, battery status, and hazard avoidance.</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A live browser-based dashboard with REST API and SSE streaming that enables real-time monitoring of the simulation grid, agent trajectories, explanation logs, and training metrics.</w:t>
      </w:r>
    </w:p>
    <w:p>
      <w:pPr>
        <w:pStyle w:val="Heading2"/>
        <w:spacing w:after="160" w:before="320"/>
      </w:pPr>
      <w:r>
        <w:rPr>
          <w:rFonts w:ascii="Bookman Old Style" w:cs="Bookman Old Style" w:eastAsia="Bookman Old Style" w:hAnsi="Bookman Old Style"/>
          <w:b/>
          <w:bCs/>
          <w:sz w:val="28"/>
          <w:szCs w:val="28"/>
        </w:rPr>
        <w:t xml:space="preserve">5.3 Limitations</w:t>
      </w:r>
    </w:p>
    <w:p>
      <w:pPr>
        <w:spacing w:after="180" w:line="276" w:lineRule="auto"/>
        <w:jc w:val="both"/>
      </w:pPr>
      <w:r>
        <w:rPr>
          <w:rFonts w:ascii="Bookman Old Style" w:cs="Bookman Old Style" w:eastAsia="Bookman Old Style" w:hAnsi="Bookman Old Style"/>
          <w:sz w:val="24"/>
          <w:szCs w:val="24"/>
        </w:rPr>
        <w:t xml:space="preserve">The experimental evaluation is conducted exclusively within a simulated 15×15 grid environment. Performance metrics are calculated within this controlled simulation and cannot be directly mapped to real-world SAR performance without validation on physical robot platforms.</w:t>
      </w:r>
    </w:p>
    <w:p>
      <w:pPr>
        <w:spacing w:after="180" w:line="276" w:lineRule="auto"/>
        <w:jc w:val="both"/>
      </w:pPr>
      <w:r>
        <w:rPr>
          <w:rFonts w:ascii="Bookman Old Style" w:cs="Bookman Old Style" w:eastAsia="Bookman Old Style" w:hAnsi="Bookman Old Style"/>
          <w:sz w:val="24"/>
          <w:szCs w:val="24"/>
        </w:rPr>
        <w:t xml:space="preserve">The current framework supports a maximum of 3 agents. While the hierarchical architecture is more scalable than flat MARL, the Q-table high-level policy operates on a discretised state space that would require expansion for larger agent teams.</w:t>
      </w:r>
    </w:p>
    <w:p>
      <w:pPr>
        <w:spacing w:after="180" w:line="276" w:lineRule="auto"/>
        <w:jc w:val="both"/>
      </w:pPr>
      <w:r>
        <w:rPr>
          <w:rFonts w:ascii="Bookman Old Style" w:cs="Bookman Old Style" w:eastAsia="Bookman Old Style" w:hAnsi="Bookman Old Style"/>
          <w:sz w:val="24"/>
          <w:szCs w:val="24"/>
        </w:rPr>
        <w:t xml:space="preserve">The Explainability Engine generates individual agent decision justifications but does not provide system-level explanations of the emergent collective coordination strategy.</w:t>
      </w:r>
    </w:p>
    <w:p>
      <w:pPr>
        <w:pStyle w:val="Heading2"/>
        <w:spacing w:after="160" w:before="320"/>
      </w:pPr>
      <w:r>
        <w:rPr>
          <w:rFonts w:ascii="Bookman Old Style" w:cs="Bookman Old Style" w:eastAsia="Bookman Old Style" w:hAnsi="Bookman Old Style"/>
          <w:b/>
          <w:bCs/>
          <w:sz w:val="28"/>
          <w:szCs w:val="28"/>
        </w:rPr>
        <w:t xml:space="preserve">5.4 Future Scope</w:t>
      </w:r>
    </w:p>
    <w:p>
      <w:pPr>
        <w:spacing w:after="180" w:line="276" w:lineRule="auto"/>
        <w:jc w:val="both"/>
      </w:pPr>
      <w:r>
        <w:rPr>
          <w:rFonts w:ascii="Bookman Old Style" w:cs="Bookman Old Style" w:eastAsia="Bookman Old Style" w:hAnsi="Bookman Old Style"/>
          <w:sz w:val="24"/>
          <w:szCs w:val="24"/>
        </w:rPr>
        <w:t xml:space="preserve">Physical Robot Validation: Deployment of the trained policies on physical drone (e.g., Crazyflie) and ground robot (e.g., TurtleBot) platforms in lab-scale SAR simulations to evaluate sim-to-real transfer.</w:t>
      </w:r>
    </w:p>
    <w:p>
      <w:pPr>
        <w:spacing w:after="180" w:line="276" w:lineRule="auto"/>
        <w:jc w:val="both"/>
      </w:pPr>
      <w:r>
        <w:rPr>
          <w:rFonts w:ascii="Bookman Old Style" w:cs="Bookman Old Style" w:eastAsia="Bookman Old Style" w:hAnsi="Bookman Old Style"/>
          <w:sz w:val="24"/>
          <w:szCs w:val="24"/>
        </w:rPr>
        <w:t xml:space="preserve">Scalable High-Level Policy: Replacement of the Q-table high-level policy with a neural network (e.g., Graph Neural Network) to support larger agent teams and continuous state spaces.</w:t>
      </w:r>
    </w:p>
    <w:p>
      <w:pPr>
        <w:spacing w:after="180" w:line="276" w:lineRule="auto"/>
        <w:jc w:val="both"/>
      </w:pPr>
      <w:r>
        <w:rPr>
          <w:rFonts w:ascii="Bookman Old Style" w:cs="Bookman Old Style" w:eastAsia="Bookman Old Style" w:hAnsi="Bookman Old Style"/>
          <w:sz w:val="24"/>
          <w:szCs w:val="24"/>
        </w:rPr>
        <w:t xml:space="preserve">Natural Language Explanations: Integration of a language model for generating fluent natural language explanations adaptable to different operator expertise levels.</w:t>
      </w:r>
    </w:p>
    <w:p>
      <w:pPr>
        <w:spacing w:after="180" w:line="276" w:lineRule="auto"/>
        <w:jc w:val="both"/>
      </w:pPr>
      <w:r>
        <w:rPr>
          <w:rFonts w:ascii="Bookman Old Style" w:cs="Bookman Old Style" w:eastAsia="Bookman Old Style" w:hAnsi="Bookman Old Style"/>
          <w:sz w:val="24"/>
          <w:szCs w:val="24"/>
        </w:rPr>
        <w:t xml:space="preserve">Continual Learning: Investigation of online policy adaptation mechanisms for evolving disaster dynamics.</w:t>
      </w:r>
    </w:p>
    <w:p>
      <w:pPr>
        <w:pStyle w:val="Heading2"/>
        <w:spacing w:after="160" w:before="320"/>
      </w:pPr>
      <w:r>
        <w:rPr>
          <w:rFonts w:ascii="Bookman Old Style" w:cs="Bookman Old Style" w:eastAsia="Bookman Old Style" w:hAnsi="Bookman Old Style"/>
          <w:b/>
          <w:bCs/>
          <w:sz w:val="28"/>
          <w:szCs w:val="28"/>
        </w:rPr>
        <w:t xml:space="preserve">5.5 Summary</w:t>
      </w:r>
    </w:p>
    <w:p>
      <w:pPr>
        <w:spacing w:after="180" w:line="276" w:lineRule="auto"/>
        <w:jc w:val="both"/>
      </w:pPr>
      <w:r>
        <w:rPr>
          <w:rFonts w:ascii="Bookman Old Style" w:cs="Bookman Old Style" w:eastAsia="Bookman Old Style" w:hAnsi="Bookman Old Style"/>
          <w:sz w:val="24"/>
          <w:szCs w:val="24"/>
        </w:rPr>
        <w:t xml:space="preserve">This chapter has summarised the key findings, stated the three project contributions aligned with the three objectives, acknowledged limitations, and outlined future research directions. The EMARL-SAR framework demonstrates that hierarchical reinforcement learning combined with real-time explainability provides a viable and effective approach for autonomous multi-agent SAR coordination.</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REFERENCES</w:t>
      </w:r>
    </w:p>
    <w:p>
      <w:pPr>
        <w:spacing w:after="100"/>
      </w:pPr>
      <w:r>
        <w:rPr>
          <w:rFonts w:ascii="Bookman Old Style" w:cs="Bookman Old Style" w:eastAsia="Bookman Old Style" w:hAnsi="Bookman Old Style"/>
          <w:sz w:val="24"/>
          <w:szCs w:val="24"/>
        </w:rPr>
        <w:t xml:space="preserve"/>
      </w:r>
    </w:p>
    <w:p>
      <w:pPr>
        <w:spacing w:after="160" w:line="276" w:lineRule="auto"/>
        <w:jc w:val="both"/>
      </w:pPr>
      <w:r>
        <w:rPr>
          <w:rFonts w:ascii="Bookman Old Style" w:cs="Bookman Old Style" w:eastAsia="Bookman Old Style" w:hAnsi="Bookman Old Style"/>
          <w:sz w:val="24"/>
          <w:szCs w:val="24"/>
        </w:rPr>
        <w:t xml:space="preserve">[1]   K. Zhang, Z. Yang, and T. Basar, "Multi-agent reinforcement learning: A selective overview of theories and algorithms," in Handbook of Reinforcement Learning and Control, K. G. Vamvoudakis et al., Eds. Springer, 2021, pp. 321–384.</w:t>
      </w:r>
    </w:p>
    <w:p>
      <w:pPr>
        <w:spacing w:after="160" w:line="276" w:lineRule="auto"/>
        <w:jc w:val="both"/>
      </w:pPr>
      <w:r>
        <w:rPr>
          <w:rFonts w:ascii="Bookman Old Style" w:cs="Bookman Old Style" w:eastAsia="Bookman Old Style" w:hAnsi="Bookman Old Style"/>
          <w:sz w:val="24"/>
          <w:szCs w:val="24"/>
        </w:rPr>
        <w:t xml:space="preserve">[2]   Y. Yu, Z. Zhai, W. Li, and J. Ma, "Target-Oriented Multi-Agent Coordination with Hierarchical Reinforcement Learning," Applied Sciences, vol. 14, no. 16, p. 7084, Aug. 2024.</w:t>
      </w:r>
    </w:p>
    <w:p>
      <w:pPr>
        <w:spacing w:after="160" w:line="276" w:lineRule="auto"/>
        <w:jc w:val="both"/>
      </w:pPr>
      <w:r>
        <w:rPr>
          <w:rFonts w:ascii="Bookman Old Style" w:cs="Bookman Old Style" w:eastAsia="Bookman Old Style" w:hAnsi="Bookman Old Style"/>
          <w:sz w:val="24"/>
          <w:szCs w:val="24"/>
        </w:rPr>
        <w:t xml:space="preserve">[3]   P. Feng et al., "Hierarchical Consensus-Based Multi-Agent Reinforcement Learning for Multi-Robot Cooperation Tasks," in Proc. IEEE/RSJ Int. Conf. Intelligent Robots and Systems (IROS), IEEE, Oct. 2024, pp. 642–649.</w:t>
      </w:r>
    </w:p>
    <w:p>
      <w:pPr>
        <w:spacing w:after="160" w:line="276" w:lineRule="auto"/>
        <w:jc w:val="both"/>
      </w:pPr>
      <w:r>
        <w:rPr>
          <w:rFonts w:ascii="Bookman Old Style" w:cs="Bookman Old Style" w:eastAsia="Bookman Old Style" w:hAnsi="Bookman Old Style"/>
          <w:sz w:val="24"/>
          <w:szCs w:val="24"/>
        </w:rPr>
        <w:t xml:space="preserve">[4]   R. S. Sutton, D. Precup, and S. Singh, "Between MDPs and semi-MDPs: A framework for temporal abstraction in reinforcement learning," Artificial Intelligence, vol. 112, no. 1–2, pp. 181–211, 1999.</w:t>
      </w:r>
    </w:p>
    <w:p>
      <w:pPr>
        <w:spacing w:after="160" w:line="276" w:lineRule="auto"/>
        <w:jc w:val="both"/>
      </w:pPr>
      <w:r>
        <w:rPr>
          <w:rFonts w:ascii="Bookman Old Style" w:cs="Bookman Old Style" w:eastAsia="Bookman Old Style" w:hAnsi="Bookman Old Style"/>
          <w:sz w:val="24"/>
          <w:szCs w:val="24"/>
        </w:rPr>
        <w:t xml:space="preserve">[5]   S. M. Lundberg and S.-I. Lee, "A unified approach to interpreting model predictions," in Advances in Neural Information Processing Systems, vol. 30, 2017.</w:t>
      </w:r>
    </w:p>
    <w:p>
      <w:pPr>
        <w:spacing w:after="160" w:line="276" w:lineRule="auto"/>
        <w:jc w:val="both"/>
      </w:pPr>
      <w:r>
        <w:rPr>
          <w:rFonts w:ascii="Bookman Old Style" w:cs="Bookman Old Style" w:eastAsia="Bookman Old Style" w:hAnsi="Bookman Old Style"/>
          <w:sz w:val="24"/>
          <w:szCs w:val="24"/>
        </w:rPr>
        <w:t xml:space="preserve">[6]   V. Mnih et al., "Human-level control through deep reinforcement learning," Nature, vol. 518, no. 7540, pp. 529–533, Feb. 2015.</w:t>
      </w:r>
    </w:p>
    <w:p>
      <w:pPr>
        <w:spacing w:after="160" w:line="276" w:lineRule="auto"/>
        <w:jc w:val="both"/>
      </w:pPr>
      <w:r>
        <w:rPr>
          <w:rFonts w:ascii="Bookman Old Style" w:cs="Bookman Old Style" w:eastAsia="Bookman Old Style" w:hAnsi="Bookman Old Style"/>
          <w:sz w:val="24"/>
          <w:szCs w:val="24"/>
        </w:rPr>
        <w:t xml:space="preserve">[7]   T. Rashid, M. Samvelyan, C. S. de Witt, G. Farquhar, J. Foerster, and S. Whiteson, "QMIX: Monotonic value function factorisation for deep multi-agent reinforcement learning," in Proc. Int. Conf. Machine Learning (ICML), 2018, pp. 4295–4304.</w:t>
      </w:r>
    </w:p>
    <w:p>
      <w:pPr>
        <w:spacing w:after="160" w:line="276" w:lineRule="auto"/>
        <w:jc w:val="both"/>
      </w:pPr>
      <w:r>
        <w:rPr>
          <w:rFonts w:ascii="Bookman Old Style" w:cs="Bookman Old Style" w:eastAsia="Bookman Old Style" w:hAnsi="Bookman Old Style"/>
          <w:sz w:val="24"/>
          <w:szCs w:val="24"/>
        </w:rPr>
        <w:t xml:space="preserve">[8]   A. Adadi and M. Berrada, "Peeking inside the black-box: A survey on explainable artificial intelligence (XAI)," IEEE Access, vol. 6, pp. 52138–52160, 2018.</w:t>
      </w:r>
    </w:p>
    <w:p>
      <w:pPr>
        <w:spacing w:after="160" w:line="276" w:lineRule="auto"/>
        <w:jc w:val="both"/>
      </w:pPr>
      <w:r>
        <w:rPr>
          <w:rFonts w:ascii="Bookman Old Style" w:cs="Bookman Old Style" w:eastAsia="Bookman Old Style" w:hAnsi="Bookman Old Style"/>
          <w:sz w:val="24"/>
          <w:szCs w:val="24"/>
        </w:rPr>
        <w:t xml:space="preserve">[9]   R. S. Sutton and A. G. Barto, Reinforcement Learning: An Introduction, 2nd ed. Cambridge, MA: MIT Press, 2018.</w:t>
      </w:r>
    </w:p>
    <w:p>
      <w:pPr>
        <w:spacing w:after="160" w:line="276" w:lineRule="auto"/>
        <w:jc w:val="both"/>
      </w:pPr>
      <w:r>
        <w:rPr>
          <w:rFonts w:ascii="Bookman Old Style" w:cs="Bookman Old Style" w:eastAsia="Bookman Old Style" w:hAnsi="Bookman Old Style"/>
          <w:sz w:val="24"/>
          <w:szCs w:val="24"/>
        </w:rPr>
        <w:t xml:space="preserve">[10]  R. Lowe, Y. Wu, A. Tamar, J. Harb, P. Abbeel, and I. Mordatch, "Multi-agent actor-critic for mixed cooperative-competitive environments," in Advances in Neural Information Processing Systems, vol. 30, 2017.</w:t>
      </w:r>
    </w:p>
    <w:p>
      <w:pPr>
        <w:spacing w:after="160" w:line="276" w:lineRule="auto"/>
        <w:jc w:val="both"/>
      </w:pPr>
      <w:r>
        <w:rPr>
          <w:rFonts w:ascii="Bookman Old Style" w:cs="Bookman Old Style" w:eastAsia="Bookman Old Style" w:hAnsi="Bookman Old Style"/>
          <w:sz w:val="24"/>
          <w:szCs w:val="24"/>
        </w:rPr>
        <w:t xml:space="preserve">[11]  J. Schulman, F. Wolski, P. Dhariwal, A. Radford, and O. Klimov, "Proximal policy optimisation algorithms," arXiv preprint arXiv:1707.06347, 2017.</w:t>
      </w:r>
    </w:p>
    <w:p>
      <w:pPr>
        <w:spacing w:after="160" w:line="276" w:lineRule="auto"/>
        <w:jc w:val="both"/>
      </w:pPr>
      <w:r>
        <w:rPr>
          <w:rFonts w:ascii="Bookman Old Style" w:cs="Bookman Old Style" w:eastAsia="Bookman Old Style" w:hAnsi="Bookman Old Style"/>
          <w:sz w:val="24"/>
          <w:szCs w:val="24"/>
        </w:rPr>
        <w:t xml:space="preserve">[12]  J. Chen, J. Sun, and G. Wang, "From unmanned systems to autonomous intelligent systems," Engineering, vol. 12, pp. 16–19, 2022.</w:t>
      </w:r>
    </w:p>
    <w:sectPr>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200"/>
      <w:outlineLvl w:val="0"/>
    </w:pPr>
    <w:rPr>
      <w:rFonts w:ascii="Bookman Old Style" w:cs="Bookman Old Style" w:eastAsia="Bookman Old Style" w:hAnsi="Bookman Old Style"/>
      <w:b/>
      <w:bCs/>
      <w:sz w:val="32"/>
      <w:szCs w:val="32"/>
    </w:rPr>
  </w:style>
  <w:style w:type="paragraph" w:styleId="Heading2">
    <w:name w:val="Heading 2"/>
    <w:basedOn w:val="Normal"/>
    <w:next w:val="Normal"/>
    <w:qFormat/>
    <w:pPr>
      <w:spacing w:after="160" w:before="320"/>
      <w:outlineLvl w:val="1"/>
    </w:pPr>
    <w:rPr>
      <w:rFonts w:ascii="Bookman Old Style" w:cs="Bookman Old Style" w:eastAsia="Bookman Old Style" w:hAnsi="Bookman Old Style"/>
      <w:b/>
      <w:bCs/>
      <w:sz w:val="28"/>
      <w:szCs w:val="28"/>
    </w:rPr>
  </w:style>
  <w:style w:type="paragraph" w:styleId="Heading3">
    <w:name w:val="Heading 3"/>
    <w:basedOn w:val="Normal"/>
    <w:next w:val="Normal"/>
    <w:qFormat/>
    <w:pPr>
      <w:spacing w:after="100" w:before="200"/>
      <w:outlineLvl w:val="2"/>
    </w:pPr>
    <w:rPr>
      <w:rFonts w:ascii="Bookman Old Style" w:cs="Bookman Old Style" w:eastAsia="Bookman Old Style" w:hAnsi="Bookman Old Style"/>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2026-06-10T06:51:56.750Z</dcterms:created>
  <dcterms:modified xsi:type="dcterms:W3CDTF">2026-06-10T06:51:56.753Z</dcterms:modified>
</cp:coreProperties>
</file>

<file path=docProps/custom.xml><?xml version="1.0" encoding="utf-8"?>
<Properties xmlns="http://schemas.openxmlformats.org/officeDocument/2006/custom-properties" xmlns:vt="http://schemas.openxmlformats.org/officeDocument/2006/docPropsVTypes"/>
</file>