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A37"/>
          <w:sz w:val="38"/>
          <w:szCs w:val="38"/>
        </w:rPr>
        <w:t xml:space="preserve">Same-Day Perishables Clearance</w:t>
      </w:r>
    </w:p>
    <w:p>
      <w:pPr>
        <w:pBdr>
          <w:bottom w:val="single" w:color="2E5E8C" w:sz="8" w:space="4"/>
        </w:pBdr>
        <w:spacing w:after="120"/>
      </w:pPr>
      <w:r>
        <w:rPr>
          <w:color w:val="44505F"/>
          <w:sz w:val="24"/>
          <w:szCs w:val="24"/>
        </w:rPr>
        <w:t xml:space="preserve">Requirements, Architecture &amp; Design  ·  J24 Store Platform (Pillar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pPr>
            <w:r>
              <w:rPr>
                <w:b/>
                <w:bCs/>
                <w:color w:val="44505F"/>
              </w:rPr>
              <w:t xml:space="preserve">Status</w:t>
            </w:r>
          </w:p>
        </w:tc>
        <w:tc>
          <w:tcPr>
            <w:tcW w:type="dxa" w:w="716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pPr>
            <w:r>
              <w:t xml:space="preserve">Draft for review — v0.3</w:t>
            </w:r>
          </w:p>
        </w:tc>
      </w:tr>
      <w:tr>
        <w:tc>
          <w:tcPr>
            <w:tcW w:type="dxa" w:w="220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pPr>
            <w:r>
              <w:rPr>
                <w:b/>
                <w:bCs/>
                <w:color w:val="44505F"/>
              </w:rPr>
              <w:t xml:space="preserve">Author</w:t>
            </w:r>
          </w:p>
        </w:tc>
        <w:tc>
          <w:tcPr>
            <w:tcW w:type="dxa" w:w="716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pPr>
            <w:r>
              <w:t xml:space="preserve">Sripad</w:t>
            </w:r>
          </w:p>
        </w:tc>
      </w:tr>
      <w:tr>
        <w:tc>
          <w:tcPr>
            <w:tcW w:type="dxa" w:w="220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pPr>
            <w:r>
              <w:rPr>
                <w:b/>
                <w:bCs/>
                <w:color w:val="44505F"/>
              </w:rPr>
              <w:t xml:space="preserve">Date</w:t>
            </w:r>
          </w:p>
        </w:tc>
        <w:tc>
          <w:tcPr>
            <w:tcW w:type="dxa" w:w="716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pPr>
            <w:r>
              <w:t xml:space="preserve">16 June 2026</w:t>
            </w:r>
          </w:p>
        </w:tc>
      </w:tr>
      <w:tr>
        <w:tc>
          <w:tcPr>
            <w:tcW w:type="dxa" w:w="220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pPr>
            <w:r>
              <w:rPr>
                <w:b/>
                <w:bCs/>
                <w:color w:val="44505F"/>
              </w:rPr>
              <w:t xml:space="preserve">Reviewers</w:t>
            </w:r>
          </w:p>
        </w:tc>
        <w:tc>
          <w:tcPr>
            <w:tcW w:type="dxa" w:w="716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pPr>
            <w:r>
              <w:t xml:space="preserve">Karthik (vision), Vaibhav (retail-media platform), Ashay / Naveen (catalog)</w:t>
            </w:r>
          </w:p>
        </w:tc>
      </w:tr>
      <w:tr>
        <w:tc>
          <w:tcPr>
            <w:tcW w:type="dxa" w:w="220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pPr>
            <w:r>
              <w:rPr>
                <w:b/>
                <w:bCs/>
                <w:color w:val="44505F"/>
              </w:rPr>
              <w:t xml:space="preserve">Related</w:t>
            </w:r>
          </w:p>
        </w:tc>
        <w:tc>
          <w:tcPr>
            <w:tcW w:type="dxa" w:w="716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pPr>
            <w:r>
              <w:t xml:space="preserve">Karthik product-vision summary, 5 Jun 2026 (Pillar 3); FNV image-upload workflow (Temporal/WATI)</w:t>
            </w:r>
          </w:p>
        </w:tc>
      </w:tr>
    </w:tbl>
    <w:p>
      <w:pPr>
        <w:spacing w:after="120"/>
      </w:pPr>
      <w:r>
        <w:t xml:space="preserve"/>
      </w:r>
    </w:p>
    <w:p>
      <w:r>
        <w:br w:type="page"/>
      </w:r>
    </w:p>
    <w:p>
      <w:pPr>
        <w:pStyle w:val="Heading1"/>
      </w:pPr>
      <w:r>
        <w:t xml:space="preserve">Part A — Requirements</w:t>
      </w:r>
    </w:p>
    <w:p>
      <w:pPr>
        <w:pStyle w:val="Heading2"/>
      </w:pPr>
      <w:r>
        <w:t xml:space="preserve">1. Background</w:t>
      </w:r>
    </w:p>
    <w:p>
      <w:pPr>
        <w:spacing w:after="140" w:line="276"/>
      </w:pPr>
      <w:r>
        <w:t xml:space="preserve">This document specifies the perishables markdown agent — the engine behind Pillar 3 of the J24 store roadmap that Karthik laid out on 5 June. The intent is narrow and concrete. For a perishable line received with a short shelf life, the agent watches how the line is selling through the day and steps the price down on a schedule that gets more aggressive as the clock runs out, ending — only for stock that genuinely will not clear — at a token ₹1 “free” gesture late in the evening. The owner stays in control through a single approve/reject surface in My J24, and an approved markdown flows to Golden Eye and out to the in-store screens.</w:t>
      </w:r>
    </w:p>
    <w:p>
      <w:pPr>
        <w:spacing w:after="140" w:line="276"/>
      </w:pPr>
      <w:r>
        <w:t xml:space="preserve">I have deliberately kept the pricing logic deterministic and pushed the LLM to the edges of the system. A Giant needs to trust the number on the shelf; “the model decided” is not an answer that survives contact with someone whose margin just moved. The agentic part of this is the orchestration — the durable, day-long loop that observes, decides, asks, applies and learns — not the arithmetic of the discount itself.</w:t>
      </w:r>
    </w:p>
    <w:p>
      <w:pPr>
        <w:pBdr>
          <w:left w:val="single" w:color="2E5E8C" w:sz="18" w:space="10"/>
        </w:pBdr>
        <w:spacing w:after="160" w:before="60" w:line="264"/>
        <w:ind w:left="160"/>
      </w:pPr>
      <w:r>
        <w:rPr>
          <w:b/>
          <w:bCs/>
          <w:i/>
          <w:iCs/>
          <w:color w:val="2E5E8C"/>
        </w:rPr>
        <w:t xml:space="preserve">Note — </w:t>
      </w:r>
      <w:r>
        <w:rPr>
          <w:i/>
          <w:iCs/>
          <w:color w:val="44505F"/>
        </w:rPr>
        <w:t xml:space="preserve">This is conviction-led and not yet validated with Giants or brands (Karthik’s own caveat). The design is therefore built to ship a thin, honest pilot in shadow mode first, so the ladder and the sell-through logic are calibrated against real burn-down before a single price is changed in a live store.</w:t>
      </w:r>
    </w:p>
    <w:p>
      <w:pPr>
        <w:pBdr>
          <w:left w:val="single" w:color="2E5E8C" w:sz="18" w:space="10"/>
        </w:pBdr>
        <w:spacing w:after="160" w:before="60" w:line="264"/>
        <w:ind w:left="160"/>
      </w:pPr>
      <w:r>
        <w:rPr>
          <w:b/>
          <w:bCs/>
          <w:i/>
          <w:iCs/>
          <w:color w:val="2E5E8C"/>
        </w:rPr>
        <w:t xml:space="preserve">Note — </w:t>
      </w:r>
      <w:r>
        <w:rPr>
          <w:i/>
          <w:iCs/>
          <w:color w:val="44505F"/>
        </w:rPr>
        <w:t xml:space="preserve">Read this alongside §24–§26. The assumptions the whole design leans on, and the risks I am most worried about — first among them training customers to simply wait for the discount — are consolidated there. They belong next to the requirements, not as an afterthought.</w:t>
      </w:r>
    </w:p>
    <w:p>
      <w:pPr>
        <w:pStyle w:val="Heading2"/>
      </w:pPr>
      <w:r>
        <w:t xml:space="preserve">2. Problem &amp; objective</w:t>
      </w:r>
    </w:p>
    <w:p>
      <w:pPr>
        <w:spacing w:after="140" w:line="276"/>
      </w:pPr>
      <w:r>
        <w:t xml:space="preserve">Highly perishable lines — F&amp;B, ready-to-eat (RTE), and fruit &amp; veg (FNV) — arrive with a shelf life measured in hours or a day or two. Anything not sold inside that window is written off. Today there is no system that prices this risk down dynamically during the day: the owner either eyeballs it late and dumps stock at a loss, or it spoils. Both outcomes cost margin, and the spoilage itself feeds the wastage (and, eventually, the methane / green-stores) narrative we would rather be on the right side of.</w:t>
      </w:r>
    </w:p>
    <w:p>
      <w:pPr>
        <w:spacing w:after="140" w:line="276"/>
      </w:pPr>
      <w:r>
        <w:t xml:space="preserve">The objective is a closed-loop agent that, per line per day, predicts whether on-hand stock will clear in time, and if not, recommends a progressively deeper markdown — surfaced for owner approval, applied through Golden Eye, and pushed to the in-store screens and the checkout second screen. Success is measured first by perishable units cleared rather than written off, with the margin given away kept visible and bounded.</w:t>
      </w:r>
    </w:p>
    <w:p>
      <w:pPr>
        <w:pStyle w:val="Heading2"/>
      </w:pPr>
      <w:r>
        <w:t xml:space="preserve">3. Scope</w:t>
      </w:r>
    </w:p>
    <w:p>
      <w:pPr>
        <w:pStyle w:val="Heading3"/>
      </w:pPr>
      <w:r>
        <w:t xml:space="preserve">In scope (v1)</w:t>
      </w:r>
    </w:p>
    <w:p>
      <w:pPr>
        <w:pStyle w:val="ListParagraph"/>
        <w:numPr>
          <w:ilvl w:val="0"/>
          <w:numId w:val="2"/>
        </w:numPr>
        <w:spacing w:after="90" w:line="276"/>
      </w:pPr>
      <w:r>
        <w:t xml:space="preserve">Same-day clearance for short-life perishables: F&amp;B, RTE, and FNV.</w:t>
      </w:r>
    </w:p>
    <w:p>
      <w:pPr>
        <w:pStyle w:val="ListParagraph"/>
        <w:numPr>
          <w:ilvl w:val="0"/>
          <w:numId w:val="2"/>
        </w:numPr>
        <w:spacing w:after="90" w:line="276"/>
      </w:pPr>
      <w:r>
        <w:t xml:space="preserve">Multi-day shelf life handled by the same engine — the clearance ladder runs on the final viable selling day, with a light soft-nudge on earlier days.</w:t>
      </w:r>
    </w:p>
    <w:p>
      <w:pPr>
        <w:pStyle w:val="ListParagraph"/>
        <w:numPr>
          <w:ilvl w:val="0"/>
          <w:numId w:val="2"/>
        </w:numPr>
        <w:spacing w:after="90" w:line="276"/>
      </w:pPr>
      <w:r>
        <w:t xml:space="preserve">Sell-through-driven timing of each markdown step.</w:t>
      </w:r>
    </w:p>
    <w:p>
      <w:pPr>
        <w:pStyle w:val="ListParagraph"/>
        <w:numPr>
          <w:ilvl w:val="0"/>
          <w:numId w:val="2"/>
        </w:numPr>
        <w:spacing w:after="90" w:line="276"/>
      </w:pPr>
      <w:r>
        <w:t xml:space="preserve">Owner approval loop in My J24, including the RTE auto-clear exception near close.</w:t>
      </w:r>
    </w:p>
    <w:p>
      <w:pPr>
        <w:pStyle w:val="ListParagraph"/>
        <w:numPr>
          <w:ilvl w:val="0"/>
          <w:numId w:val="2"/>
        </w:numPr>
        <w:spacing w:after="90" w:line="276"/>
      </w:pPr>
      <w:r>
        <w:t xml:space="preserve">Price application via Golden Eye, and handoff of the approved offer to retail media and the POS second screen.</w:t>
      </w:r>
    </w:p>
    <w:p>
      <w:pPr>
        <w:pStyle w:val="ListParagraph"/>
        <w:numPr>
          <w:ilvl w:val="0"/>
          <w:numId w:val="2"/>
        </w:numPr>
        <w:spacing w:after="90" w:line="276"/>
      </w:pPr>
      <w:r>
        <w:t xml:space="preserve">Full audit trail with a human-readable reason for every step.</w:t>
      </w:r>
    </w:p>
    <w:p>
      <w:pPr>
        <w:pStyle w:val="Heading3"/>
      </w:pPr>
      <w:r>
        <w:t xml:space="preserve">Out of scope (v1)</w:t>
      </w:r>
    </w:p>
    <w:p>
      <w:pPr>
        <w:pStyle w:val="ListParagraph"/>
        <w:numPr>
          <w:ilvl w:val="0"/>
          <w:numId w:val="2"/>
        </w:numPr>
        <w:spacing w:after="90" w:line="276"/>
      </w:pPr>
      <w:r>
        <w:t xml:space="preserve">Dead stock and slow non-perishable movers — a harder problem, deferred per Karthik.</w:t>
      </w:r>
    </w:p>
    <w:p>
      <w:pPr>
        <w:pStyle w:val="ListParagraph"/>
        <w:numPr>
          <w:ilvl w:val="0"/>
          <w:numId w:val="2"/>
        </w:numPr>
        <w:spacing w:after="90" w:line="276"/>
      </w:pPr>
      <w:r>
        <w:t xml:space="preserve">Per-customer dynamic pricing and heavy personalisation. Day-one offers go to the screens in the store, not to individuals.</w:t>
      </w:r>
    </w:p>
    <w:p>
      <w:pPr>
        <w:pStyle w:val="ListParagraph"/>
        <w:numPr>
          <w:ilvl w:val="0"/>
          <w:numId w:val="2"/>
        </w:numPr>
        <w:spacing w:after="90" w:line="276"/>
      </w:pPr>
      <w:r>
        <w:t xml:space="preserve">Cross-store rebalancing / inter-warehouse transfer of perishables.</w:t>
      </w:r>
    </w:p>
    <w:p>
      <w:pPr>
        <w:pStyle w:val="ListParagraph"/>
        <w:numPr>
          <w:ilvl w:val="0"/>
          <w:numId w:val="2"/>
        </w:numPr>
        <w:spacing w:after="90" w:line="276"/>
      </w:pPr>
      <w:r>
        <w:t xml:space="preserve">Procurement-side correction — the agent reacts to what is on the shelf, it does not change what we buy.</w:t>
      </w:r>
    </w:p>
    <w:p>
      <w:pPr>
        <w:pStyle w:val="ListParagraph"/>
        <w:numPr>
          <w:ilvl w:val="0"/>
          <w:numId w:val="2"/>
        </w:numPr>
        <w:spacing w:after="90" w:line="276"/>
      </w:pPr>
      <w:r>
        <w:t xml:space="preserve">The retail-media slot/rendering engine itself (Vaibhav’s platform). We produce an offer and hand it over; we do not draw the TV.</w:t>
      </w:r>
    </w:p>
    <w:p>
      <w:pPr>
        <w:pStyle w:val="Heading2"/>
      </w:pPr>
      <w:r>
        <w:t xml:space="preserve">4.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FD6DE" w:sz="1"/>
              <w:left w:val="single" w:color="CFD6DE" w:sz="1"/>
              <w:bottom w:val="single" w:color="CFD6DE" w:sz="1"/>
              <w:right w:val="single" w:color="CFD6DE" w:sz="1"/>
            </w:tcBorders>
            <w:shd w:fill="2E5E8C" w:val="clear"/>
            <w:tcMar>
              <w:top w:type="dxa" w:w="70"/>
              <w:left w:type="dxa" w:w="120"/>
              <w:bottom w:type="dxa" w:w="70"/>
              <w:right w:type="dxa" w:w="120"/>
            </w:tcMar>
            <w:vAlign w:val="top"/>
          </w:tcPr>
          <w:p>
            <w:pPr>
              <w:spacing w:after="0" w:line="264"/>
            </w:pPr>
            <w:r>
              <w:rPr>
                <w:b/>
                <w:bCs/>
                <w:color w:val="FFFFFF"/>
              </w:rPr>
              <w:t xml:space="preserve">Term</w:t>
            </w:r>
          </w:p>
        </w:tc>
        <w:tc>
          <w:tcPr>
            <w:tcW w:type="dxa" w:w="7660"/>
            <w:tcBorders>
              <w:top w:val="single" w:color="CFD6DE" w:sz="1"/>
              <w:left w:val="single" w:color="CFD6DE" w:sz="1"/>
              <w:bottom w:val="single" w:color="CFD6DE" w:sz="1"/>
              <w:right w:val="single" w:color="CFD6DE" w:sz="1"/>
            </w:tcBorders>
            <w:shd w:fill="2E5E8C" w:val="clear"/>
            <w:tcMar>
              <w:top w:type="dxa" w:w="70"/>
              <w:left w:type="dxa" w:w="120"/>
              <w:bottom w:type="dxa" w:w="70"/>
              <w:right w:type="dxa" w:w="120"/>
            </w:tcMar>
            <w:vAlign w:val="top"/>
          </w:tcPr>
          <w:p>
            <w:pPr>
              <w:spacing w:after="0" w:line="264"/>
            </w:pPr>
            <w:r>
              <w:rPr>
                <w:b/>
                <w:bCs/>
                <w:color w:val="FFFFFF"/>
              </w:rPr>
              <w:t xml:space="preserve">Meaning</w:t>
            </w:r>
          </w:p>
        </w:tc>
      </w:tr>
      <w:tr>
        <w:trPr>
          <w:tblHeader w:val="false"/>
        </w:trPr>
        <w:tc>
          <w:tcPr>
            <w:tcW w:type="dxa" w:w="170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Shelf life (L)</w:t>
            </w:r>
          </w:p>
        </w:tc>
        <w:tc>
          <w:tcPr>
            <w:tcW w:type="dxa" w:w="766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Saleable life of the received batch in days, known at GRN. L = 1 means it must sell on the day of receipt.</w:t>
            </w:r>
          </w:p>
        </w:tc>
      </w:tr>
      <w:tr>
        <w:trPr>
          <w:tblHeader w:val="false"/>
        </w:trPr>
        <w:tc>
          <w:tcPr>
            <w:tcW w:type="dxa" w:w="170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Clearance day</w:t>
            </w:r>
          </w:p>
        </w:tc>
        <w:tc>
          <w:tcPr>
            <w:tcW w:type="dxa" w:w="766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The last viable selling day for the batch = receipt date + L − 1. The full markdown ladder runs on this day.</w:t>
            </w:r>
          </w:p>
        </w:tc>
      </w:tr>
      <w:tr>
        <w:trPr>
          <w:tblHeader w:val="false"/>
        </w:trPr>
        <w:tc>
          <w:tcPr>
            <w:tcW w:type="dxa" w:w="170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T0</w:t>
            </w:r>
          </w:p>
        </w:tc>
        <w:tc>
          <w:tcPr>
            <w:tcW w:type="dxa" w:w="766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Start of the saleable window on the clearance day = max(store open, GRN/shelf-ready time).</w:t>
            </w:r>
          </w:p>
        </w:tc>
      </w:tr>
      <w:tr>
        <w:trPr>
          <w:tblHeader w:val="false"/>
        </w:trPr>
        <w:tc>
          <w:tcPr>
            <w:tcW w:type="dxa" w:w="170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Q0</w:t>
            </w:r>
          </w:p>
        </w:tc>
        <w:tc>
          <w:tcPr>
            <w:tcW w:type="dxa" w:w="766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On-hand quantity of the batch at T0.</w:t>
            </w:r>
          </w:p>
        </w:tc>
      </w:tr>
      <w:tr>
        <w:trPr>
          <w:tblHeader w:val="false"/>
        </w:trPr>
        <w:tc>
          <w:tcPr>
            <w:tcW w:type="dxa" w:w="170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Run-rate (v)</w:t>
            </w:r>
          </w:p>
        </w:tc>
        <w:tc>
          <w:tcPr>
            <w:tcW w:type="dxa" w:w="766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Units sold per hour over a trailing window (default 90 min), with all-day average as fallback.</w:t>
            </w:r>
          </w:p>
        </w:tc>
      </w:tr>
      <w:tr>
        <w:trPr>
          <w:tblHeader w:val="false"/>
        </w:trPr>
        <w:tc>
          <w:tcPr>
            <w:tcW w:type="dxa" w:w="170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Residual</w:t>
            </w:r>
          </w:p>
        </w:tc>
        <w:tc>
          <w:tcPr>
            <w:tcW w:type="dxa" w:w="766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Units expected to remain unsold at must-clear time = Q0 − projected clearance.</w:t>
            </w:r>
          </w:p>
        </w:tc>
      </w:tr>
      <w:tr>
        <w:trPr>
          <w:tblHeader w:val="false"/>
        </w:trPr>
        <w:tc>
          <w:tcPr>
            <w:tcW w:type="dxa" w:w="170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Rung</w:t>
            </w:r>
          </w:p>
        </w:tc>
        <w:tc>
          <w:tcPr>
            <w:tcW w:type="dxa" w:w="766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A discrete step on the markdown ladder (0% → 25% → 50% → ₹1 in v1).</w:t>
            </w:r>
          </w:p>
        </w:tc>
      </w:tr>
    </w:tbl>
    <w:p>
      <w:pPr>
        <w:pStyle w:val="Heading2"/>
      </w:pPr>
      <w:r>
        <w:t xml:space="preserve">5. Functional requirements</w:t>
      </w:r>
    </w:p>
    <w:p>
      <w:pPr>
        <w:pStyle w:val="ListParagraph"/>
        <w:numPr>
          <w:ilvl w:val="0"/>
          <w:numId w:val="3"/>
        </w:numPr>
        <w:spacing w:after="90" w:line="276"/>
      </w:pPr>
      <w:r>
        <w:rPr>
          <w:b/>
          <w:bCs/>
        </w:rPr>
        <w:t xml:space="preserve">Lifespan-aware ladder. </w:t>
      </w:r>
      <w:r>
        <w:t xml:space="preserve">The agent applies a markdown ladder anchored to the clearance day, with steps that deepen as the saleable window is consumed (see §6).</w:t>
      </w:r>
    </w:p>
    <w:p>
      <w:pPr>
        <w:pStyle w:val="ListParagraph"/>
        <w:numPr>
          <w:ilvl w:val="0"/>
          <w:numId w:val="3"/>
        </w:numPr>
        <w:spacing w:after="90" w:line="276"/>
      </w:pPr>
      <w:r>
        <w:rPr>
          <w:b/>
          <w:bCs/>
        </w:rPr>
        <w:t xml:space="preserve">End-of-day floor. </w:t>
      </w:r>
      <w:r>
        <w:t xml:space="preserve">On the clearance day, after the wall-clock floor (21:00 IST, configurable per store close), any residual stock may be dropped to a token ₹1 — the “free” gesture — subject to the approval rules in §8.</w:t>
      </w:r>
    </w:p>
    <w:p>
      <w:pPr>
        <w:pStyle w:val="ListParagraph"/>
        <w:numPr>
          <w:ilvl w:val="0"/>
          <w:numId w:val="3"/>
        </w:numPr>
        <w:spacing w:after="90" w:line="276"/>
      </w:pPr>
      <w:r>
        <w:rPr>
          <w:b/>
          <w:bCs/>
        </w:rPr>
        <w:t xml:space="preserve">Sell-through modulation. </w:t>
      </w:r>
      <w:r>
        <w:t xml:space="preserve">At each ladder checkpoint the agent decides whether to take the step at all, based on whether the line is projected to clear at the current price (see §7). A line that is selling through on its own is never marked down.</w:t>
      </w:r>
    </w:p>
    <w:p>
      <w:pPr>
        <w:pStyle w:val="ListParagraph"/>
        <w:numPr>
          <w:ilvl w:val="0"/>
          <w:numId w:val="3"/>
        </w:numPr>
        <w:spacing w:after="90" w:line="276"/>
      </w:pPr>
      <w:r>
        <w:rPr>
          <w:b/>
          <w:bCs/>
        </w:rPr>
        <w:t xml:space="preserve">Monotonic price within a day. </w:t>
      </w:r>
      <w:r>
        <w:t xml:space="preserve">Price only ever steps down within a clearance day; the agent never raises a marked-down price back up mid-day. This protects customer and owner trust.</w:t>
      </w:r>
    </w:p>
    <w:p>
      <w:pPr>
        <w:pStyle w:val="ListParagraph"/>
        <w:numPr>
          <w:ilvl w:val="0"/>
          <w:numId w:val="3"/>
        </w:numPr>
        <w:spacing w:after="90" w:line="276"/>
      </w:pPr>
      <w:r>
        <w:rPr>
          <w:b/>
          <w:bCs/>
        </w:rPr>
        <w:t xml:space="preserve">Owner approval. </w:t>
      </w:r>
      <w:r>
        <w:t xml:space="preserve">Every new markdown step on a non-RTE line is raised for owner approval in My J24 as an email-style decision. RTE lines near close are auto-cleared without consent because unsold RTE is taken back by the brand.</w:t>
      </w:r>
    </w:p>
    <w:p>
      <w:pPr>
        <w:pStyle w:val="ListParagraph"/>
        <w:numPr>
          <w:ilvl w:val="0"/>
          <w:numId w:val="3"/>
        </w:numPr>
        <w:spacing w:after="90" w:line="276"/>
      </w:pPr>
      <w:r>
        <w:rPr>
          <w:b/>
          <w:bCs/>
        </w:rPr>
        <w:t xml:space="preserve">Apply through Golden Eye. </w:t>
      </w:r>
      <w:r>
        <w:t xml:space="preserve">An approved (or auto-cleared) markdown triggers a catalog and price update via Golden Eye, which is the source of truth at the till.</w:t>
      </w:r>
    </w:p>
    <w:p>
      <w:pPr>
        <w:pStyle w:val="ListParagraph"/>
        <w:numPr>
          <w:ilvl w:val="0"/>
          <w:numId w:val="3"/>
        </w:numPr>
        <w:spacing w:after="90" w:line="276"/>
      </w:pPr>
      <w:r>
        <w:rPr>
          <w:b/>
          <w:bCs/>
        </w:rPr>
        <w:t xml:space="preserve">Publish the offer. </w:t>
      </w:r>
      <w:r>
        <w:t xml:space="preserve">Once applied, the offer is handed to retail media (a screen slot carrying a QR / call-to-action) and to the POS second screen for reinforcement at checkout.</w:t>
      </w:r>
    </w:p>
    <w:p>
      <w:pPr>
        <w:pStyle w:val="ListParagraph"/>
        <w:numPr>
          <w:ilvl w:val="0"/>
          <w:numId w:val="3"/>
        </w:numPr>
        <w:spacing w:after="90" w:line="276"/>
      </w:pPr>
      <w:r>
        <w:rPr>
          <w:b/>
          <w:bCs/>
        </w:rPr>
        <w:t xml:space="preserve">Re-receipt handling. </w:t>
      </w:r>
      <w:r>
        <w:t xml:space="preserve">A further GRN of the same line during the day re-baselines Q0 and re-evaluates, without starting a second competing run.</w:t>
      </w:r>
    </w:p>
    <w:p>
      <w:pPr>
        <w:pStyle w:val="ListParagraph"/>
        <w:numPr>
          <w:ilvl w:val="0"/>
          <w:numId w:val="3"/>
        </w:numPr>
        <w:spacing w:after="90" w:line="276"/>
      </w:pPr>
      <w:r>
        <w:rPr>
          <w:b/>
          <w:bCs/>
        </w:rPr>
        <w:t xml:space="preserve">Short-circuits. </w:t>
      </w:r>
      <w:r>
        <w:t xml:space="preserve">Sell-out, owner stop, or a category-manager override finalises or halts the run immediately.</w:t>
      </w:r>
    </w:p>
    <w:p>
      <w:pPr>
        <w:pStyle w:val="ListParagraph"/>
        <w:numPr>
          <w:ilvl w:val="0"/>
          <w:numId w:val="3"/>
        </w:numPr>
        <w:spacing w:after="90" w:line="276"/>
      </w:pPr>
      <w:r>
        <w:rPr>
          <w:b/>
          <w:bCs/>
        </w:rPr>
        <w:t xml:space="preserve">Auditability. </w:t>
      </w:r>
      <w:r>
        <w:t xml:space="preserve">Every recommendation and every applied change is logged with its inputs (Q0, units sold, run-rate, residual) and a one-line reason. The agent must be able to answer “why this price, now?” after the fact.</w:t>
      </w:r>
    </w:p>
    <w:p>
      <w:pPr>
        <w:pStyle w:val="ListParagraph"/>
        <w:numPr>
          <w:ilvl w:val="0"/>
          <w:numId w:val="3"/>
        </w:numPr>
        <w:spacing w:after="90" w:line="276"/>
      </w:pPr>
      <w:r>
        <w:rPr>
          <w:b/>
          <w:bCs/>
        </w:rPr>
        <w:t xml:space="preserve">Guardrails. </w:t>
      </w:r>
      <w:r>
        <w:t xml:space="preserve">Configurable safety stops: a minimum Q0 below which the agent does not bother, a per-line/day give-away alert threshold, a minimum on-screen dwell to count an impression (~5s), and a 24-hour coupon validity so a scanning customer can return.</w:t>
      </w:r>
    </w:p>
    <w:p>
      <w:pPr>
        <w:pStyle w:val="Heading2"/>
      </w:pPr>
      <w:r>
        <w:t xml:space="preserve">6. Markdown ladder</w:t>
      </w:r>
    </w:p>
    <w:p>
      <w:pPr>
        <w:spacing w:after="140" w:line="276"/>
      </w:pPr>
      <w:r>
        <w:t xml:space="preserve">The ladder is deliberately discrete and dead simple — Karthik was explicit that there should be no minimum-spend gates, no clever rules, no per-customer pricing on day one. The ladder defines the maximum markdown permissible at each checkpoint on the clearance day. Sell-through (§7) decides whether each step is actually taken; it never deepens a step beyond the checkpoint ceiling. Checkpoints fire on whichever of the elapsed-time or wall-clock condition comes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900"/>
        <w:gridCol w:w="3360"/>
      </w:tblGrid>
      <w:tr>
        <w:trPr>
          <w:tblHeader/>
        </w:trPr>
        <w:tc>
          <w:tcPr>
            <w:tcW w:type="dxa" w:w="900"/>
            <w:tcBorders>
              <w:top w:val="single" w:color="CFD6DE" w:sz="1"/>
              <w:left w:val="single" w:color="CFD6DE" w:sz="1"/>
              <w:bottom w:val="single" w:color="CFD6DE" w:sz="1"/>
              <w:right w:val="single" w:color="CFD6DE" w:sz="1"/>
            </w:tcBorders>
            <w:shd w:fill="2E5E8C" w:val="clear"/>
            <w:tcMar>
              <w:top w:type="dxa" w:w="70"/>
              <w:left w:type="dxa" w:w="120"/>
              <w:bottom w:type="dxa" w:w="70"/>
              <w:right w:type="dxa" w:w="120"/>
            </w:tcMar>
            <w:vAlign w:val="top"/>
          </w:tcPr>
          <w:p>
            <w:pPr>
              <w:spacing w:after="0" w:line="264"/>
            </w:pPr>
            <w:r>
              <w:rPr>
                <w:b/>
                <w:bCs/>
                <w:color w:val="FFFFFF"/>
              </w:rPr>
              <w:t xml:space="preserve">Rung</w:t>
            </w:r>
          </w:p>
        </w:tc>
        <w:tc>
          <w:tcPr>
            <w:tcW w:type="dxa" w:w="3200"/>
            <w:tcBorders>
              <w:top w:val="single" w:color="CFD6DE" w:sz="1"/>
              <w:left w:val="single" w:color="CFD6DE" w:sz="1"/>
              <w:bottom w:val="single" w:color="CFD6DE" w:sz="1"/>
              <w:right w:val="single" w:color="CFD6DE" w:sz="1"/>
            </w:tcBorders>
            <w:shd w:fill="2E5E8C" w:val="clear"/>
            <w:tcMar>
              <w:top w:type="dxa" w:w="70"/>
              <w:left w:type="dxa" w:w="120"/>
              <w:bottom w:type="dxa" w:w="70"/>
              <w:right w:type="dxa" w:w="120"/>
            </w:tcMar>
            <w:vAlign w:val="top"/>
          </w:tcPr>
          <w:p>
            <w:pPr>
              <w:spacing w:after="0" w:line="264"/>
            </w:pPr>
            <w:r>
              <w:rPr>
                <w:b/>
                <w:bCs/>
                <w:color w:val="FFFFFF"/>
              </w:rPr>
              <w:t xml:space="preserve">Trigger (whichever first)</w:t>
            </w:r>
          </w:p>
        </w:tc>
        <w:tc>
          <w:tcPr>
            <w:tcW w:type="dxa" w:w="1900"/>
            <w:tcBorders>
              <w:top w:val="single" w:color="CFD6DE" w:sz="1"/>
              <w:left w:val="single" w:color="CFD6DE" w:sz="1"/>
              <w:bottom w:val="single" w:color="CFD6DE" w:sz="1"/>
              <w:right w:val="single" w:color="CFD6DE" w:sz="1"/>
            </w:tcBorders>
            <w:shd w:fill="2E5E8C" w:val="clear"/>
            <w:tcMar>
              <w:top w:type="dxa" w:w="70"/>
              <w:left w:type="dxa" w:w="120"/>
              <w:bottom w:type="dxa" w:w="70"/>
              <w:right w:type="dxa" w:w="120"/>
            </w:tcMar>
            <w:vAlign w:val="top"/>
          </w:tcPr>
          <w:p>
            <w:pPr>
              <w:spacing w:after="0" w:line="264"/>
            </w:pPr>
            <w:r>
              <w:rPr>
                <w:b/>
                <w:bCs/>
                <w:color w:val="FFFFFF"/>
              </w:rPr>
              <w:t xml:space="preserve">Markdown ceiling</w:t>
            </w:r>
          </w:p>
        </w:tc>
        <w:tc>
          <w:tcPr>
            <w:tcW w:type="dxa" w:w="3360"/>
            <w:tcBorders>
              <w:top w:val="single" w:color="CFD6DE" w:sz="1"/>
              <w:left w:val="single" w:color="CFD6DE" w:sz="1"/>
              <w:bottom w:val="single" w:color="CFD6DE" w:sz="1"/>
              <w:right w:val="single" w:color="CFD6DE" w:sz="1"/>
            </w:tcBorders>
            <w:shd w:fill="2E5E8C" w:val="clear"/>
            <w:tcMar>
              <w:top w:type="dxa" w:w="70"/>
              <w:left w:type="dxa" w:w="120"/>
              <w:bottom w:type="dxa" w:w="70"/>
              <w:right w:type="dxa" w:w="120"/>
            </w:tcMar>
            <w:vAlign w:val="top"/>
          </w:tcPr>
          <w:p>
            <w:pPr>
              <w:spacing w:after="0" w:line="264"/>
            </w:pPr>
            <w:r>
              <w:rPr>
                <w:b/>
                <w:bCs/>
                <w:color w:val="FFFFFF"/>
              </w:rPr>
              <w:t xml:space="preserve">Behaviour</w:t>
            </w:r>
          </w:p>
        </w:tc>
      </w:tr>
      <w:tr>
        <w:trPr>
          <w:tblHeader w:val="false"/>
        </w:trPr>
        <w:tc>
          <w:tcPr>
            <w:tcW w:type="dxa" w:w="90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R0</w:t>
            </w:r>
          </w:p>
        </w:tc>
        <w:tc>
          <w:tcPr>
            <w:tcW w:type="dxa" w:w="320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T0 — shelf-ready</w:t>
            </w:r>
          </w:p>
        </w:tc>
        <w:tc>
          <w:tcPr>
            <w:tcW w:type="dxa" w:w="190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0% (list price)</w:t>
            </w:r>
          </w:p>
        </w:tc>
        <w:tc>
          <w:tcPr>
            <w:tcW w:type="dxa" w:w="336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Observe only. Establish Q0 and baseline run-rate.</w:t>
            </w:r>
          </w:p>
        </w:tc>
      </w:tr>
      <w:tr>
        <w:trPr>
          <w:tblHeader w:val="false"/>
        </w:trPr>
        <w:tc>
          <w:tcPr>
            <w:tcW w:type="dxa" w:w="90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R1</w:t>
            </w:r>
          </w:p>
        </w:tc>
        <w:tc>
          <w:tcPr>
            <w:tcW w:type="dxa" w:w="320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T0 + 2h</w:t>
            </w:r>
          </w:p>
        </w:tc>
        <w:tc>
          <w:tcPr>
            <w:tcW w:type="dxa" w:w="190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25%</w:t>
            </w:r>
          </w:p>
        </w:tc>
        <w:tc>
          <w:tcPr>
            <w:tcW w:type="dxa" w:w="336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First markdown. Taken only if projected to fall short at list price.</w:t>
            </w:r>
          </w:p>
        </w:tc>
      </w:tr>
      <w:tr>
        <w:trPr>
          <w:tblHeader w:val="false"/>
        </w:trPr>
        <w:tc>
          <w:tcPr>
            <w:tcW w:type="dxa" w:w="90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R2</w:t>
            </w:r>
          </w:p>
        </w:tc>
        <w:tc>
          <w:tcPr>
            <w:tcW w:type="dxa" w:w="320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T0 + 8h, or 16:00 IST</w:t>
            </w:r>
          </w:p>
        </w:tc>
        <w:tc>
          <w:tcPr>
            <w:tcW w:type="dxa" w:w="190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50%</w:t>
            </w:r>
          </w:p>
        </w:tc>
        <w:tc>
          <w:tcPr>
            <w:tcW w:type="dxa" w:w="336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Deep markdown. The 8–10h window is the design intent; we anchor at +8h.</w:t>
            </w:r>
          </w:p>
        </w:tc>
      </w:tr>
      <w:tr>
        <w:trPr>
          <w:tblHeader w:val="false"/>
        </w:trPr>
        <w:tc>
          <w:tcPr>
            <w:tcW w:type="dxa" w:w="90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R3</w:t>
            </w:r>
          </w:p>
        </w:tc>
        <w:tc>
          <w:tcPr>
            <w:tcW w:type="dxa" w:w="320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21:00 IST</w:t>
            </w:r>
          </w:p>
        </w:tc>
        <w:tc>
          <w:tcPr>
            <w:tcW w:type="dxa" w:w="190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₹1 (token free)</w:t>
            </w:r>
          </w:p>
        </w:tc>
        <w:tc>
          <w:tcPr>
            <w:tcW w:type="dxa" w:w="336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Clearance gesture for residual stock only. Approval rules in §8 apply.</w:t>
            </w:r>
          </w:p>
        </w:tc>
      </w:tr>
    </w:tbl>
    <w:p>
      <w:pPr>
        <w:pBdr>
          <w:left w:val="single" w:color="2E5E8C" w:sz="18" w:space="10"/>
        </w:pBdr>
        <w:spacing w:after="160" w:before="60" w:line="264"/>
        <w:ind w:left="160"/>
      </w:pPr>
      <w:r>
        <w:rPr>
          <w:b/>
          <w:bCs/>
          <w:i/>
          <w:iCs/>
          <w:color w:val="2E5E8C"/>
        </w:rPr>
        <w:t xml:space="preserve">Note — </w:t>
      </w:r>
      <w:r>
        <w:rPr>
          <w:i/>
          <w:iCs/>
          <w:color w:val="44505F"/>
        </w:rPr>
        <w:t xml:space="preserve">The ladder lives in config, not in code — ops should be able to re-tune the rungs, hours and floor from real pilot data without a deploy. The four rungs above are the starting set, chosen to match the worked examples below.</w:t>
      </w:r>
    </w:p>
    <w:p>
      <w:pPr>
        <w:pStyle w:val="Heading3"/>
      </w:pPr>
      <w:r>
        <w:t xml:space="preserve">Worked example — L = 1 (RTE, 40 units)</w:t>
      </w:r>
    </w:p>
    <w:p>
      <w:pPr>
        <w:spacing w:after="140" w:line="276"/>
      </w:pPr>
      <w:r>
        <w:t xml:space="preserve">Received 06:30, shelf-ready 07:30 (T0). Q0 = 40.</w:t>
      </w:r>
    </w:p>
    <w:p>
      <w:pPr>
        <w:pStyle w:val="ListParagraph"/>
        <w:numPr>
          <w:ilvl w:val="0"/>
          <w:numId w:val="2"/>
        </w:numPr>
        <w:spacing w:after="90" w:line="276"/>
      </w:pPr>
      <w:r>
        <w:rPr>
          <w:b/>
          <w:bCs/>
        </w:rPr>
        <w:t xml:space="preserve">09:30 (R1): </w:t>
      </w:r>
      <w:r>
        <w:t xml:space="preserve">16 units sold but the rate is slowing; projected clearance ~31 against 40 on hand → take 25%.</w:t>
      </w:r>
    </w:p>
    <w:p>
      <w:pPr>
        <w:pStyle w:val="ListParagraph"/>
        <w:numPr>
          <w:ilvl w:val="0"/>
          <w:numId w:val="2"/>
        </w:numPr>
        <w:spacing w:after="90" w:line="276"/>
      </w:pPr>
      <w:r>
        <w:rPr>
          <w:b/>
          <w:bCs/>
        </w:rPr>
        <w:t xml:space="preserve">15:30 (R2): </w:t>
      </w:r>
      <w:r>
        <w:t xml:space="preserve">28 sold, projection still short by ~8 → take 50%.</w:t>
      </w:r>
    </w:p>
    <w:p>
      <w:pPr>
        <w:pStyle w:val="ListParagraph"/>
        <w:numPr>
          <w:ilvl w:val="0"/>
          <w:numId w:val="2"/>
        </w:numPr>
        <w:spacing w:after="90" w:line="276"/>
      </w:pPr>
      <w:r>
        <w:rPr>
          <w:b/>
          <w:bCs/>
        </w:rPr>
        <w:t xml:space="preserve">21:00 (R3): </w:t>
      </w:r>
      <w:r>
        <w:t xml:space="preserve">6 left. RTE after the close gate → auto-clear to ₹1 without consent; second screen plays “Congratulations, you got a free samosa” and offers “add one more.”</w:t>
      </w:r>
    </w:p>
    <w:p>
      <w:pPr>
        <w:pStyle w:val="Heading3"/>
      </w:pPr>
      <w:r>
        <w:t xml:space="preserve">Worked example — L = 2</w:t>
      </w:r>
    </w:p>
    <w:p>
      <w:pPr>
        <w:spacing w:after="140" w:line="276"/>
      </w:pPr>
      <w:r>
        <w:t xml:space="preserve">The clearance day is the day after receipt. On the receipt day the agent only runs a light check: if the line is selling so slowly that a two-day burn-down clearly will not clear it, it may recommend a single soft early-bird step (cap 15%, owner approval as normal). On the clearance day it runs the full R0–R3 ladder exactly as the L = 1 case. Same logic, one day later — which is the behaviour you asked for.</w:t>
      </w:r>
    </w:p>
    <w:p>
      <w:pPr>
        <w:pStyle w:val="Heading2"/>
      </w:pPr>
      <w:r>
        <w:t xml:space="preserve">7. Sell-through modulation</w:t>
      </w:r>
    </w:p>
    <w:p>
      <w:pPr>
        <w:spacing w:after="140" w:line="276"/>
      </w:pPr>
      <w:r>
        <w:t xml:space="preserve">At each checkpoint the agent projects whether the line will clear at its current price by the must-clear time, and only marks down if it will not. The projection is intentionally crude — a trailing run-rate extrapolated to the remaining hours. Crude is fine here: we are deciding whether to discount, not forecasting demand to two decimals.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5E8C" w:sz="18"/>
              <w:bottom w:val="none"/>
              <w:right w:val="none"/>
            </w:tcBorders>
            <w:shd w:fill="F3F4F6" w:val="clear"/>
            <w:tcMar>
              <w:top w:type="dxa" w:w="120"/>
              <w:left w:type="dxa" w:w="200"/>
              <w:bottom w:type="dxa" w:w="120"/>
              <w:right w:type="dxa" w:w="160"/>
            </w:tcMar>
          </w:tcPr>
          <w:p>
            <w:pPr>
              <w:spacing w:after="20" w:line="252"/>
            </w:pPr>
            <w:r>
              <w:rPr>
                <w:rFonts w:ascii="Consolas" w:cs="Consolas" w:eastAsia="Consolas" w:hAnsi="Consolas"/>
                <w:color w:val="243B53"/>
                <w:sz w:val="18"/>
                <w:szCs w:val="18"/>
              </w:rPr>
              <w:t xml:space="preserve"># at checkpoint c on the clearance day, ceiling rung = Rc</w:t>
            </w:r>
          </w:p>
          <w:p>
            <w:pPr>
              <w:spacing w:after="20" w:line="252"/>
            </w:pPr>
            <w:r>
              <w:rPr>
                <w:rFonts w:ascii="Consolas" w:cs="Consolas" w:eastAsia="Consolas" w:hAnsi="Consolas"/>
                <w:color w:val="243B53"/>
                <w:sz w:val="18"/>
                <w:szCs w:val="18"/>
              </w:rPr>
              <w:t xml:space="preserve">v        = units in trailing window / window_hours   # fallback: sold / elapsed</w:t>
            </w:r>
          </w:p>
          <w:p>
            <w:pPr>
              <w:spacing w:after="20" w:line="252"/>
            </w:pPr>
            <w:r>
              <w:rPr>
                <w:rFonts w:ascii="Consolas" w:cs="Consolas" w:eastAsia="Consolas" w:hAnsi="Consolas"/>
                <w:color w:val="243B53"/>
                <w:sz w:val="18"/>
                <w:szCs w:val="18"/>
              </w:rPr>
              <w:t xml:space="preserve">proj     = sold + v * hours_remaining_to_must_clear</w:t>
            </w:r>
          </w:p>
          <w:p>
            <w:pPr>
              <w:spacing w:after="20" w:line="252"/>
            </w:pPr>
            <w:r>
              <w:rPr>
                <w:rFonts w:ascii="Consolas" w:cs="Consolas" w:eastAsia="Consolas" w:hAnsi="Consolas"/>
                <w:color w:val="243B53"/>
                <w:sz w:val="18"/>
                <w:szCs w:val="18"/>
              </w:rPr>
              <w:t xml:space="preserve">residual = Q0 - proj</w:t>
            </w:r>
          </w:p>
          <w:p>
            <w:pPr>
              <w:spacing w:after="20" w:line="252"/>
            </w:pPr>
            <w:r>
              <w:rPr>
                <w:rFonts w:ascii="Consolas" w:cs="Consolas" w:eastAsia="Consolas" w:hAnsi="Consolas"/>
                <w:color w:val="243B53"/>
                <w:sz w:val="18"/>
                <w:szCs w:val="18"/>
              </w:rPr>
              <w:t xml:space="preserve">ratio    = proj / Q0</w:t>
            </w:r>
          </w:p>
          <w:p>
            <w:pPr>
              <w:spacing w:after="20" w:line="252"/>
            </w:pPr>
            <w:r>
              <w:rPr>
                <w:rFonts w:ascii="Consolas" w:cs="Consolas" w:eastAsia="Consolas" w:hAnsi="Consolas"/>
                <w:color w:val="243B53"/>
                <w:sz w:val="18"/>
                <w:szCs w:val="18"/>
              </w:rPr>
              <w:t xml:space="preserve"> </w:t>
            </w:r>
          </w:p>
          <w:p>
            <w:pPr>
              <w:spacing w:after="20" w:line="252"/>
            </w:pPr>
            <w:r>
              <w:rPr>
                <w:rFonts w:ascii="Consolas" w:cs="Consolas" w:eastAsia="Consolas" w:hAnsi="Consolas"/>
                <w:color w:val="243B53"/>
                <w:sz w:val="18"/>
                <w:szCs w:val="18"/>
              </w:rPr>
              <w:t xml:space="preserve">if   ratio &gt;= 1.0          -&gt;  HOLD       # on track to clear, no markdown</w:t>
            </w:r>
          </w:p>
          <w:p>
            <w:pPr>
              <w:spacing w:after="20" w:line="252"/>
            </w:pPr>
            <w:r>
              <w:rPr>
                <w:rFonts w:ascii="Consolas" w:cs="Consolas" w:eastAsia="Consolas" w:hAnsi="Consolas"/>
                <w:color w:val="243B53"/>
                <w:sz w:val="18"/>
                <w:szCs w:val="18"/>
              </w:rPr>
              <w:t xml:space="preserve">elif ratio &gt;= theta_hold   -&gt;  step to min(current_rung + 1, Rc)</w:t>
            </w:r>
          </w:p>
          <w:p>
            <w:pPr>
              <w:spacing w:after="20" w:line="252"/>
            </w:pPr>
            <w:r>
              <w:rPr>
                <w:rFonts w:ascii="Consolas" w:cs="Consolas" w:eastAsia="Consolas" w:hAnsi="Consolas"/>
                <w:color w:val="243B53"/>
                <w:sz w:val="18"/>
                <w:szCs w:val="18"/>
              </w:rPr>
              <w:t xml:space="preserve">else                       -&gt;  step to Rc # take the ceiling, it is lagging badly</w:t>
            </w:r>
          </w:p>
          <w:p>
            <w:pPr>
              <w:spacing w:after="20" w:line="252"/>
            </w:pPr>
            <w:r>
              <w:rPr>
                <w:rFonts w:ascii="Consolas" w:cs="Consolas" w:eastAsia="Consolas" w:hAnsi="Consolas"/>
                <w:color w:val="243B53"/>
                <w:sz w:val="18"/>
                <w:szCs w:val="18"/>
              </w:rPr>
              <w:t xml:space="preserve"> </w:t>
            </w:r>
          </w:p>
          <w:p>
            <w:pPr>
              <w:spacing w:after="20" w:line="252"/>
            </w:pPr>
            <w:r>
              <w:rPr>
                <w:rFonts w:ascii="Consolas" w:cs="Consolas" w:eastAsia="Consolas" w:hAnsi="Consolas"/>
                <w:color w:val="243B53"/>
                <w:sz w:val="18"/>
                <w:szCs w:val="18"/>
              </w:rPr>
              <w:t xml:space="preserve">price is monotonic non-increasing within the day  -&gt;  never steps back up</w:t>
            </w:r>
          </w:p>
          <w:p>
            <w:pPr>
              <w:spacing w:after="0" w:line="252"/>
            </w:pPr>
            <w:r>
              <w:rPr>
                <w:rFonts w:ascii="Consolas" w:cs="Consolas" w:eastAsia="Consolas" w:hAnsi="Consolas"/>
                <w:color w:val="243B53"/>
                <w:sz w:val="18"/>
                <w:szCs w:val="18"/>
              </w:rPr>
              <w:t xml:space="preserve">theta_hold = 0.85   # tunable in config</w:t>
            </w:r>
          </w:p>
        </w:tc>
      </w:tr>
    </w:tbl>
    <w:p>
      <w:pPr>
        <w:spacing w:after="140" w:line="276"/>
      </w:pPr>
      <w:r>
        <w:t xml:space="preserve">In v1 the ceiling at each timed checkpoint is the only rung available at that time, so the practical decision is hold versus take-the-ceiling. Letting the agent skip ahead to a deeper rung before its scheduled time — when the run-rate collapses early — is a sensible v1.1 lever, but it gives away margin faster, so it stays off and in the parking lot for now (§22).</w:t>
      </w:r>
    </w:p>
    <w:p>
      <w:pPr>
        <w:pStyle w:val="Heading2"/>
      </w:pPr>
      <w:r>
        <w:t xml:space="preserve">8. Owner approval model</w:t>
      </w:r>
    </w:p>
    <w:p>
      <w:pPr>
        <w:spacing w:after="140" w:line="276"/>
      </w:pPr>
      <w:r>
        <w:t xml:space="preserve">Approval is one tap, framed like clearing an email. The agent pushes a decision card to My J24 with the line, the current and proposed price, units left, and the reason. The owner approves or rejects.</w:t>
      </w:r>
    </w:p>
    <w:p>
      <w:pPr>
        <w:pStyle w:val="ListParagraph"/>
        <w:numPr>
          <w:ilvl w:val="0"/>
          <w:numId w:val="2"/>
        </w:numPr>
        <w:spacing w:after="90" w:line="276"/>
      </w:pPr>
      <w:r>
        <w:rPr>
          <w:b/>
          <w:bCs/>
        </w:rPr>
        <w:t xml:space="preserve">Approve </w:t>
      </w:r>
      <w:r>
        <w:t xml:space="preserve">→ the step is applied through Golden Eye and published.</w:t>
      </w:r>
    </w:p>
    <w:p>
      <w:pPr>
        <w:pStyle w:val="ListParagraph"/>
        <w:numPr>
          <w:ilvl w:val="0"/>
          <w:numId w:val="2"/>
        </w:numPr>
        <w:spacing w:after="90" w:line="276"/>
      </w:pPr>
      <w:r>
        <w:rPr>
          <w:b/>
          <w:bCs/>
        </w:rPr>
        <w:t xml:space="preserve">Reject </w:t>
      </w:r>
      <w:r>
        <w:t xml:space="preserve">→ hold at the current rung; re-evaluate at the next checkpoint.</w:t>
      </w:r>
    </w:p>
    <w:p>
      <w:pPr>
        <w:pStyle w:val="ListParagraph"/>
        <w:numPr>
          <w:ilvl w:val="0"/>
          <w:numId w:val="2"/>
        </w:numPr>
        <w:spacing w:after="90" w:line="276"/>
      </w:pPr>
      <w:r>
        <w:rPr>
          <w:b/>
          <w:bCs/>
        </w:rPr>
        <w:t xml:space="preserve">No response within the timeout </w:t>
      </w:r>
      <w:r>
        <w:t xml:space="preserve">(default 30 min, configurable) → default to HOLD. We do not move a non-RTE price without consent.</w:t>
      </w:r>
    </w:p>
    <w:p>
      <w:pPr>
        <w:pStyle w:val="ListParagraph"/>
        <w:numPr>
          <w:ilvl w:val="0"/>
          <w:numId w:val="2"/>
        </w:numPr>
        <w:spacing w:after="90" w:line="276"/>
      </w:pPr>
      <w:r>
        <w:rPr>
          <w:b/>
          <w:bCs/>
        </w:rPr>
        <w:t xml:space="preserve">RTE after the close gate </w:t>
      </w:r>
      <w:r>
        <w:t xml:space="preserve">(default 20:00 IST) → auto-apply ₹1 without consent and notify the owner after the fact, because the brand takes back unsold RTE. This is the one case where the agent acts on its own.</w:t>
      </w:r>
    </w:p>
    <w:p>
      <w:pPr>
        <w:spacing w:after="140" w:line="276"/>
      </w:pPr>
      <w:r>
        <w:t xml:space="preserve">Auto-versus-approve is driven by a per-category policy table so we can widen or narrow the agent’s autonomy per line type without code changes.</w:t>
      </w:r>
    </w:p>
    <w:p>
      <w:pPr>
        <w:pStyle w:val="Heading2"/>
      </w:pPr>
      <w:r>
        <w:t xml:space="preserve">9. Success metrics</w:t>
      </w:r>
    </w:p>
    <w:p>
      <w:pPr>
        <w:pStyle w:val="ListParagraph"/>
        <w:numPr>
          <w:ilvl w:val="0"/>
          <w:numId w:val="2"/>
        </w:numPr>
        <w:spacing w:after="90" w:line="276"/>
      </w:pPr>
      <w:r>
        <w:t xml:space="preserve">Perishable units cleared (sold) before write-off, and the write-off units / value avoided — the headline.</w:t>
      </w:r>
    </w:p>
    <w:p>
      <w:pPr>
        <w:pStyle w:val="ListParagraph"/>
        <w:numPr>
          <w:ilvl w:val="0"/>
          <w:numId w:val="2"/>
        </w:numPr>
        <w:spacing w:after="90" w:line="276"/>
      </w:pPr>
      <w:r>
        <w:t xml:space="preserve">Markdown margin given away (₹), tracked against units saved — the cost side, kept honest.</w:t>
      </w:r>
    </w:p>
    <w:p>
      <w:pPr>
        <w:pStyle w:val="ListParagraph"/>
        <w:numPr>
          <w:ilvl w:val="0"/>
          <w:numId w:val="2"/>
        </w:numPr>
        <w:spacing w:after="90" w:line="276"/>
      </w:pPr>
      <w:r>
        <w:t xml:space="preserve">Offer funnel: screen impressions → QR scans → redemptions → sales, shared with the retail-media platform.</w:t>
      </w:r>
    </w:p>
    <w:p>
      <w:pPr>
        <w:pStyle w:val="ListParagraph"/>
        <w:numPr>
          <w:ilvl w:val="0"/>
          <w:numId w:val="2"/>
        </w:numPr>
        <w:spacing w:after="90" w:line="276"/>
      </w:pPr>
      <w:r>
        <w:t xml:space="preserve">Owner approval rate and median approval latency — a proxy for whether Giants trust the agent.</w:t>
      </w:r>
    </w:p>
    <w:p>
      <w:pPr>
        <w:pStyle w:val="ListParagraph"/>
        <w:numPr>
          <w:ilvl w:val="0"/>
          <w:numId w:val="2"/>
        </w:numPr>
        <w:spacing w:after="90" w:line="276"/>
      </w:pPr>
      <w:r>
        <w:t xml:space="preserve">Estimated F&amp;B wastage avoided, feeding the longer-term green-stores / methane narrative.</w:t>
      </w:r>
    </w:p>
    <w:p>
      <w:r>
        <w:br w:type="page"/>
      </w:r>
    </w:p>
    <w:p>
      <w:pPr>
        <w:pStyle w:val="Heading1"/>
      </w:pPr>
      <w:r>
        <w:t xml:space="preserve">Part B — Architecture &amp; Design</w:t>
      </w:r>
    </w:p>
    <w:p>
      <w:pPr>
        <w:pStyle w:val="Heading2"/>
      </w:pPr>
      <w:r>
        <w:t xml:space="preserve">10. Overview</w:t>
      </w:r>
    </w:p>
    <w:p>
      <w:pPr>
        <w:spacing w:after="140" w:line="276"/>
      </w:pPr>
      <w:r>
        <w:t xml:space="preserve">The system is a durable, day-long agent loop. One Temporal workflow run owns a single perishable batch for its life; it observes sell-through, runs the deterministic decision engine at each checkpoint, asks the owner when consent is required, applies the price through Golden Eye, and hands the offer to retail media. The LLM sits off to the side — it shapes copy and, later, cohorts, but it is never in the price path.</w:t>
      </w:r>
    </w:p>
    <w:p>
      <w:pPr>
        <w:spacing w:after="60" w:before="120"/>
        <w:jc w:val="center"/>
      </w:pPr>
      <w:r>
        <w:drawing>
          <wp:inline distT="0" distB="0" distL="0" distR="0">
            <wp:extent cx="5715000" cy="3448050"/>
            <wp:effectExtent t="0" r="0" b="0" l="0"/>
            <wp:docPr id="1" name="architecture" descr="Source signals feed a Temporal workflow that uses a deterministic markdown engine and a bounded LLM, routes through My J24 approval, then applies and publishes via Golden Eye and retail media." title="Agentic perishable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448050"/>
                    </a:xfrm>
                    <a:prstGeom prst="rect">
                      <a:avLst/>
                    </a:prstGeom>
                  </pic:spPr>
                </pic:pic>
              </a:graphicData>
            </a:graphic>
          </wp:inline>
        </w:drawing>
      </w:r>
    </w:p>
    <w:p>
      <w:pPr>
        <w:spacing w:after="160"/>
        <w:jc w:val="center"/>
      </w:pPr>
      <w:r>
        <w:rPr>
          <w:i/>
          <w:iCs/>
          <w:color w:val="6B7280"/>
          <w:sz w:val="18"/>
          <w:szCs w:val="18"/>
        </w:rPr>
        <w:t xml:space="preserve">Figure 1 — Same-day markdown loop. Deterministic core, LLM at the edges, owner in the loop.</w:t>
      </w:r>
    </w:p>
    <w:p>
      <w:pPr>
        <w:pStyle w:val="Heading2"/>
      </w:pPr>
      <w:r>
        <w:t xml:space="preserve">11. Why Temporal</w:t>
      </w:r>
    </w:p>
    <w:p>
      <w:pPr>
        <w:spacing w:after="140" w:line="276"/>
      </w:pPr>
      <w:r>
        <w:t xml:space="preserve">The shape of this problem is a long-running, stateful process with timers, human-in-the-loop waits, and a hard audit requirement — which is exactly what Temporal is for. The run sleeps on durable timers between checkpoints across a 14-hour selling day and survives worker restarts without losing its place. Owner approval and re-receipt arrive as signals into a waiting workflow. Deterministic replay gives us the audit trail almost for free — the history is the record of why each step happened. And we already operate Temporal for the FNV image workflow, so the worker, deployment and on-call patterns are known rather than new.</w:t>
      </w:r>
    </w:p>
    <w:p>
      <w:pPr>
        <w:pStyle w:val="Heading2"/>
      </w:pPr>
      <w:r>
        <w:t xml:space="preserve">12. Workflow model</w:t>
      </w:r>
    </w:p>
    <w:p>
      <w:pPr>
        <w:spacing w:after="140" w:line="276"/>
      </w:pPr>
      <w:r>
        <w:t xml:space="preserve">One workflow run per perishable batch, identified by store, JPIN and receipt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5E8C" w:sz="18"/>
              <w:bottom w:val="none"/>
              <w:right w:val="none"/>
            </w:tcBorders>
            <w:shd w:fill="F3F4F6" w:val="clear"/>
            <w:tcMar>
              <w:top w:type="dxa" w:w="120"/>
              <w:left w:type="dxa" w:w="200"/>
              <w:bottom w:type="dxa" w:w="120"/>
              <w:right w:type="dxa" w:w="160"/>
            </w:tcMar>
          </w:tcPr>
          <w:p>
            <w:pPr>
              <w:spacing w:after="20" w:line="252"/>
            </w:pPr>
            <w:r>
              <w:rPr>
                <w:rFonts w:ascii="Consolas" w:cs="Consolas" w:eastAsia="Consolas" w:hAnsi="Consolas"/>
                <w:color w:val="243B53"/>
                <w:sz w:val="18"/>
                <w:szCs w:val="18"/>
              </w:rPr>
              <w:t xml:space="preserve">Workflow ID:  perish-markdown-{store_id}-{jpin}-{receipt_date}</w:t>
            </w:r>
          </w:p>
          <w:p>
            <w:pPr>
              <w:spacing w:after="20" w:line="252"/>
            </w:pPr>
            <w:r>
              <w:rPr>
                <w:rFonts w:ascii="Consolas" w:cs="Consolas" w:eastAsia="Consolas" w:hAnsi="Consolas"/>
                <w:color w:val="243B53"/>
                <w:sz w:val="18"/>
                <w:szCs w:val="18"/>
              </w:rPr>
              <w:t xml:space="preserve">                                              # ISO date, e.g. 2026-06-16</w:t>
            </w:r>
          </w:p>
          <w:p>
            <w:pPr>
              <w:spacing w:after="20" w:line="252"/>
            </w:pPr>
            <w:r>
              <w:rPr>
                <w:rFonts w:ascii="Consolas" w:cs="Consolas" w:eastAsia="Consolas" w:hAnsi="Consolas"/>
                <w:color w:val="243B53"/>
                <w:sz w:val="18"/>
                <w:szCs w:val="18"/>
              </w:rPr>
              <w:t xml:space="preserve">Reuse policy: REJECT_DUPLICATE   # idempotent on a re-fired GRN event</w:t>
            </w:r>
          </w:p>
          <w:p>
            <w:pPr>
              <w:spacing w:after="20" w:line="252"/>
            </w:pPr>
            <w:r>
              <w:rPr>
                <w:rFonts w:ascii="Consolas" w:cs="Consolas" w:eastAsia="Consolas" w:hAnsi="Consolas"/>
                <w:color w:val="243B53"/>
                <w:sz w:val="18"/>
                <w:szCs w:val="18"/>
              </w:rPr>
              <w:t xml:space="preserve">Task queue:   j24-pilot-default  # pilot; graduate to a dedicated j24-perishables</w:t>
            </w:r>
          </w:p>
          <w:p>
            <w:pPr>
              <w:spacing w:after="0" w:line="252"/>
            </w:pPr>
            <w:r>
              <w:rPr>
                <w:rFonts w:ascii="Consolas" w:cs="Consolas" w:eastAsia="Consolas" w:hAnsi="Consolas"/>
                <w:color w:val="243B53"/>
                <w:sz w:val="18"/>
                <w:szCs w:val="18"/>
              </w:rPr>
              <w:t xml:space="preserve">Worker:       Python (same stack as the FNV Temporal worker)</w:t>
            </w:r>
          </w:p>
        </w:tc>
      </w:tr>
    </w:tbl>
    <w:p>
      <w:pPr>
        <w:spacing w:after="140" w:line="276"/>
      </w:pPr>
      <w:r>
        <w:t xml:space="preserve">The run is created when the first GRN of a perishable line lands for the day (an inwarding event, or a morning sweep as a backstop). It computes the clearance day = receipt date + L − 1, then sleeps on a durable timer until the morning of that day, running only the light soft-nudge check on any interim days. On the clearance day it walks the R0–R3 ladder, waiting on a timer to each checkpoint and on a signal for each approval, and finalises at store close.</w:t>
      </w:r>
    </w:p>
    <w:p>
      <w:pPr>
        <w:pBdr>
          <w:left w:val="single" w:color="2E5E8C" w:sz="18" w:space="10"/>
        </w:pBdr>
        <w:spacing w:after="160" w:before="60" w:line="264"/>
        <w:ind w:left="160"/>
      </w:pPr>
      <w:r>
        <w:rPr>
          <w:b/>
          <w:bCs/>
          <w:i/>
          <w:iCs/>
          <w:color w:val="2E5E8C"/>
        </w:rPr>
        <w:t xml:space="preserve">Note — </w:t>
      </w:r>
      <w:r>
        <w:rPr>
          <w:i/>
          <w:iCs/>
          <w:color w:val="44505F"/>
        </w:rPr>
        <w:t xml:space="preserve">Keying the run on receipt date (not clearance date) keeps it to one run per physical batch and lets a single L = 2 run own both the soft-nudge day and the clearance day. The clearance date is derived and carried in state.</w:t>
      </w:r>
    </w:p>
    <w:p>
      <w:pPr>
        <w:pStyle w:val="Heading3"/>
      </w:pPr>
      <w:r>
        <w:t xml:space="preserve">Lifecycle</w:t>
      </w:r>
    </w:p>
    <w:p>
      <w:pPr>
        <w:pStyle w:val="ListParagraph"/>
        <w:numPr>
          <w:ilvl w:val="0"/>
          <w:numId w:val="4"/>
        </w:numPr>
        <w:spacing w:after="90" w:line="276"/>
      </w:pPr>
      <w:r>
        <w:t xml:space="preserve">Start on first GRN. Pull receipt context (L, Q0, category, RTE flag, list price). Compute clearance day and T0.</w:t>
      </w:r>
    </w:p>
    <w:p>
      <w:pPr>
        <w:pStyle w:val="ListParagraph"/>
        <w:numPr>
          <w:ilvl w:val="0"/>
          <w:numId w:val="4"/>
        </w:numPr>
        <w:spacing w:after="90" w:line="276"/>
      </w:pPr>
      <w:r>
        <w:t xml:space="preserve">Sleep to the clearance day; on interim days run the soft-nudge check only.</w:t>
      </w:r>
    </w:p>
    <w:p>
      <w:pPr>
        <w:pStyle w:val="ListParagraph"/>
        <w:numPr>
          <w:ilvl w:val="0"/>
          <w:numId w:val="4"/>
        </w:numPr>
        <w:spacing w:after="90" w:line="276"/>
      </w:pPr>
      <w:r>
        <w:t xml:space="preserve">At each ladder checkpoint: refresh sell-through, run the decision engine (pure, in-workflow), and either hold or propose a step.</w:t>
      </w:r>
    </w:p>
    <w:p>
      <w:pPr>
        <w:pStyle w:val="ListParagraph"/>
        <w:numPr>
          <w:ilvl w:val="0"/>
          <w:numId w:val="4"/>
        </w:numPr>
        <w:spacing w:after="90" w:line="276"/>
      </w:pPr>
      <w:r>
        <w:t xml:space="preserve">If a step is proposed and consent is required, request approval and wait on the ownerDecision signal (with timeout).</w:t>
      </w:r>
    </w:p>
    <w:p>
      <w:pPr>
        <w:pStyle w:val="ListParagraph"/>
        <w:numPr>
          <w:ilvl w:val="0"/>
          <w:numId w:val="4"/>
        </w:numPr>
        <w:spacing w:after="90" w:line="276"/>
      </w:pPr>
      <w:r>
        <w:t xml:space="preserve">On approval / auto-clear: apply via Golden Eye, optionally shape copy via the LLM, publish to retail media and the second screen, write audit.</w:t>
      </w:r>
    </w:p>
    <w:p>
      <w:pPr>
        <w:pStyle w:val="ListParagraph"/>
        <w:numPr>
          <w:ilvl w:val="0"/>
          <w:numId w:val="4"/>
        </w:numPr>
        <w:spacing w:after="90" w:line="276"/>
      </w:pPr>
      <w:r>
        <w:t xml:space="preserve">Handle signals throughout: additionalGrn re-baselines; soldOut / manualOverride finalises or halts.</w:t>
      </w:r>
    </w:p>
    <w:p>
      <w:pPr>
        <w:pStyle w:val="ListParagraph"/>
        <w:numPr>
          <w:ilvl w:val="0"/>
          <w:numId w:val="4"/>
        </w:numPr>
        <w:spacing w:after="90" w:line="276"/>
      </w:pPr>
      <w:r>
        <w:t xml:space="preserve">At store close: finalise, record residual write-off, emit metrics, complete.</w:t>
      </w:r>
    </w:p>
    <w:p>
      <w:pPr>
        <w:pStyle w:val="Heading2"/>
      </w:pPr>
      <w:r>
        <w:t xml:space="preserve">13. Activities</w:t>
      </w:r>
    </w:p>
    <w:p>
      <w:pPr>
        <w:spacing w:after="140" w:line="276"/>
      </w:pPr>
      <w:r>
        <w:t xml:space="preserve">All I/O and all non-determinism live in activities. The decision engine itself is a pure function run inside the workflow, so it stays replay-safe and the history captures its inputs and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FD6DE" w:sz="1"/>
              <w:left w:val="single" w:color="CFD6DE" w:sz="1"/>
              <w:bottom w:val="single" w:color="CFD6DE" w:sz="1"/>
              <w:right w:val="single" w:color="CFD6DE" w:sz="1"/>
            </w:tcBorders>
            <w:shd w:fill="2E5E8C" w:val="clear"/>
            <w:tcMar>
              <w:top w:type="dxa" w:w="70"/>
              <w:left w:type="dxa" w:w="120"/>
              <w:bottom w:type="dxa" w:w="70"/>
              <w:right w:type="dxa" w:w="120"/>
            </w:tcMar>
            <w:vAlign w:val="top"/>
          </w:tcPr>
          <w:p>
            <w:pPr>
              <w:spacing w:after="0" w:line="264"/>
            </w:pPr>
            <w:r>
              <w:rPr>
                <w:b/>
                <w:bCs/>
                <w:color w:val="FFFFFF"/>
              </w:rPr>
              <w:t xml:space="preserve">Activity</w:t>
            </w:r>
          </w:p>
        </w:tc>
        <w:tc>
          <w:tcPr>
            <w:tcW w:type="dxa" w:w="6460"/>
            <w:tcBorders>
              <w:top w:val="single" w:color="CFD6DE" w:sz="1"/>
              <w:left w:val="single" w:color="CFD6DE" w:sz="1"/>
              <w:bottom w:val="single" w:color="CFD6DE" w:sz="1"/>
              <w:right w:val="single" w:color="CFD6DE" w:sz="1"/>
            </w:tcBorders>
            <w:shd w:fill="2E5E8C" w:val="clear"/>
            <w:tcMar>
              <w:top w:type="dxa" w:w="70"/>
              <w:left w:type="dxa" w:w="120"/>
              <w:bottom w:type="dxa" w:w="70"/>
              <w:right w:type="dxa" w:w="120"/>
            </w:tcMar>
            <w:vAlign w:val="top"/>
          </w:tcPr>
          <w:p>
            <w:pPr>
              <w:spacing w:after="0" w:line="264"/>
            </w:pPr>
            <w:r>
              <w:rPr>
                <w:b/>
                <w:bCs/>
                <w:color w:val="FFFFFF"/>
              </w:rPr>
              <w:t xml:space="preserve">Responsibility</w:t>
            </w:r>
          </w:p>
        </w:tc>
      </w:tr>
      <w:tr>
        <w:trPr>
          <w:tblHeader w:val="false"/>
        </w:trPr>
        <w:tc>
          <w:tcPr>
            <w:tcW w:type="dxa" w:w="290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fetch_receipt_context</w:t>
            </w:r>
          </w:p>
        </w:tc>
        <w:tc>
          <w:tcPr>
            <w:tcW w:type="dxa" w:w="646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GRN / inwarding: shelf life, Q0, category, RTE flag, list price for the batch.</w:t>
            </w:r>
          </w:p>
        </w:tc>
      </w:tr>
      <w:tr>
        <w:trPr>
          <w:tblHeader w:val="false"/>
        </w:trPr>
        <w:tc>
          <w:tcPr>
            <w:tcW w:type="dxa" w:w="290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fetch_sellthrough</w:t>
            </w:r>
          </w:p>
        </w:tc>
        <w:tc>
          <w:tcPr>
            <w:tcW w:type="dxa" w:w="646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Golden Eye POS: units sold since T0 and trailing-window run-rate for the JPIN at the store.</w:t>
            </w:r>
          </w:p>
        </w:tc>
      </w:tr>
      <w:tr>
        <w:trPr>
          <w:tblHeader w:val="false"/>
        </w:trPr>
        <w:tc>
          <w:tcPr>
            <w:tcW w:type="dxa" w:w="290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request_owner_approval</w:t>
            </w:r>
          </w:p>
        </w:tc>
        <w:tc>
          <w:tcPr>
            <w:tcW w:type="dxa" w:w="646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Push the decision card to My J24 via the notification service; returns once delivered.</w:t>
            </w:r>
          </w:p>
        </w:tc>
      </w:tr>
      <w:tr>
        <w:trPr>
          <w:tblHeader w:val="false"/>
        </w:trPr>
        <w:tc>
          <w:tcPr>
            <w:tcW w:type="dxa" w:w="290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shape_offer_llm</w:t>
            </w:r>
          </w:p>
        </w:tc>
        <w:tc>
          <w:tcPr>
            <w:tcW w:type="dxa" w:w="646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Optional, non-blocking: generate offer copy (and, later, cohort) — deterministic fallback if it times out.</w:t>
            </w:r>
          </w:p>
        </w:tc>
      </w:tr>
      <w:tr>
        <w:trPr>
          <w:tblHeader w:val="false"/>
        </w:trPr>
        <w:tc>
          <w:tcPr>
            <w:tcW w:type="dxa" w:w="290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apply_price_goldeneye</w:t>
            </w:r>
          </w:p>
        </w:tc>
        <w:tc>
          <w:tcPr>
            <w:tcW w:type="dxa" w:w="646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Write the catalog + price update to Golden Eye; confirmed before the rung is considered applied.</w:t>
            </w:r>
          </w:p>
        </w:tc>
      </w:tr>
      <w:tr>
        <w:trPr>
          <w:tblHeader w:val="false"/>
        </w:trPr>
        <w:tc>
          <w:tcPr>
            <w:tcW w:type="dxa" w:w="290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publish_offer_retailmedia</w:t>
            </w:r>
          </w:p>
        </w:tc>
        <w:tc>
          <w:tcPr>
            <w:tcW w:type="dxa" w:w="646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Hand the offer (slot payload + QR/CTA) to the AMP / retail-media platform and the POS second screen.</w:t>
            </w:r>
          </w:p>
        </w:tc>
      </w:tr>
      <w:tr>
        <w:trPr>
          <w:tblHeader w:val="false"/>
        </w:trPr>
        <w:tc>
          <w:tcPr>
            <w:tcW w:type="dxa" w:w="290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write_audit</w:t>
            </w:r>
          </w:p>
        </w:tc>
        <w:tc>
          <w:tcPr>
            <w:tcW w:type="dxa" w:w="646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Persist the full decision record to the audit store (S3).</w:t>
            </w:r>
          </w:p>
        </w:tc>
      </w:tr>
      <w:tr>
        <w:trPr>
          <w:tblHeader w:val="false"/>
        </w:trPr>
        <w:tc>
          <w:tcPr>
            <w:tcW w:type="dxa" w:w="290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notify_owner</w:t>
            </w:r>
          </w:p>
        </w:tc>
        <w:tc>
          <w:tcPr>
            <w:tcW w:type="dxa" w:w="646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Post-hoc notification, e.g. after an RTE auto-clear.</w:t>
            </w:r>
          </w:p>
        </w:tc>
      </w:tr>
    </w:tbl>
    <w:p>
      <w:pPr>
        <w:pStyle w:val="Heading2"/>
      </w:pPr>
      <w:r>
        <w:t xml:space="preserve">14. Signals &amp;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FD6DE" w:sz="1"/>
              <w:left w:val="single" w:color="CFD6DE" w:sz="1"/>
              <w:bottom w:val="single" w:color="CFD6DE" w:sz="1"/>
              <w:right w:val="single" w:color="CFD6DE" w:sz="1"/>
            </w:tcBorders>
            <w:shd w:fill="2E5E8C" w:val="clear"/>
            <w:tcMar>
              <w:top w:type="dxa" w:w="70"/>
              <w:left w:type="dxa" w:w="120"/>
              <w:bottom w:type="dxa" w:w="70"/>
              <w:right w:type="dxa" w:w="120"/>
            </w:tcMar>
            <w:vAlign w:val="top"/>
          </w:tcPr>
          <w:p>
            <w:pPr>
              <w:spacing w:after="0" w:line="264"/>
            </w:pPr>
            <w:r>
              <w:rPr>
                <w:b/>
                <w:bCs/>
                <w:color w:val="FFFFFF"/>
              </w:rPr>
              <w:t xml:space="preserve">Signal / query</w:t>
            </w:r>
          </w:p>
        </w:tc>
        <w:tc>
          <w:tcPr>
            <w:tcW w:type="dxa" w:w="6760"/>
            <w:tcBorders>
              <w:top w:val="single" w:color="CFD6DE" w:sz="1"/>
              <w:left w:val="single" w:color="CFD6DE" w:sz="1"/>
              <w:bottom w:val="single" w:color="CFD6DE" w:sz="1"/>
              <w:right w:val="single" w:color="CFD6DE" w:sz="1"/>
            </w:tcBorders>
            <w:shd w:fill="2E5E8C" w:val="clear"/>
            <w:tcMar>
              <w:top w:type="dxa" w:w="70"/>
              <w:left w:type="dxa" w:w="120"/>
              <w:bottom w:type="dxa" w:w="70"/>
              <w:right w:type="dxa" w:w="120"/>
            </w:tcMar>
            <w:vAlign w:val="top"/>
          </w:tcPr>
          <w:p>
            <w:pPr>
              <w:spacing w:after="0" w:line="264"/>
            </w:pPr>
            <w:r>
              <w:rPr>
                <w:b/>
                <w:bCs/>
                <w:color w:val="FFFFFF"/>
              </w:rPr>
              <w:t xml:space="preserve">Purpose</w:t>
            </w:r>
          </w:p>
        </w:tc>
      </w:tr>
      <w:tr>
        <w:trPr>
          <w:tblHeader w:val="false"/>
        </w:trPr>
        <w:tc>
          <w:tcPr>
            <w:tcW w:type="dxa" w:w="260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ownerDecision(rung, approve|reject)</w:t>
            </w:r>
          </w:p>
        </w:tc>
        <w:tc>
          <w:tcPr>
            <w:tcW w:type="dxa" w:w="676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Owner’s response to an approval card; unblocks the waiting step.</w:t>
            </w:r>
          </w:p>
        </w:tc>
      </w:tr>
      <w:tr>
        <w:trPr>
          <w:tblHeader w:val="false"/>
        </w:trPr>
        <w:tc>
          <w:tcPr>
            <w:tcW w:type="dxa" w:w="260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additionalGrn(qty, …)</w:t>
            </w:r>
          </w:p>
        </w:tc>
        <w:tc>
          <w:tcPr>
            <w:tcW w:type="dxa" w:w="676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A further receipt of the same line during the day; re-baselines Q0 and re-evaluates.</w:t>
            </w:r>
          </w:p>
        </w:tc>
      </w:tr>
      <w:tr>
        <w:trPr>
          <w:tblHeader w:val="false"/>
        </w:trPr>
        <w:tc>
          <w:tcPr>
            <w:tcW w:type="dxa" w:w="260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soldOut()</w:t>
            </w:r>
          </w:p>
        </w:tc>
        <w:tc>
          <w:tcPr>
            <w:tcW w:type="dxa" w:w="676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Line is cleared; finalise the run early.</w:t>
            </w:r>
          </w:p>
        </w:tc>
      </w:tr>
      <w:tr>
        <w:trPr>
          <w:tblHeader w:val="false"/>
        </w:trPr>
        <w:tc>
          <w:tcPr>
            <w:tcW w:type="dxa" w:w="260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manualOverride(rung | stop)</w:t>
            </w:r>
          </w:p>
        </w:tc>
        <w:tc>
          <w:tcPr>
            <w:tcW w:type="dxa" w:w="676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Owner or category manager forces a rung or halts the agent.</w:t>
            </w:r>
          </w:p>
        </w:tc>
      </w:tr>
      <w:tr>
        <w:trPr>
          <w:tblHeader w:val="false"/>
        </w:trPr>
        <w:tc>
          <w:tcPr>
            <w:tcW w:type="dxa" w:w="260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currentState()  [query]</w:t>
            </w:r>
          </w:p>
        </w:tc>
        <w:tc>
          <w:tcPr>
            <w:tcW w:type="dxa" w:w="676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Returns rung, current price, Q0, sold, projection, residual, last reason, awaiting-approval flag.</w:t>
            </w:r>
          </w:p>
        </w:tc>
      </w:tr>
    </w:tbl>
    <w:p>
      <w:pPr>
        <w:pStyle w:val="Heading2"/>
      </w:pPr>
      <w:r>
        <w:t xml:space="preserve">15. Decision engine</w:t>
      </w:r>
    </w:p>
    <w:p>
      <w:pPr>
        <w:spacing w:after="140" w:line="276"/>
      </w:pPr>
      <w:r>
        <w:t xml:space="preserve">A pure function: given Q0, units sold, elapsed and remaining saleable hours, the current rung, the checkpoint ceiling and the config thresholds, it returns the target rung and a one-line reason. No I/O, no clock reads beyond what is passed in, no randomness — so it replays identically and is trivially unit-testable. This is where determinism earns its keep: the price is always explainable from logged inputs.</w:t>
      </w:r>
    </w:p>
    <w:p>
      <w:pPr>
        <w:pStyle w:val="Heading2"/>
      </w:pPr>
      <w:r>
        <w:t xml:space="preserve">16. LLM usage</w:t>
      </w:r>
    </w:p>
    <w:p>
      <w:pPr>
        <w:spacing w:after="140" w:line="276"/>
      </w:pPr>
      <w:r>
        <w:t xml:space="preserve">The LLM is bounded and optional. In v1 it does two things: it drafts the offer copy for the screen and second screen (“fresh samosas — 50% off till close”), and it produces the owner’s daily perishables digest (“3 lines at risk this evening, here’s what the agent did”). It does not choose the price, the rung, or the ladder. It runs in an activity with a short timeout, and if it is slow or unavailable the workflow falls back to a deterministic template and proceeds — an LLM failure must never block or delay a markdown.</w:t>
      </w:r>
    </w:p>
    <w:p>
      <w:pPr>
        <w:pBdr>
          <w:left w:val="single" w:color="2E5E8C" w:sz="18" w:space="10"/>
        </w:pBdr>
        <w:spacing w:after="160" w:before="60" w:line="264"/>
        <w:ind w:left="160"/>
      </w:pPr>
      <w:r>
        <w:rPr>
          <w:b/>
          <w:bCs/>
          <w:i/>
          <w:iCs/>
          <w:color w:val="2E5E8C"/>
        </w:rPr>
        <w:t xml:space="preserve">Note — </w:t>
      </w:r>
      <w:r>
        <w:rPr>
          <w:i/>
          <w:iCs/>
          <w:color w:val="44505F"/>
        </w:rPr>
        <w:t xml:space="preserve">Cohort targeting — “offer to likely customers rather than blast everyone” — is a natural LLM job, but at store level on day one we do not have the per-customer signal to make it meaningful, and Karthik wanted no heavy personalisation initially. So v1 publishes to the in-store screens (everyone in the store) and the second screen; cohort selection is parked for v1.1.</w:t>
      </w:r>
    </w:p>
    <w:p>
      <w:pPr>
        <w:pStyle w:val="Heading2"/>
      </w:pPr>
      <w:r>
        <w:t xml:space="preserve">17.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FD6DE" w:sz="1"/>
              <w:left w:val="single" w:color="CFD6DE" w:sz="1"/>
              <w:bottom w:val="single" w:color="CFD6DE" w:sz="1"/>
              <w:right w:val="single" w:color="CFD6DE" w:sz="1"/>
            </w:tcBorders>
            <w:shd w:fill="2E5E8C" w:val="clear"/>
            <w:tcMar>
              <w:top w:type="dxa" w:w="70"/>
              <w:left w:type="dxa" w:w="120"/>
              <w:bottom w:type="dxa" w:w="70"/>
              <w:right w:type="dxa" w:w="120"/>
            </w:tcMar>
            <w:vAlign w:val="top"/>
          </w:tcPr>
          <w:p>
            <w:pPr>
              <w:spacing w:after="0" w:line="264"/>
            </w:pPr>
            <w:r>
              <w:rPr>
                <w:b/>
                <w:bCs/>
                <w:color w:val="FFFFFF"/>
              </w:rPr>
              <w:t xml:space="preserve">System</w:t>
            </w:r>
          </w:p>
        </w:tc>
        <w:tc>
          <w:tcPr>
            <w:tcW w:type="dxa" w:w="6860"/>
            <w:tcBorders>
              <w:top w:val="single" w:color="CFD6DE" w:sz="1"/>
              <w:left w:val="single" w:color="CFD6DE" w:sz="1"/>
              <w:bottom w:val="single" w:color="CFD6DE" w:sz="1"/>
              <w:right w:val="single" w:color="CFD6DE" w:sz="1"/>
            </w:tcBorders>
            <w:shd w:fill="2E5E8C" w:val="clear"/>
            <w:tcMar>
              <w:top w:type="dxa" w:w="70"/>
              <w:left w:type="dxa" w:w="120"/>
              <w:bottom w:type="dxa" w:w="70"/>
              <w:right w:type="dxa" w:w="120"/>
            </w:tcMar>
            <w:vAlign w:val="top"/>
          </w:tcPr>
          <w:p>
            <w:pPr>
              <w:spacing w:after="0" w:line="264"/>
            </w:pPr>
            <w:r>
              <w:rPr>
                <w:b/>
                <w:bCs/>
                <w:color w:val="FFFFFF"/>
              </w:rPr>
              <w:t xml:space="preserve">Interaction</w:t>
            </w:r>
          </w:p>
        </w:tc>
      </w:tr>
      <w:tr>
        <w:trPr>
          <w:tblHeader w:val="false"/>
        </w:trPr>
        <w:tc>
          <w:tcPr>
            <w:tcW w:type="dxa" w:w="250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GRN / inwarding</w:t>
            </w:r>
          </w:p>
        </w:tc>
        <w:tc>
          <w:tcPr>
            <w:tcW w:type="dxa" w:w="686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Source of the batch: shelf life, Q0, category, RTE flag, list price. Triggers the run.</w:t>
            </w:r>
          </w:p>
        </w:tc>
      </w:tr>
      <w:tr>
        <w:trPr>
          <w:tblHeader w:val="false"/>
        </w:trPr>
        <w:tc>
          <w:tcPr>
            <w:tcW w:type="dxa" w:w="250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Golden Eye POS</w:t>
            </w:r>
          </w:p>
        </w:tc>
        <w:tc>
          <w:tcPr>
            <w:tcW w:type="dxa" w:w="686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Reads live sell-through; receives the approved catalog + price write (source of truth at the till).</w:t>
            </w:r>
          </w:p>
        </w:tc>
      </w:tr>
      <w:tr>
        <w:trPr>
          <w:tblHeader w:val="false"/>
        </w:trPr>
        <w:tc>
          <w:tcPr>
            <w:tcW w:type="dxa" w:w="250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My J24</w:t>
            </w:r>
          </w:p>
        </w:tc>
        <w:tc>
          <w:tcPr>
            <w:tcW w:type="dxa" w:w="686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Owner approval surface (email-style cards) and the daily perishables digest.</w:t>
            </w:r>
          </w:p>
        </w:tc>
      </w:tr>
      <w:tr>
        <w:trPr>
          <w:tblHeader w:val="false"/>
        </w:trPr>
        <w:tc>
          <w:tcPr>
            <w:tcW w:type="dxa" w:w="250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AMP / retail media</w:t>
            </w:r>
          </w:p>
        </w:tc>
        <w:tc>
          <w:tcPr>
            <w:tcW w:type="dxa" w:w="686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Receives the published offer as a screen slot with a QR / CTA. Vaibhav’s platform owns rendering and attribution.</w:t>
            </w:r>
          </w:p>
        </w:tc>
      </w:tr>
      <w:tr>
        <w:trPr>
          <w:tblHeader w:val="false"/>
        </w:trPr>
        <w:tc>
          <w:tcPr>
            <w:tcW w:type="dxa" w:w="250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POS second screen</w:t>
            </w:r>
          </w:p>
        </w:tc>
        <w:tc>
          <w:tcPr>
            <w:tcW w:type="dxa" w:w="686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Reinforces the offer at checkout and carries the upsell prompt.</w:t>
            </w:r>
          </w:p>
        </w:tc>
      </w:tr>
      <w:tr>
        <w:trPr>
          <w:tblHeader w:val="false"/>
        </w:trPr>
        <w:tc>
          <w:tcPr>
            <w:tcW w:type="dxa" w:w="250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Notification service</w:t>
            </w:r>
          </w:p>
        </w:tc>
        <w:tc>
          <w:tcPr>
            <w:tcW w:type="dxa" w:w="686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notification.prod.jumbotail.com — delivery of approval cards and owner notifications.</w:t>
            </w:r>
          </w:p>
        </w:tc>
      </w:tr>
      <w:tr>
        <w:trPr>
          <w:tblHeader w:val="false"/>
        </w:trPr>
        <w:tc>
          <w:tcPr>
            <w:tcW w:type="dxa" w:w="250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Audit store (S3)</w:t>
            </w:r>
          </w:p>
        </w:tc>
        <w:tc>
          <w:tcPr>
            <w:tcW w:type="dxa" w:w="686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ap-south-1 bucket (mirrors the j24-fnv-images pattern) for the immutable decision log.</w:t>
            </w:r>
          </w:p>
        </w:tc>
      </w:tr>
    </w:tbl>
    <w:p>
      <w:pPr>
        <w:pStyle w:val="Heading2"/>
      </w:pPr>
      <w:r>
        <w:t xml:space="preserve">18. State &amp; audit</w:t>
      </w:r>
    </w:p>
    <w:p>
      <w:pPr>
        <w:spacing w:after="140" w:line="276"/>
      </w:pPr>
      <w:r>
        <w:t xml:space="preserve">Workflow state, carried across checkpoints and exposed via the currentState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5E8C" w:sz="18"/>
              <w:bottom w:val="none"/>
              <w:right w:val="none"/>
            </w:tcBorders>
            <w:shd w:fill="F3F4F6" w:val="clear"/>
            <w:tcMar>
              <w:top w:type="dxa" w:w="120"/>
              <w:left w:type="dxa" w:w="200"/>
              <w:bottom w:type="dxa" w:w="120"/>
              <w:right w:type="dxa" w:w="160"/>
            </w:tcMar>
          </w:tcPr>
          <w:p>
            <w:pPr>
              <w:spacing w:after="20" w:line="252"/>
            </w:pPr>
            <w:r>
              <w:rPr>
                <w:rFonts w:ascii="Consolas" w:cs="Consolas" w:eastAsia="Consolas" w:hAnsi="Consolas"/>
                <w:color w:val="243B53"/>
                <w:sz w:val="18"/>
                <w:szCs w:val="18"/>
              </w:rPr>
              <w:t xml:space="preserve">MarkdownState {</w:t>
            </w:r>
          </w:p>
          <w:p>
            <w:pPr>
              <w:spacing w:after="20" w:line="252"/>
            </w:pPr>
            <w:r>
              <w:rPr>
                <w:rFonts w:ascii="Consolas" w:cs="Consolas" w:eastAsia="Consolas" w:hAnsi="Consolas"/>
                <w:color w:val="243B53"/>
                <w:sz w:val="18"/>
                <w:szCs w:val="18"/>
              </w:rPr>
              <w:t xml:space="preserve">  store_id, jpin, receipt_date, clearance_date, category, is_rte</w:t>
            </w:r>
          </w:p>
          <w:p>
            <w:pPr>
              <w:spacing w:after="20" w:line="252"/>
            </w:pPr>
            <w:r>
              <w:rPr>
                <w:rFonts w:ascii="Consolas" w:cs="Consolas" w:eastAsia="Consolas" w:hAnsi="Consolas"/>
                <w:color w:val="243B53"/>
                <w:sz w:val="18"/>
                <w:szCs w:val="18"/>
              </w:rPr>
              <w:t xml:space="preserve">  list_price, current_rung, current_price</w:t>
            </w:r>
          </w:p>
          <w:p>
            <w:pPr>
              <w:spacing w:after="20" w:line="252"/>
            </w:pPr>
            <w:r>
              <w:rPr>
                <w:rFonts w:ascii="Consolas" w:cs="Consolas" w:eastAsia="Consolas" w:hAnsi="Consolas"/>
                <w:color w:val="243B53"/>
                <w:sz w:val="18"/>
                <w:szCs w:val="18"/>
              </w:rPr>
              <w:t xml:space="preserve">  q0, units_sold, run_rate, projected_clearance, residual</w:t>
            </w:r>
          </w:p>
          <w:p>
            <w:pPr>
              <w:spacing w:after="20" w:line="252"/>
            </w:pPr>
            <w:r>
              <w:rPr>
                <w:rFonts w:ascii="Consolas" w:cs="Consolas" w:eastAsia="Consolas" w:hAnsi="Consolas"/>
                <w:color w:val="243B53"/>
                <w:sz w:val="18"/>
                <w:szCs w:val="18"/>
              </w:rPr>
              <w:t xml:space="preserve">  awaiting_approval: bool</w:t>
            </w:r>
          </w:p>
          <w:p>
            <w:pPr>
              <w:spacing w:after="20" w:line="252"/>
            </w:pPr>
            <w:r>
              <w:rPr>
                <w:rFonts w:ascii="Consolas" w:cs="Consolas" w:eastAsia="Consolas" w:hAnsi="Consolas"/>
                <w:color w:val="243B53"/>
                <w:sz w:val="18"/>
                <w:szCs w:val="18"/>
              </w:rPr>
              <w:t xml:space="preserve">  last_reason: str</w:t>
            </w:r>
          </w:p>
          <w:p>
            <w:pPr>
              <w:spacing w:after="20" w:line="252"/>
            </w:pPr>
            <w:r>
              <w:rPr>
                <w:rFonts w:ascii="Consolas" w:cs="Consolas" w:eastAsia="Consolas" w:hAnsi="Consolas"/>
                <w:color w:val="243B53"/>
                <w:sz w:val="18"/>
                <w:szCs w:val="18"/>
              </w:rPr>
              <w:t xml:space="preserve">  history: [ {ts, rung, price, sold, ratio, reason, source} ]</w:t>
            </w:r>
          </w:p>
          <w:p>
            <w:pPr>
              <w:spacing w:after="0" w:line="252"/>
            </w:pPr>
            <w:r>
              <w:rPr>
                <w:rFonts w:ascii="Consolas" w:cs="Consolas" w:eastAsia="Consolas" w:hAnsi="Consolas"/>
                <w:color w:val="243B53"/>
                <w:sz w:val="18"/>
                <w:szCs w:val="18"/>
              </w:rPr>
              <w:t xml:space="preserve">}</w:t>
            </w:r>
          </w:p>
        </w:tc>
      </w:tr>
    </w:tbl>
    <w:p>
      <w:pPr>
        <w:spacing w:after="140" w:line="276"/>
      </w:pPr>
      <w:r>
        <w:t xml:space="preserve">Each applied change emits an immutable audit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5E8C" w:sz="18"/>
              <w:bottom w:val="none"/>
              <w:right w:val="none"/>
            </w:tcBorders>
            <w:shd w:fill="F3F4F6" w:val="clear"/>
            <w:tcMar>
              <w:top w:type="dxa" w:w="120"/>
              <w:left w:type="dxa" w:w="200"/>
              <w:bottom w:type="dxa" w:w="120"/>
              <w:right w:type="dxa" w:w="160"/>
            </w:tcMar>
          </w:tcPr>
          <w:p>
            <w:pPr>
              <w:spacing w:after="20" w:line="252"/>
            </w:pPr>
            <w:r>
              <w:rPr>
                <w:rFonts w:ascii="Consolas" w:cs="Consolas" w:eastAsia="Consolas" w:hAnsi="Consolas"/>
                <w:color w:val="243B53"/>
                <w:sz w:val="18"/>
                <w:szCs w:val="18"/>
              </w:rPr>
              <w:t xml:space="preserve">AuditEvent {</w:t>
            </w:r>
          </w:p>
          <w:p>
            <w:pPr>
              <w:spacing w:after="20" w:line="252"/>
            </w:pPr>
            <w:r>
              <w:rPr>
                <w:rFonts w:ascii="Consolas" w:cs="Consolas" w:eastAsia="Consolas" w:hAnsi="Consolas"/>
                <w:color w:val="243B53"/>
                <w:sz w:val="18"/>
                <w:szCs w:val="18"/>
              </w:rPr>
              <w:t xml:space="preserve">  workflow_id, store_id, jpin, ts_ist</w:t>
            </w:r>
          </w:p>
          <w:p>
            <w:pPr>
              <w:spacing w:after="20" w:line="252"/>
            </w:pPr>
            <w:r>
              <w:rPr>
                <w:rFonts w:ascii="Consolas" w:cs="Consolas" w:eastAsia="Consolas" w:hAnsi="Consolas"/>
                <w:color w:val="243B53"/>
                <w:sz w:val="18"/>
                <w:szCs w:val="18"/>
              </w:rPr>
              <w:t xml:space="preserve">  from_rung -&gt; to_rung, from_price -&gt; to_price</w:t>
            </w:r>
          </w:p>
          <w:p>
            <w:pPr>
              <w:spacing w:after="20" w:line="252"/>
            </w:pPr>
            <w:r>
              <w:rPr>
                <w:rFonts w:ascii="Consolas" w:cs="Consolas" w:eastAsia="Consolas" w:hAnsi="Consolas"/>
                <w:color w:val="243B53"/>
                <w:sz w:val="18"/>
                <w:szCs w:val="18"/>
              </w:rPr>
              <w:t xml:space="preserve">  q0, units_sold, run_rate, projected_clearance, residual, ratio</w:t>
            </w:r>
          </w:p>
          <w:p>
            <w:pPr>
              <w:spacing w:after="20" w:line="252"/>
            </w:pPr>
            <w:r>
              <w:rPr>
                <w:rFonts w:ascii="Consolas" w:cs="Consolas" w:eastAsia="Consolas" w:hAnsi="Consolas"/>
                <w:color w:val="243B53"/>
                <w:sz w:val="18"/>
                <w:szCs w:val="18"/>
              </w:rPr>
              <w:t xml:space="preserve">  decision: HOLD | STEP | AUTO_CLEAR</w:t>
            </w:r>
          </w:p>
          <w:p>
            <w:pPr>
              <w:spacing w:after="20" w:line="252"/>
            </w:pPr>
            <w:r>
              <w:rPr>
                <w:rFonts w:ascii="Consolas" w:cs="Consolas" w:eastAsia="Consolas" w:hAnsi="Consolas"/>
                <w:color w:val="243B53"/>
                <w:sz w:val="18"/>
                <w:szCs w:val="18"/>
              </w:rPr>
              <w:t xml:space="preserve">  approval: APPROVED | REJECTED | NOT_REQUIRED | TIMEOUT_HOLD</w:t>
            </w:r>
          </w:p>
          <w:p>
            <w:pPr>
              <w:spacing w:after="20" w:line="252"/>
            </w:pPr>
            <w:r>
              <w:rPr>
                <w:rFonts w:ascii="Consolas" w:cs="Consolas" w:eastAsia="Consolas" w:hAnsi="Consolas"/>
                <w:color w:val="243B53"/>
                <w:sz w:val="18"/>
                <w:szCs w:val="18"/>
              </w:rPr>
              <w:t xml:space="preserve">  reason: str</w:t>
            </w:r>
          </w:p>
          <w:p>
            <w:pPr>
              <w:spacing w:after="0" w:line="252"/>
            </w:pPr>
            <w:r>
              <w:rPr>
                <w:rFonts w:ascii="Consolas" w:cs="Consolas" w:eastAsia="Consolas" w:hAnsi="Consolas"/>
                <w:color w:val="243B53"/>
                <w:sz w:val="18"/>
                <w:szCs w:val="18"/>
              </w:rPr>
              <w:t xml:space="preserve">}</w:t>
            </w:r>
          </w:p>
        </w:tc>
      </w:tr>
    </w:tbl>
    <w:p>
      <w:pPr>
        <w:pStyle w:val="Heading2"/>
      </w:pPr>
      <w:r>
        <w:t xml:space="preserve">19. Failure modes &amp; idempotency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FD6DE" w:sz="1"/>
              <w:left w:val="single" w:color="CFD6DE" w:sz="1"/>
              <w:bottom w:val="single" w:color="CFD6DE" w:sz="1"/>
              <w:right w:val="single" w:color="CFD6DE" w:sz="1"/>
            </w:tcBorders>
            <w:shd w:fill="2E5E8C" w:val="clear"/>
            <w:tcMar>
              <w:top w:type="dxa" w:w="70"/>
              <w:left w:type="dxa" w:w="120"/>
              <w:bottom w:type="dxa" w:w="70"/>
              <w:right w:type="dxa" w:w="120"/>
            </w:tcMar>
            <w:vAlign w:val="top"/>
          </w:tcPr>
          <w:p>
            <w:pPr>
              <w:spacing w:after="0" w:line="264"/>
            </w:pPr>
            <w:r>
              <w:rPr>
                <w:b/>
                <w:bCs/>
                <w:color w:val="FFFFFF"/>
              </w:rPr>
              <w:t xml:space="preserve">Failure</w:t>
            </w:r>
          </w:p>
        </w:tc>
        <w:tc>
          <w:tcPr>
            <w:tcW w:type="dxa" w:w="6460"/>
            <w:tcBorders>
              <w:top w:val="single" w:color="CFD6DE" w:sz="1"/>
              <w:left w:val="single" w:color="CFD6DE" w:sz="1"/>
              <w:bottom w:val="single" w:color="CFD6DE" w:sz="1"/>
              <w:right w:val="single" w:color="CFD6DE" w:sz="1"/>
            </w:tcBorders>
            <w:shd w:fill="2E5E8C" w:val="clear"/>
            <w:tcMar>
              <w:top w:type="dxa" w:w="70"/>
              <w:left w:type="dxa" w:w="120"/>
              <w:bottom w:type="dxa" w:w="70"/>
              <w:right w:type="dxa" w:w="120"/>
            </w:tcMar>
            <w:vAlign w:val="top"/>
          </w:tcPr>
          <w:p>
            <w:pPr>
              <w:spacing w:after="0" w:line="264"/>
            </w:pPr>
            <w:r>
              <w:rPr>
                <w:b/>
                <w:bCs/>
                <w:color w:val="FFFFFF"/>
              </w:rPr>
              <w:t xml:space="preserve">Behaviour</w:t>
            </w:r>
          </w:p>
        </w:tc>
      </w:tr>
      <w:tr>
        <w:trPr>
          <w:tblHeader w:val="false"/>
        </w:trPr>
        <w:tc>
          <w:tcPr>
            <w:tcW w:type="dxa" w:w="290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POS feed stale / missing</w:t>
            </w:r>
          </w:p>
        </w:tc>
        <w:tc>
          <w:tcPr>
            <w:tcW w:type="dxa" w:w="646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Fall back to the all-day average rate, mark the decision low-confidence; still allow owner-approved steps.</w:t>
            </w:r>
          </w:p>
        </w:tc>
      </w:tr>
      <w:tr>
        <w:trPr>
          <w:tblHeader w:val="false"/>
        </w:trPr>
        <w:tc>
          <w:tcPr>
            <w:tcW w:type="dxa" w:w="290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Golden Eye write fails</w:t>
            </w:r>
          </w:p>
        </w:tc>
        <w:tc>
          <w:tcPr>
            <w:tcW w:type="dxa" w:w="646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Retry the activity with backoff; do not advance the rung until the write is confirmed; alert on repeated failure.</w:t>
            </w:r>
          </w:p>
        </w:tc>
      </w:tr>
      <w:tr>
        <w:trPr>
          <w:tblHeader w:val="false"/>
        </w:trPr>
        <w:tc>
          <w:tcPr>
            <w:tcW w:type="dxa" w:w="290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LLM slow / down</w:t>
            </w:r>
          </w:p>
        </w:tc>
        <w:tc>
          <w:tcPr>
            <w:tcW w:type="dxa" w:w="646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Use deterministic copy; proceed. Never blocks a markdown.</w:t>
            </w:r>
          </w:p>
        </w:tc>
      </w:tr>
      <w:tr>
        <w:trPr>
          <w:tblHeader w:val="false"/>
        </w:trPr>
        <w:tc>
          <w:tcPr>
            <w:tcW w:type="dxa" w:w="290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Approval timeout</w:t>
            </w:r>
          </w:p>
        </w:tc>
        <w:tc>
          <w:tcPr>
            <w:tcW w:type="dxa" w:w="646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Default to HOLD for non-RTE; the configured RTE auto-clear is the only unattended action.</w:t>
            </w:r>
          </w:p>
        </w:tc>
      </w:tr>
      <w:tr>
        <w:trPr>
          <w:tblHeader w:val="false"/>
        </w:trPr>
        <w:tc>
          <w:tcPr>
            <w:tcW w:type="dxa" w:w="290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Worker crash</w:t>
            </w:r>
          </w:p>
        </w:tc>
        <w:tc>
          <w:tcPr>
            <w:tcW w:type="dxa" w:w="646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Temporal resumes from history; timers and pending signals are preserved.</w:t>
            </w:r>
          </w:p>
        </w:tc>
      </w:tr>
      <w:tr>
        <w:trPr>
          <w:tblHeader w:val="false"/>
        </w:trPr>
        <w:tc>
          <w:tcPr>
            <w:tcW w:type="dxa" w:w="290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Duplicate GRN event</w:t>
            </w:r>
          </w:p>
        </w:tc>
        <w:tc>
          <w:tcPr>
            <w:tcW w:type="dxa" w:w="646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Workflow-ID reuse policy rejects a second run; a genuine re-receipt arrives as additionalGrn instead.</w:t>
            </w:r>
          </w:p>
        </w:tc>
      </w:tr>
    </w:tbl>
    <w:p>
      <w:pPr>
        <w:pStyle w:val="Heading2"/>
      </w:pPr>
      <w:r>
        <w:t xml:space="preserve">20. Configuration</w:t>
      </w:r>
    </w:p>
    <w:p>
      <w:pPr>
        <w:spacing w:after="140" w:line="276"/>
      </w:pPr>
      <w:r>
        <w:t xml:space="preserve">Everything an operator needs to tune lives in config, keyed by category where it makes sense, so the pilot can be calibrated without redeploying:</w:t>
      </w:r>
    </w:p>
    <w:p>
      <w:pPr>
        <w:pStyle w:val="ListParagraph"/>
        <w:numPr>
          <w:ilvl w:val="0"/>
          <w:numId w:val="2"/>
        </w:numPr>
        <w:spacing w:after="90" w:line="276"/>
      </w:pPr>
      <w:r>
        <w:t xml:space="preserve">Ladder table — rungs, elapsed-hour and wall-clock triggers, ceilings.</w:t>
      </w:r>
    </w:p>
    <w:p>
      <w:pPr>
        <w:pStyle w:val="ListParagraph"/>
        <w:numPr>
          <w:ilvl w:val="0"/>
          <w:numId w:val="2"/>
        </w:numPr>
        <w:spacing w:after="90" w:line="276"/>
      </w:pPr>
      <w:r>
        <w:t xml:space="preserve">Wall-clock floor and per-store close time (the 21:00 IST default).</w:t>
      </w:r>
    </w:p>
    <w:p>
      <w:pPr>
        <w:pStyle w:val="ListParagraph"/>
        <w:numPr>
          <w:ilvl w:val="0"/>
          <w:numId w:val="2"/>
        </w:numPr>
        <w:spacing w:after="90" w:line="276"/>
      </w:pPr>
      <w:r>
        <w:t xml:space="preserve">theta_hold and the trailing run-rate window length.</w:t>
      </w:r>
    </w:p>
    <w:p>
      <w:pPr>
        <w:pStyle w:val="ListParagraph"/>
        <w:numPr>
          <w:ilvl w:val="0"/>
          <w:numId w:val="2"/>
        </w:numPr>
        <w:spacing w:after="90" w:line="276"/>
      </w:pPr>
      <w:r>
        <w:t xml:space="preserve">Per-category approval policy and the RTE auto-clear close gate.</w:t>
      </w:r>
    </w:p>
    <w:p>
      <w:pPr>
        <w:pStyle w:val="ListParagraph"/>
        <w:numPr>
          <w:ilvl w:val="0"/>
          <w:numId w:val="2"/>
        </w:numPr>
        <w:spacing w:after="90" w:line="276"/>
      </w:pPr>
      <w:r>
        <w:t xml:space="preserve">Minimum Q0 to run, give-away alert threshold, impression dwell, coupon validity.</w:t>
      </w:r>
    </w:p>
    <w:p>
      <w:pPr>
        <w:pStyle w:val="ListParagraph"/>
        <w:numPr>
          <w:ilvl w:val="0"/>
          <w:numId w:val="2"/>
        </w:numPr>
        <w:spacing w:after="90" w:line="276"/>
      </w:pPr>
      <w:r>
        <w:t xml:space="preserve">Feature flags: enable_llm, enable_cohort, enable_skip_ahead, shadow_mode.</w:t>
      </w:r>
    </w:p>
    <w:p>
      <w:pPr>
        <w:pStyle w:val="Heading2"/>
      </w:pPr>
      <w:r>
        <w:t xml:space="preserve">21. Observability</w:t>
      </w:r>
    </w:p>
    <w:p>
      <w:pPr>
        <w:spacing w:after="140" w:line="276"/>
      </w:pPr>
      <w:r>
        <w:t xml:space="preserve">Run state is visible in the Temporal UI per batch. Operational metrics (steps taken, approval latency, write failures, units cleared, margin given away) go to the standard Datadog stack; the structured decision log goes to S3. The single most important operator view is the per-run reason trail — being able to read, in plain language, the sequence of “held at list, then 25% because projected short by 8, then ₹1 auto-clear at close.”</w:t>
      </w:r>
    </w:p>
    <w:p>
      <w:pPr>
        <w:pStyle w:val="Heading2"/>
      </w:pPr>
      <w:r>
        <w:t xml:space="preserve">22. Open questions</w:t>
      </w:r>
    </w:p>
    <w:p>
      <w:pPr>
        <w:spacing w:after="140" w:line="276"/>
      </w:pPr>
      <w:r>
        <w:t xml:space="preserve">Parking lot — to close with Karthik / Vaibhav before Phase 1:</w:t>
      </w:r>
    </w:p>
    <w:p>
      <w:pPr>
        <w:pStyle w:val="ListParagraph"/>
        <w:numPr>
          <w:ilvl w:val="0"/>
          <w:numId w:val="2"/>
        </w:numPr>
        <w:spacing w:after="90" w:line="276"/>
      </w:pPr>
      <w:r>
        <w:rPr>
          <w:b/>
          <w:bCs/>
        </w:rPr>
        <w:t xml:space="preserve">T0 anchor. </w:t>
      </w:r>
      <w:r>
        <w:t xml:space="preserve">GRN-complete, store-open, or first-sale? Proposing max(store open, GRN-complete).</w:t>
      </w:r>
    </w:p>
    <w:p>
      <w:pPr>
        <w:pStyle w:val="ListParagraph"/>
        <w:numPr>
          <w:ilvl w:val="0"/>
          <w:numId w:val="2"/>
        </w:numPr>
        <w:spacing w:after="90" w:line="276"/>
      </w:pPr>
      <w:r>
        <w:rPr>
          <w:b/>
          <w:bCs/>
        </w:rPr>
        <w:t xml:space="preserve">Evening floor. </w:t>
      </w:r>
      <w:r>
        <w:t xml:space="preserve">Uniform 21:00 IST or per-store close? Proposing per-store close time, defaulting to 21:00.</w:t>
      </w:r>
    </w:p>
    <w:p>
      <w:pPr>
        <w:pStyle w:val="ListParagraph"/>
        <w:numPr>
          <w:ilvl w:val="0"/>
          <w:numId w:val="2"/>
        </w:numPr>
        <w:spacing w:after="90" w:line="276"/>
      </w:pPr>
      <w:r>
        <w:rPr>
          <w:b/>
          <w:bCs/>
        </w:rPr>
        <w:t xml:space="preserve">Offer publisher. </w:t>
      </w:r>
      <w:r>
        <w:t xml:space="preserve">Who owns the markdown creative on the screen — brand, category management, or auto-generated house creative?</w:t>
      </w:r>
    </w:p>
    <w:p>
      <w:pPr>
        <w:pStyle w:val="ListParagraph"/>
        <w:numPr>
          <w:ilvl w:val="0"/>
          <w:numId w:val="2"/>
        </w:numPr>
        <w:spacing w:after="90" w:line="276"/>
      </w:pPr>
      <w:r>
        <w:rPr>
          <w:b/>
          <w:bCs/>
        </w:rPr>
        <w:t xml:space="preserve">Cohort signal. </w:t>
      </w:r>
      <w:r>
        <w:t xml:space="preserve">What customer signal, if any, exists at store level for v1.1 cohort targeting?</w:t>
      </w:r>
    </w:p>
    <w:p>
      <w:pPr>
        <w:pStyle w:val="ListParagraph"/>
        <w:numPr>
          <w:ilvl w:val="0"/>
          <w:numId w:val="2"/>
        </w:numPr>
        <w:spacing w:after="90" w:line="276"/>
      </w:pPr>
      <w:r>
        <w:rPr>
          <w:b/>
          <w:bCs/>
        </w:rPr>
        <w:t xml:space="preserve">Approval timeout &amp; escalation. </w:t>
      </w:r>
      <w:r>
        <w:t xml:space="preserve">Is 30 min right, and does a missed approval escalate anywhere?</w:t>
      </w:r>
    </w:p>
    <w:p>
      <w:pPr>
        <w:pStyle w:val="ListParagraph"/>
        <w:numPr>
          <w:ilvl w:val="0"/>
          <w:numId w:val="2"/>
        </w:numPr>
        <w:spacing w:after="90" w:line="276"/>
      </w:pPr>
      <w:r>
        <w:rPr>
          <w:b/>
          <w:bCs/>
        </w:rPr>
        <w:t xml:space="preserve">Interim soft-nudge cadence. </w:t>
      </w:r>
      <w:r>
        <w:t xml:space="preserve">For L ≥ 2, how often do we check on non-clearance days?</w:t>
      </w:r>
    </w:p>
    <w:p>
      <w:pPr>
        <w:pStyle w:val="ListParagraph"/>
        <w:numPr>
          <w:ilvl w:val="0"/>
          <w:numId w:val="2"/>
        </w:numPr>
        <w:spacing w:after="90" w:line="276"/>
      </w:pPr>
      <w:r>
        <w:rPr>
          <w:b/>
          <w:bCs/>
        </w:rPr>
        <w:t xml:space="preserve">Task queue. </w:t>
      </w:r>
      <w:r>
        <w:t xml:space="preserve">Reuse j24-pilot-default for the pilot, or stand up j24-perishables now?</w:t>
      </w:r>
    </w:p>
    <w:p>
      <w:pPr>
        <w:pStyle w:val="Heading2"/>
      </w:pPr>
      <w:r>
        <w:t xml:space="preserve">23. Rollout</w:t>
      </w:r>
    </w:p>
    <w:p>
      <w:pPr>
        <w:pStyle w:val="ListParagraph"/>
        <w:numPr>
          <w:ilvl w:val="0"/>
          <w:numId w:val="5"/>
        </w:numPr>
        <w:spacing w:after="90" w:line="276"/>
      </w:pPr>
      <w:r>
        <w:rPr>
          <w:b/>
          <w:bCs/>
        </w:rPr>
        <w:t xml:space="preserve">Phase 0 — shadow. </w:t>
      </w:r>
      <w:r>
        <w:t xml:space="preserve">The engine runs and logs its recommendations against real burn-down at the ~4 general-information stores. No price writes, no approvals. We calibrate the ladder and theta_hold for one to two weeks until the recommendations look right.</w:t>
      </w:r>
    </w:p>
    <w:p>
      <w:pPr>
        <w:pStyle w:val="ListParagraph"/>
        <w:numPr>
          <w:ilvl w:val="0"/>
          <w:numId w:val="5"/>
        </w:numPr>
        <w:spacing w:after="90" w:line="276"/>
      </w:pPr>
      <w:r>
        <w:rPr>
          <w:b/>
          <w:bCs/>
        </w:rPr>
        <w:t xml:space="preserve">Phase 1 — owner in the loop. </w:t>
      </w:r>
      <w:r>
        <w:t xml:space="preserve">Two stores. Markdowns applied on approval; RTE auto-clear on; offers handed to Vaibhav’s one-then-two-TV setup.</w:t>
      </w:r>
    </w:p>
    <w:p>
      <w:pPr>
        <w:pStyle w:val="ListParagraph"/>
        <w:numPr>
          <w:ilvl w:val="0"/>
          <w:numId w:val="5"/>
        </w:numPr>
        <w:spacing w:after="90" w:line="276"/>
      </w:pPr>
      <w:r>
        <w:rPr>
          <w:b/>
          <w:bCs/>
        </w:rPr>
        <w:t xml:space="preserve">Phase 2 — command centre. </w:t>
      </w:r>
      <w:r>
        <w:t xml:space="preserve">~10 stores. Tune from live data, turn on LLM offer copy, measure the funnel and wastage avoided.</w:t>
      </w:r>
    </w:p>
    <w:p>
      <w:pPr>
        <w:pStyle w:val="ListParagraph"/>
        <w:numPr>
          <w:ilvl w:val="0"/>
          <w:numId w:val="5"/>
        </w:numPr>
        <w:spacing w:after="90" w:line="276"/>
      </w:pPr>
      <w:r>
        <w:rPr>
          <w:b/>
          <w:bCs/>
        </w:rPr>
        <w:t xml:space="preserve">Phase 3 — post-pilot. </w:t>
      </w:r>
      <w:r>
        <w:t xml:space="preserve">Cohort targeting, skip-ahead, and the smart-metering / green-stores tie-in once the core loop has earned its place.</w:t>
      </w:r>
    </w:p>
    <w:p>
      <w:r>
        <w:br w:type="page"/>
      </w:r>
    </w:p>
    <w:p>
      <w:pPr>
        <w:pStyle w:val="Heading2"/>
      </w:pPr>
      <w:r>
        <w:t xml:space="preserve">24. Assumptions</w:t>
      </w:r>
    </w:p>
    <w:p>
      <w:pPr>
        <w:spacing w:after="140" w:line="276"/>
      </w:pPr>
      <w:r>
        <w:t xml:space="preserve">The design only holds if the following hold, and several are not yet confirmed. Where I am least sure, I have said so — these are the things to pressure-test before Phase 1, not after.</w:t>
      </w:r>
    </w:p>
    <w:p>
      <w:pPr>
        <w:pStyle w:val="Heading3"/>
      </w:pPr>
      <w:r>
        <w:t xml:space="preserve">Data &amp; inventory</w:t>
      </w:r>
    </w:p>
    <w:p>
      <w:pPr>
        <w:pStyle w:val="ListParagraph"/>
        <w:numPr>
          <w:ilvl w:val="0"/>
          <w:numId w:val="2"/>
        </w:numPr>
        <w:spacing w:after="90" w:line="276"/>
      </w:pPr>
      <w:r>
        <w:rPr>
          <w:b/>
          <w:bCs/>
        </w:rPr>
        <w:t xml:space="preserve">Live sell-through. </w:t>
      </w:r>
      <w:r>
        <w:t xml:space="preserve">Golden Eye gives near-real-time, item-level units-sold per store. If POS data is batched or coarse-grained, the projection in §7 is effectively blind.</w:t>
      </w:r>
    </w:p>
    <w:p>
      <w:pPr>
        <w:pStyle w:val="ListParagraph"/>
        <w:numPr>
          <w:ilvl w:val="0"/>
          <w:numId w:val="2"/>
        </w:numPr>
        <w:spacing w:after="90" w:line="276"/>
      </w:pPr>
      <w:r>
        <w:rPr>
          <w:b/>
          <w:bCs/>
        </w:rPr>
        <w:t xml:space="preserve">Accurate Q0. </w:t>
      </w:r>
      <w:r>
        <w:t xml:space="preserve">The GRN on-hand-at-start is trustworthy. In practice fresh stock shrinks, is damaged or sampled, so Q0 drifts through the day.</w:t>
      </w:r>
    </w:p>
    <w:p>
      <w:pPr>
        <w:pStyle w:val="ListParagraph"/>
        <w:numPr>
          <w:ilvl w:val="0"/>
          <w:numId w:val="2"/>
        </w:numPr>
        <w:spacing w:after="90" w:line="276"/>
      </w:pPr>
      <w:r>
        <w:rPr>
          <w:b/>
          <w:bCs/>
        </w:rPr>
        <w:t xml:space="preserve">Known shelf life. </w:t>
      </w:r>
      <w:r>
        <w:t xml:space="preserve">A reliable L per batch at receipt. For FNV especially, L is fuzzy and depends on temperature, handling and time of receipt — a fixed L per SKU is a simplification.</w:t>
      </w:r>
    </w:p>
    <w:p>
      <w:pPr>
        <w:pStyle w:val="ListParagraph"/>
        <w:numPr>
          <w:ilvl w:val="0"/>
          <w:numId w:val="2"/>
        </w:numPr>
        <w:spacing w:after="90" w:line="276"/>
      </w:pPr>
      <w:r>
        <w:rPr>
          <w:b/>
          <w:bCs/>
        </w:rPr>
        <w:t xml:space="preserve">Enough volume to read. </w:t>
      </w:r>
      <w:r>
        <w:t xml:space="preserve">A trailing run-rate carries signal. For a line that sells single digits a day, there is almost none, and the projection is close to a guess.</w:t>
      </w:r>
    </w:p>
    <w:p>
      <w:pPr>
        <w:pStyle w:val="Heading3"/>
      </w:pPr>
      <w:r>
        <w:t xml:space="preserve">Pricing &amp; execution</w:t>
      </w:r>
    </w:p>
    <w:p>
      <w:pPr>
        <w:pStyle w:val="ListParagraph"/>
        <w:numPr>
          <w:ilvl w:val="0"/>
          <w:numId w:val="2"/>
        </w:numPr>
        <w:spacing w:after="90" w:line="276"/>
      </w:pPr>
      <w:r>
        <w:rPr>
          <w:b/>
          <w:bCs/>
        </w:rPr>
        <w:t xml:space="preserve">One price per listing. </w:t>
      </w:r>
      <w:r>
        <w:t xml:space="preserve">The till holds a single selling price per listing, so we mark down at the listing level for the store-day, not per physical batch — commingled fresh stock cannot carry two prices. Shelf life is the trigger; the listing is what actually moves.</w:t>
      </w:r>
    </w:p>
    <w:p>
      <w:pPr>
        <w:pStyle w:val="ListParagraph"/>
        <w:numPr>
          <w:ilvl w:val="0"/>
          <w:numId w:val="2"/>
        </w:numPr>
        <w:spacing w:after="90" w:line="276"/>
      </w:pPr>
      <w:r>
        <w:rPr>
          <w:b/>
          <w:bCs/>
        </w:rPr>
        <w:t xml:space="preserve">The shopper finds out. </w:t>
      </w:r>
      <w:r>
        <w:t xml:space="preserve">The retail-media slot and the POS second screen actually reach the customer. Until Vaibhav’s platform is live, the only place the lower price shows is the till.</w:t>
      </w:r>
    </w:p>
    <w:p>
      <w:pPr>
        <w:pStyle w:val="ListParagraph"/>
        <w:numPr>
          <w:ilvl w:val="0"/>
          <w:numId w:val="2"/>
        </w:numPr>
        <w:spacing w:after="90" w:line="276"/>
      </w:pPr>
      <w:r>
        <w:rPr>
          <w:b/>
          <w:bCs/>
        </w:rPr>
        <w:t xml:space="preserve">Someone acts on it. </w:t>
      </w:r>
      <w:r>
        <w:t xml:space="preserve">Staff physically sell or move the discounted stock. A digital price change is not the same as stock leaving the shelf.</w:t>
      </w:r>
    </w:p>
    <w:p>
      <w:pPr>
        <w:pStyle w:val="Heading3"/>
      </w:pPr>
      <w:r>
        <w:t xml:space="preserve">Economic &amp; operational</w:t>
      </w:r>
    </w:p>
    <w:p>
      <w:pPr>
        <w:pStyle w:val="ListParagraph"/>
        <w:numPr>
          <w:ilvl w:val="0"/>
          <w:numId w:val="2"/>
        </w:numPr>
        <w:spacing w:after="90" w:line="276"/>
      </w:pPr>
      <w:r>
        <w:rPr>
          <w:b/>
          <w:bCs/>
        </w:rPr>
        <w:t xml:space="preserve">Who pays is defined. </w:t>
      </w:r>
      <w:r>
        <w:t xml:space="preserve">Whether the brand, the store or Jumbotail funds each discount is set per category. The owner’s willingness to approve depends entirely on whose margin moves — this is unspecified today and it is central.</w:t>
      </w:r>
    </w:p>
    <w:p>
      <w:pPr>
        <w:pStyle w:val="ListParagraph"/>
        <w:numPr>
          <w:ilvl w:val="0"/>
          <w:numId w:val="2"/>
        </w:numPr>
        <w:spacing w:after="90" w:line="276"/>
      </w:pPr>
      <w:r>
        <w:rPr>
          <w:b/>
          <w:bCs/>
        </w:rPr>
        <w:t xml:space="preserve">RTE takeback is clean. </w:t>
      </w:r>
      <w:r>
        <w:t xml:space="preserve">Unsold RTE is genuinely taken back by the brand and reconcilable — the basis for auto-clearing it to ₹1 without consent.</w:t>
      </w:r>
    </w:p>
    <w:p>
      <w:pPr>
        <w:pStyle w:val="ListParagraph"/>
        <w:numPr>
          <w:ilvl w:val="0"/>
          <w:numId w:val="2"/>
        </w:numPr>
        <w:spacing w:after="90" w:line="276"/>
      </w:pPr>
      <w:r>
        <w:rPr>
          <w:b/>
          <w:bCs/>
        </w:rPr>
        <w:t xml:space="preserve">Confirmable price writes. </w:t>
      </w:r>
      <w:r>
        <w:t xml:space="preserve">Golden Eye confirms a price write, so the next rung can be gated on confirmation.</w:t>
      </w:r>
    </w:p>
    <w:p>
      <w:pPr>
        <w:pStyle w:val="ListParagraph"/>
        <w:numPr>
          <w:ilvl w:val="0"/>
          <w:numId w:val="2"/>
        </w:numPr>
        <w:spacing w:after="90" w:line="276"/>
      </w:pPr>
      <w:r>
        <w:rPr>
          <w:b/>
          <w:bCs/>
        </w:rPr>
        <w:t xml:space="preserve">Store close ~21:00 IST. </w:t>
      </w:r>
      <w:r>
        <w:t xml:space="preserve">A default; per-store close time is configurable.</w:t>
      </w:r>
    </w:p>
    <w:p>
      <w:pPr>
        <w:pStyle w:val="Heading2"/>
      </w:pPr>
      <w:r>
        <w:t xml:space="preserve">25. Risks, drawbacks &amp; how we contain them</w:t>
      </w:r>
    </w:p>
    <w:p>
      <w:pPr>
        <w:spacing w:after="140" w:line="276"/>
      </w:pPr>
      <w:r>
        <w:t xml:space="preserve">In rough order of how much they worry me. The first is the one to watch — it is the difference between a clearance tool and a margin leak.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FD6DE" w:sz="1"/>
              <w:left w:val="single" w:color="CFD6DE" w:sz="1"/>
              <w:bottom w:val="single" w:color="CFD6DE" w:sz="1"/>
              <w:right w:val="single" w:color="CFD6DE" w:sz="1"/>
            </w:tcBorders>
            <w:shd w:fill="2E5E8C" w:val="clear"/>
            <w:tcMar>
              <w:top w:type="dxa" w:w="70"/>
              <w:left w:type="dxa" w:w="120"/>
              <w:bottom w:type="dxa" w:w="70"/>
              <w:right w:type="dxa" w:w="120"/>
            </w:tcMar>
            <w:vAlign w:val="top"/>
          </w:tcPr>
          <w:p>
            <w:pPr>
              <w:spacing w:after="0" w:line="264"/>
            </w:pPr>
            <w:r>
              <w:rPr>
                <w:b/>
                <w:bCs/>
                <w:color w:val="FFFFFF"/>
              </w:rPr>
              <w:t xml:space="preserve">Risk / drawback</w:t>
            </w:r>
          </w:p>
        </w:tc>
        <w:tc>
          <w:tcPr>
            <w:tcW w:type="dxa" w:w="3580"/>
            <w:tcBorders>
              <w:top w:val="single" w:color="CFD6DE" w:sz="1"/>
              <w:left w:val="single" w:color="CFD6DE" w:sz="1"/>
              <w:bottom w:val="single" w:color="CFD6DE" w:sz="1"/>
              <w:right w:val="single" w:color="CFD6DE" w:sz="1"/>
            </w:tcBorders>
            <w:shd w:fill="2E5E8C" w:val="clear"/>
            <w:tcMar>
              <w:top w:type="dxa" w:w="70"/>
              <w:left w:type="dxa" w:w="120"/>
              <w:bottom w:type="dxa" w:w="70"/>
              <w:right w:type="dxa" w:w="120"/>
            </w:tcMar>
            <w:vAlign w:val="top"/>
          </w:tcPr>
          <w:p>
            <w:pPr>
              <w:spacing w:after="0" w:line="264"/>
            </w:pPr>
            <w:r>
              <w:rPr>
                <w:b/>
                <w:bCs/>
                <w:color w:val="FFFFFF"/>
              </w:rPr>
              <w:t xml:space="preserve">Why it matters</w:t>
            </w:r>
          </w:p>
        </w:tc>
        <w:tc>
          <w:tcPr>
            <w:tcW w:type="dxa" w:w="3580"/>
            <w:tcBorders>
              <w:top w:val="single" w:color="CFD6DE" w:sz="1"/>
              <w:left w:val="single" w:color="CFD6DE" w:sz="1"/>
              <w:bottom w:val="single" w:color="CFD6DE" w:sz="1"/>
              <w:right w:val="single" w:color="CFD6DE" w:sz="1"/>
            </w:tcBorders>
            <w:shd w:fill="2E5E8C" w:val="clear"/>
            <w:tcMar>
              <w:top w:type="dxa" w:w="70"/>
              <w:left w:type="dxa" w:w="120"/>
              <w:bottom w:type="dxa" w:w="70"/>
              <w:right w:type="dxa" w:w="120"/>
            </w:tcMar>
            <w:vAlign w:val="top"/>
          </w:tcPr>
          <w:p>
            <w:pPr>
              <w:spacing w:after="0" w:line="264"/>
            </w:pPr>
            <w:r>
              <w:rPr>
                <w:b/>
                <w:bCs/>
                <w:color w:val="FFFFFF"/>
              </w:rPr>
              <w:t xml:space="preserve">How we contain it</w:t>
            </w:r>
          </w:p>
        </w:tc>
      </w:tr>
      <w:tr>
        <w:trPr>
          <w:tblHeader w:val="false"/>
        </w:trPr>
        <w:tc>
          <w:tcPr>
            <w:tcW w:type="dxa" w:w="220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Training customers to wait</w:t>
            </w:r>
          </w:p>
        </w:tc>
        <w:tc>
          <w:tcPr>
            <w:tcW w:type="dxa" w:w="358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Predictable end-of-day discounts cannibalise full-price sales — the clever shopper stops buying at list and waits for the drop. The biggest economic risk in the whole design.</w:t>
            </w:r>
          </w:p>
        </w:tc>
        <w:tc>
          <w:tcPr>
            <w:tcW w:type="dxa" w:w="358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Discount only when sell-through is genuinely lagging, not on a fixed daily clock; keep the schedule unadvertised and slightly variable; watch full-price erosion per line.</w:t>
            </w:r>
          </w:p>
        </w:tc>
      </w:tr>
      <w:tr>
        <w:trPr>
          <w:tblHeader w:val="false"/>
        </w:trPr>
        <w:tc>
          <w:tcPr>
            <w:tcW w:type="dxa" w:w="220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Discounting stock that would have sold</w:t>
            </w:r>
          </w:p>
        </w:tc>
        <w:tc>
          <w:tcPr>
            <w:tcW w:type="dxa" w:w="358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Every rupee off a unit that would have cleared at list is pure margin lost — being “helpful” can cost more than the spoilage it prevents.</w:t>
            </w:r>
          </w:p>
        </w:tc>
        <w:tc>
          <w:tcPr>
            <w:tcW w:type="dxa" w:w="358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The hold rule (projected to clear → no markdown), shadow-mode calibration first, a give-away alert, and conservative thresholds to begin.</w:t>
            </w:r>
          </w:p>
        </w:tc>
      </w:tr>
      <w:tr>
        <w:trPr>
          <w:tblHeader w:val="false"/>
        </w:trPr>
        <w:tc>
          <w:tcPr>
            <w:tcW w:type="dxa" w:w="220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One price per listing at the till</w:t>
            </w:r>
          </w:p>
        </w:tc>
        <w:tc>
          <w:tcPr>
            <w:tcW w:type="dxa" w:w="358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The POS carries a single price per listing, so per-batch markdowns cannot coexist on the same shelf.</w:t>
            </w:r>
          </w:p>
        </w:tc>
        <w:tc>
          <w:tcPr>
            <w:tcW w:type="dxa" w:w="358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Mark down at the listing level for the store-day; use batch shelf life as the trigger, not the price key. A correction to the per-batch framing.</w:t>
            </w:r>
          </w:p>
        </w:tc>
      </w:tr>
      <w:tr>
        <w:trPr>
          <w:tblHeader w:val="false"/>
        </w:trPr>
        <w:tc>
          <w:tcPr>
            <w:tcW w:type="dxa" w:w="220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Q0 / shelf-life inaccuracy</w:t>
            </w:r>
          </w:p>
        </w:tc>
        <w:tc>
          <w:tcPr>
            <w:tcW w:type="dxa" w:w="358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Fresh shrinks, is damaged or sampled, and L is fuzzy — wrong inputs mean wrong residual and either over- or under-discounting.</w:t>
            </w:r>
          </w:p>
        </w:tc>
        <w:tc>
          <w:tcPr>
            <w:tcW w:type="dxa" w:w="358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Flag low-confidence decisions, let the owner override, reconcile Q0 against POS sold, and never over-trust the GRN number.</w:t>
            </w:r>
          </w:p>
        </w:tc>
      </w:tr>
      <w:tr>
        <w:trPr>
          <w:tblHeader w:val="false"/>
        </w:trPr>
        <w:tc>
          <w:tcPr>
            <w:tcW w:type="dxa" w:w="220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Owner approval fatigue</w:t>
            </w:r>
          </w:p>
        </w:tc>
        <w:tc>
          <w:tcPr>
            <w:tcW w:type="dxa" w:w="358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Too many cards and the owner stops reading them; the feature quietly dies, or the owner cedes control he did not mean to.</w:t>
            </w:r>
          </w:p>
        </w:tc>
        <w:tc>
          <w:tcPr>
            <w:tcW w:type="dxa" w:w="358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One card per step, a single daily digest, per-category auto-approve, and approval latency tracked as a health metric.</w:t>
            </w:r>
          </w:p>
        </w:tc>
      </w:tr>
      <w:tr>
        <w:trPr>
          <w:tblHeader w:val="false"/>
        </w:trPr>
        <w:tc>
          <w:tcPr>
            <w:tcW w:type="dxa" w:w="220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Low volume / cold start</w:t>
            </w:r>
          </w:p>
        </w:tc>
        <w:tc>
          <w:tcPr>
            <w:tcW w:type="dxa" w:w="358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A line selling single digits a day yields a run-rate with no statistical meaning; the early pilot has no history.</w:t>
            </w:r>
          </w:p>
        </w:tc>
        <w:tc>
          <w:tcPr>
            <w:tcW w:type="dxa" w:w="358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A minimum Q0 to run at all; fall back to a plain time-based ladder when there is no rate signal; do not run on tiny lines.</w:t>
            </w:r>
          </w:p>
        </w:tc>
      </w:tr>
      <w:tr>
        <w:trPr>
          <w:tblHeader w:val="false"/>
        </w:trPr>
        <w:tc>
          <w:tcPr>
            <w:tcW w:type="dxa" w:w="220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Physical execution gap</w:t>
            </w:r>
          </w:p>
        </w:tc>
        <w:tc>
          <w:tcPr>
            <w:tcW w:type="dxa" w:w="358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The price drops in the system but the shopper never sees it unless the screen / second screen reaches them — and that platform is still being built.</w:t>
            </w:r>
          </w:p>
        </w:tc>
        <w:tc>
          <w:tcPr>
            <w:tcW w:type="dxa" w:w="358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Treat retail media + second screen as a hard dependency; until live, accept that the only surfaces are the till and a staff re-sticker.</w:t>
            </w:r>
          </w:p>
        </w:tc>
      </w:tr>
      <w:tr>
        <w:trPr>
          <w:tblHeader w:val="false"/>
        </w:trPr>
        <w:tc>
          <w:tcPr>
            <w:tcW w:type="dxa" w:w="220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₹1 freebie gaming</w:t>
            </w:r>
          </w:p>
        </w:tc>
        <w:tc>
          <w:tcPr>
            <w:tcW w:type="dxa" w:w="358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Free items invite farming, reselling and staff abuse.</w:t>
            </w:r>
          </w:p>
        </w:tc>
        <w:tc>
          <w:tcPr>
            <w:tcW w:type="dxa" w:w="358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Cap quantity at the ₹1 rung per transaction, attach the gesture to checkout only, and monitor for abuse patterns.</w:t>
            </w:r>
          </w:p>
        </w:tc>
      </w:tr>
      <w:tr>
        <w:trPr>
          <w:tblHeader w:val="false"/>
        </w:trPr>
        <w:tc>
          <w:tcPr>
            <w:tcW w:type="dxa" w:w="220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Store / brand image</w:t>
            </w:r>
          </w:p>
        </w:tc>
        <w:tc>
          <w:tcPr>
            <w:tcW w:type="dxa" w:w="358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A nightly fire-sale cheapens the store and attracts deal-hunters over loyal customers.</w:t>
            </w:r>
          </w:p>
        </w:tc>
        <w:tc>
          <w:tcPr>
            <w:tcW w:type="dxa" w:w="358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Frame it as “fresh / closing soon,” not “everything must go”; limit how often a line can be cleared.</w:t>
            </w:r>
          </w:p>
        </w:tc>
      </w:tr>
      <w:tr>
        <w:trPr>
          <w:tblHeader w:val="false"/>
        </w:trPr>
        <w:tc>
          <w:tcPr>
            <w:tcW w:type="dxa" w:w="220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Concurrency &amp; cost</w:t>
            </w:r>
          </w:p>
        </w:tc>
        <w:tc>
          <w:tcPr>
            <w:tcW w:type="dxa" w:w="358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One run per store × SKU × day scales into a large number of concurrent workflows, plus POS reads and any LLM calls.</w:t>
            </w:r>
          </w:p>
        </w:tc>
        <w:tc>
          <w:tcPr>
            <w:tcW w:type="dxa" w:w="358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Size it before scaling; a dedicated queue, cheap polling, and the LLM kept optional and off the critical path.</w:t>
            </w:r>
          </w:p>
        </w:tc>
      </w:tr>
      <w:tr>
        <w:trPr>
          <w:tblHeader w:val="false"/>
        </w:trPr>
        <w:tc>
          <w:tcPr>
            <w:tcW w:type="dxa" w:w="220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Masking a buying problem</w:t>
            </w:r>
          </w:p>
        </w:tc>
        <w:tc>
          <w:tcPr>
            <w:tcW w:type="dxa" w:w="358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Chronic markdowns usually mean we over-ordered; the agent can quietly paper over a procurement error.</w:t>
            </w:r>
          </w:p>
        </w:tc>
        <w:tc>
          <w:tcPr>
            <w:tcW w:type="dxa" w:w="358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Feed clearance frequency per line back to replenishment and track it as a buying KPI, not only a clearance one.</w:t>
            </w:r>
          </w:p>
        </w:tc>
      </w:tr>
      <w:tr>
        <w:trPr>
          <w:tblHeader w:val="false"/>
        </w:trPr>
        <w:tc>
          <w:tcPr>
            <w:tcW w:type="dxa" w:w="220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Unproven adoption</w:t>
            </w:r>
          </w:p>
        </w:tc>
        <w:tc>
          <w:tcPr>
            <w:tcW w:type="dxa" w:w="358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The premise is conviction-led; it may be a good demo that Giants and brands never actually use.</w:t>
            </w:r>
          </w:p>
        </w:tc>
        <w:tc>
          <w:tcPr>
            <w:tcW w:type="dxa" w:w="358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Shadow mode, then owner-in-the-loop pilot; gate scale-up on real clearance and approval rates, not on the demo.</w:t>
            </w:r>
          </w:p>
        </w:tc>
      </w:tr>
    </w:tbl>
    <w:p>
      <w:pPr>
        <w:pStyle w:val="Heading2"/>
      </w:pPr>
      <w:r>
        <w:t xml:space="preserve">26. A note on “markdown”</w:t>
      </w:r>
    </w:p>
    <w:p>
      <w:pPr>
        <w:spacing w:after="140" w:line="276"/>
      </w:pPr>
      <w:r>
        <w:t xml:space="preserve">“Markdown” is the correct retail term and the reviewers here will read it without trouble, so I have kept it for the engine and the internal mechanics — the thing literally marks a price down. It is the wrong word at the surface. An owner or a shopper should never see it; they should see a deal that is closing. I am using a layered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FD6DE" w:sz="1"/>
              <w:left w:val="single" w:color="CFD6DE" w:sz="1"/>
              <w:bottom w:val="single" w:color="CFD6DE" w:sz="1"/>
              <w:right w:val="single" w:color="CFD6DE" w:sz="1"/>
            </w:tcBorders>
            <w:shd w:fill="2E5E8C" w:val="clear"/>
            <w:tcMar>
              <w:top w:type="dxa" w:w="70"/>
              <w:left w:type="dxa" w:w="120"/>
              <w:bottom w:type="dxa" w:w="70"/>
              <w:right w:type="dxa" w:w="120"/>
            </w:tcMar>
            <w:vAlign w:val="top"/>
          </w:tcPr>
          <w:p>
            <w:pPr>
              <w:spacing w:after="0" w:line="264"/>
            </w:pPr>
            <w:r>
              <w:rPr>
                <w:b/>
                <w:bCs/>
                <w:color w:val="FFFFFF"/>
              </w:rPr>
              <w:t xml:space="preserve">Layer</w:t>
            </w:r>
          </w:p>
        </w:tc>
        <w:tc>
          <w:tcPr>
            <w:tcW w:type="dxa" w:w="6360"/>
            <w:tcBorders>
              <w:top w:val="single" w:color="CFD6DE" w:sz="1"/>
              <w:left w:val="single" w:color="CFD6DE" w:sz="1"/>
              <w:bottom w:val="single" w:color="CFD6DE" w:sz="1"/>
              <w:right w:val="single" w:color="CFD6DE" w:sz="1"/>
            </w:tcBorders>
            <w:shd w:fill="2E5E8C" w:val="clear"/>
            <w:tcMar>
              <w:top w:type="dxa" w:w="70"/>
              <w:left w:type="dxa" w:w="120"/>
              <w:bottom w:type="dxa" w:w="70"/>
              <w:right w:type="dxa" w:w="120"/>
            </w:tcMar>
            <w:vAlign w:val="top"/>
          </w:tcPr>
          <w:p>
            <w:pPr>
              <w:spacing w:after="0" w:line="264"/>
            </w:pPr>
            <w:r>
              <w:rPr>
                <w:b/>
                <w:bCs/>
                <w:color w:val="FFFFFF"/>
              </w:rPr>
              <w:t xml:space="preserve">Term</w:t>
            </w:r>
          </w:p>
        </w:tc>
      </w:tr>
      <w:tr>
        <w:trPr>
          <w:tblHeader w:val="false"/>
        </w:trPr>
        <w:tc>
          <w:tcPr>
            <w:tcW w:type="dxa" w:w="300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Engine / internal / this document</w:t>
            </w:r>
          </w:p>
        </w:tc>
        <w:tc>
          <w:tcPr>
            <w:tcW w:type="dxa" w:w="636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“markdown” — markdown engine, rung, ladder. Accurate; kept.</w:t>
            </w:r>
          </w:p>
        </w:tc>
      </w:tr>
      <w:tr>
        <w:trPr>
          <w:tblHeader w:val="false"/>
        </w:trPr>
        <w:tc>
          <w:tcPr>
            <w:tcW w:type="dxa" w:w="300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Product / feature name</w:t>
            </w:r>
          </w:p>
        </w:tc>
        <w:tc>
          <w:tcPr>
            <w:tcW w:type="dxa" w:w="636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Same-Day Clearance</w:t>
            </w:r>
          </w:p>
        </w:tc>
      </w:tr>
      <w:tr>
        <w:trPr>
          <w:tblHeader w:val="false"/>
        </w:trPr>
        <w:tc>
          <w:tcPr>
            <w:tcW w:type="dxa" w:w="300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Owner-facing (My J24)</w:t>
            </w:r>
          </w:p>
        </w:tc>
        <w:tc>
          <w:tcPr>
            <w:tcW w:type="dxa" w:w="6360"/>
            <w:tcBorders>
              <w:top w:val="single" w:color="CFD6DE" w:sz="1"/>
              <w:left w:val="single" w:color="CFD6DE" w:sz="1"/>
              <w:bottom w:val="single" w:color="CFD6DE" w:sz="1"/>
              <w:right w:val="single" w:color="CFD6DE" w:sz="1"/>
            </w:tcBorders>
            <w:tcMar>
              <w:top w:type="dxa" w:w="70"/>
              <w:left w:type="dxa" w:w="120"/>
              <w:bottom w:type="dxa" w:w="70"/>
              <w:right w:type="dxa" w:w="120"/>
            </w:tcMar>
            <w:vAlign w:val="top"/>
          </w:tcPr>
          <w:p>
            <w:pPr>
              <w:spacing w:after="0" w:line="264"/>
            </w:pPr>
            <w:r>
              <w:t xml:space="preserve">“clearance offer,” “at-risk stock”</w:t>
            </w:r>
          </w:p>
        </w:tc>
      </w:tr>
      <w:tr>
        <w:trPr>
          <w:tblHeader w:val="false"/>
        </w:trPr>
        <w:tc>
          <w:tcPr>
            <w:tcW w:type="dxa" w:w="300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Customer-facing (screen, till)</w:t>
            </w:r>
          </w:p>
        </w:tc>
        <w:tc>
          <w:tcPr>
            <w:tcW w:type="dxa" w:w="6360"/>
            <w:tcBorders>
              <w:top w:val="single" w:color="CFD6DE" w:sz="1"/>
              <w:left w:val="single" w:color="CFD6DE" w:sz="1"/>
              <w:bottom w:val="single" w:color="CFD6DE" w:sz="1"/>
              <w:right w:val="single" w:color="CFD6DE" w:sz="1"/>
            </w:tcBorders>
            <w:shd w:fill="F4F7FA" w:val="clear"/>
            <w:tcMar>
              <w:top w:type="dxa" w:w="70"/>
              <w:left w:type="dxa" w:w="120"/>
              <w:bottom w:type="dxa" w:w="70"/>
              <w:right w:type="dxa" w:w="120"/>
            </w:tcMar>
            <w:vAlign w:val="top"/>
          </w:tcPr>
          <w:p>
            <w:pPr>
              <w:spacing w:after="0" w:line="264"/>
            </w:pPr>
            <w:r>
              <w:t xml:space="preserve">“Fresh Deal,” “Closing Soon,” “Today’s Deal”</w:t>
            </w:r>
          </w:p>
        </w:tc>
      </w:tr>
    </w:tbl>
    <w:p>
      <w:pPr>
        <w:spacing w:after="140" w:line="276"/>
      </w:pPr>
      <w:r>
        <w:t xml:space="preserve">If you would rather drop “markdown” entirely and lead with “Clearance” throughout the engine as well, that is a single-pass rename — say the word and I will make the document consistent.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A94A2"/>
        <w:sz w:val="16"/>
        <w:szCs w:val="16"/>
      </w:rPr>
      <w:t xml:space="preserve">Draft v0.3 — confidential</w:t>
    </w:r>
    <w:r>
      <w:rPr>
        <w:color w:val="8A94A2"/>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0CC" w:sz="4" w:space="6"/>
      </w:pBdr>
      <w:tabs>
        <w:tab w:val="right" w:pos="9360"/>
      </w:tabs>
    </w:pPr>
    <w:r>
      <w:rPr>
        <w:color w:val="8A94A2"/>
        <w:sz w:val="16"/>
        <w:szCs w:val="16"/>
      </w:rPr>
      <w:t xml:space="preserve">Same-Day Perishables Clearance</w:t>
    </w:r>
    <w:r>
      <w:rPr>
        <w:color w:val="8A94A2"/>
        <w:sz w:val="16"/>
        <w:szCs w:val="16"/>
      </w:rPr>
      <w:t xml:space="preserve">	J24 Store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00"/>
      </w:pPr>
    </w:lvl>
  </w:abstractNum>
  <w:abstractNum w:abstractNumId="4" w15:restartNumberingAfterBreak="0">
    <w:multiLevelType w:val="hybridMultilevel"/>
    <w:lvl w:ilvl="0" w15:tentative="1">
      <w:start w:val="1"/>
      <w:numFmt w:val="decimal"/>
      <w:lvlText w:val="%1."/>
      <w:lvlJc w:val="left"/>
      <w:pPr>
        <w:ind w:left="460" w:hanging="300"/>
      </w:pPr>
    </w:lvl>
  </w:abstractNum>
  <w:abstractNum w:abstractNumId="5"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A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7C0CC" w:sz="6" w:space="4"/>
      </w:pBdr>
      <w:spacing w:after="160" w:before="300"/>
      <w:outlineLvl w:val="0"/>
    </w:pPr>
    <w:rPr>
      <w:rFonts w:ascii="Arial" w:cs="Arial" w:eastAsia="Arial" w:hAnsi="Arial"/>
      <w:b/>
      <w:bCs/>
      <w:color w:val="1F2A37"/>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5E8C"/>
      <w:sz w:val="25"/>
      <w:szCs w:val="25"/>
    </w:rPr>
  </w:style>
  <w:style w:type="paragraph" w:styleId="Heading3">
    <w:name w:val="Heading 3"/>
    <w:basedOn w:val="Normal"/>
    <w:next w:val="Normal"/>
    <w:qFormat/>
    <w:pPr>
      <w:spacing w:after="80" w:before="160"/>
      <w:outlineLvl w:val="2"/>
    </w:pPr>
    <w:rPr>
      <w:rFonts w:ascii="Arial" w:cs="Arial" w:eastAsia="Arial" w:hAnsi="Arial"/>
      <w:b/>
      <w:bCs/>
      <w:color w:val="1F2A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beb67aed4faa72c48c3c02e9dea5ff7a4d7a0b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Perishables — Same-Day Markdown &amp; Offer Recommendation</dc:title>
  <dc:creator>Sripad</dc:creator>
  <cp:lastModifiedBy>Un-named</cp:lastModifiedBy>
  <cp:revision>1</cp:revision>
  <dcterms:created xsi:type="dcterms:W3CDTF">2026-06-16T12:34:11.096Z</dcterms:created>
  <dcterms:modified xsi:type="dcterms:W3CDTF">2026-06-16T12:34:11.097Z</dcterms:modified>
</cp:coreProperties>
</file>

<file path=docProps/custom.xml><?xml version="1.0" encoding="utf-8"?>
<Properties xmlns="http://schemas.openxmlformats.org/officeDocument/2006/custom-properties" xmlns:vt="http://schemas.openxmlformats.org/officeDocument/2006/docPropsVTypes"/>
</file>