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i w:val="false"/>
          <w:iCs w:val="false"/>
          <w:sz w:val="28"/>
          <w:szCs w:val="28"/>
        </w:rPr>
        <w:t xml:space="preserve">FORM 2</w:t>
      </w:r>
    </w:p>
    <w:p>
      <w:pPr>
        <w:spacing w:after="80" w:before="80"/>
        <w:jc w:val="center"/>
      </w:pPr>
      <w:r>
        <w:rPr>
          <w:rFonts w:ascii="Times New Roman" w:cs="Times New Roman" w:eastAsia="Times New Roman" w:hAnsi="Times New Roman"/>
          <w:b/>
          <w:bCs/>
          <w:i w:val="false"/>
          <w:iCs w:val="false"/>
          <w:sz w:val="24"/>
          <w:szCs w:val="24"/>
        </w:rPr>
        <w:t xml:space="preserve">THE PATENTS ACT, 1970 (39 of 1970)</w:t>
      </w:r>
    </w:p>
    <w:p>
      <w:pPr>
        <w:spacing w:after="80" w:before="80"/>
        <w:jc w:val="center"/>
      </w:pPr>
      <w:r>
        <w:rPr>
          <w:rFonts w:ascii="Times New Roman" w:cs="Times New Roman" w:eastAsia="Times New Roman" w:hAnsi="Times New Roman"/>
          <w:b/>
          <w:bCs/>
          <w:i w:val="false"/>
          <w:iCs w:val="false"/>
          <w:sz w:val="24"/>
          <w:szCs w:val="24"/>
        </w:rPr>
        <w:t xml:space="preserve">&amp;</w:t>
      </w:r>
    </w:p>
    <w:p>
      <w:pPr>
        <w:spacing w:after="80" w:before="80"/>
        <w:jc w:val="center"/>
      </w:pPr>
      <w:r>
        <w:rPr>
          <w:rFonts w:ascii="Times New Roman" w:cs="Times New Roman" w:eastAsia="Times New Roman" w:hAnsi="Times New Roman"/>
          <w:b/>
          <w:bCs/>
          <w:i w:val="false"/>
          <w:iCs w:val="false"/>
          <w:sz w:val="24"/>
          <w:szCs w:val="24"/>
        </w:rPr>
        <w:t xml:space="preserve">The Patents Rules, 2003</w:t>
      </w:r>
    </w:p>
    <w:p>
      <w:pPr>
        <w:spacing w:after="80" w:before="80"/>
        <w:jc w:val="center"/>
      </w:pPr>
      <w:r>
        <w:rPr>
          <w:rFonts w:ascii="Times New Roman" w:cs="Times New Roman" w:eastAsia="Times New Roman" w:hAnsi="Times New Roman"/>
          <w:b/>
          <w:bCs/>
          <w:i w:val="false"/>
          <w:iCs w:val="false"/>
          <w:sz w:val="26"/>
          <w:szCs w:val="26"/>
          <w:u w:val="single"/>
        </w:rPr>
        <w:t xml:space="preserve">COMPLETE SPECIFICATION</w:t>
      </w:r>
    </w:p>
    <w:p>
      <w:pPr>
        <w:spacing w:after="80" w:before="80"/>
        <w:jc w:val="center"/>
      </w:pPr>
      <w:r>
        <w:rPr>
          <w:rFonts w:ascii="Times New Roman" w:cs="Times New Roman" w:eastAsia="Times New Roman" w:hAnsi="Times New Roman"/>
          <w:b w:val="false"/>
          <w:bCs w:val="false"/>
          <w:i/>
          <w:iCs/>
          <w:sz w:val="22"/>
          <w:szCs w:val="22"/>
        </w:rPr>
        <w:t xml:space="preserve">(See section 10; rule 13)</w:t>
      </w:r>
    </w:p>
    <w:p>
      <w:pPr>
        <w:spacing w:after="0" w:before="120"/>
      </w:pPr>
      <w:r>
        <w:t xml:space="preserve"/>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1.  TITLE OF THE INVENTION</w:t>
      </w:r>
    </w:p>
    <w:p>
      <w:pPr>
        <w:spacing w:after="0" w:before="120"/>
      </w:pPr>
      <w:r>
        <w:t xml:space="preserve"/>
      </w:r>
    </w:p>
    <w:p>
      <w:pPr>
        <w:spacing w:after="80" w:before="80"/>
        <w:jc w:val="center"/>
      </w:pPr>
      <w:r>
        <w:rPr>
          <w:rFonts w:ascii="Times New Roman" w:cs="Times New Roman" w:eastAsia="Times New Roman" w:hAnsi="Times New Roman"/>
          <w:b/>
          <w:bCs/>
          <w:i w:val="false"/>
          <w:iCs w:val="false"/>
          <w:sz w:val="24"/>
          <w:szCs w:val="24"/>
        </w:rPr>
        <w:t xml:space="preserve">"A SYSTEM AND METHOD FOR CUMULATIVE IRRIGATION FAULT DETECTION, FAULT ACCUMULATION, AND FIELD IRRIGATION HEALTH SCORING USING MINIMAL LOW-COST SENSOR HARDWARE FOR MANUAL AND SEMI-MANUAL IRRIGATION IN SMALLHOLDER AGRICULTURE"</w:t>
      </w:r>
    </w:p>
    <w:p>
      <w:pPr>
        <w:spacing w:after="0" w:before="120"/>
      </w:pPr>
      <w:r>
        <w:t xml:space="preserve"/>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2.  APPLICANT(S)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(a) NAME:</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THIAGARAJAR COLLEGE OF ENGINEERING</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(b) NATIONALITY: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AN INDIAN INSTITUTE</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(c) ADDRESS:</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Thiagarajar College of Engineering, Thiruparankundram, Madurai - 625 015, Tamil Nadu, India.</w:t>
            </w:r>
          </w:p>
        </w:tc>
      </w:tr>
    </w:tbl>
    <w:p>
      <w:pPr>
        <w:spacing w:after="0" w:before="120"/>
      </w:pPr>
      <w:r>
        <w:t xml:space="preserve"/>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INVENTOR(S)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(a) NAME:</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SRIPATHI RAJAN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(b) NATIONALITY: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INDIAN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(c) ADDRESS:</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Thiagarajar College of Engineering, Department of Computer Science and Business Systems, Thiruparankundram, Madurai - 625 015, Tamil Nadu, India.</w:t>
            </w:r>
          </w:p>
        </w:tc>
      </w:tr>
    </w:tbl>
    <w:p>
      <w:pPr>
        <w:spacing w:after="0" w:before="120"/>
      </w:pPr>
      <w:r>
        <w:t xml:space="preserve"/>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3.  PREAMBLE TO THE DESCRIPTION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following specification particularly describes the invention and the manner in which it is to be performed.</w:t>
      </w:r>
    </w:p>
    <w:p>
      <w:r>
        <w:br w:type="page"/>
      </w:r>
    </w:p>
    <w:p>
      <w:pPr>
        <w:spacing w:after="80" w:before="80"/>
        <w:jc w:val="center"/>
      </w:pPr>
      <w:r>
        <w:rPr>
          <w:rFonts w:ascii="Times New Roman" w:cs="Times New Roman" w:eastAsia="Times New Roman" w:hAnsi="Times New Roman"/>
          <w:b/>
          <w:bCs/>
          <w:i w:val="false"/>
          <w:iCs w:val="false"/>
          <w:sz w:val="24"/>
          <w:szCs w:val="24"/>
        </w:rPr>
        <w:t xml:space="preserve">A SYSTEM AND METHOD FOR CUMULATIVE IRRIGATION FAULT DETECTION, FAULT ACCUMULATION, AND FIELD IRRIGATION HEALTH SCORING USING MINIMAL LOW-COST SENSOR HARDWARE FOR MANUAL AND SEMI-MANUAL IRRIGATION IN SMALLHOLDER AGRICULTURE</w:t>
      </w:r>
    </w:p>
    <w:p>
      <w:pPr>
        <w:spacing w:after="0" w:before="120"/>
      </w:pPr>
      <w:r>
        <w:t xml:space="preserve"/>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FIELD OF THE INVENTION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present invention relates to the field of precision agriculture, sensor-based irrigation monitoring, time-series signal processing, machine learning-based fault classification, edge computing, and decision-support systems for resource-constrained smallholder farming environments. Specifically, it addresses the under-served problem of chronic irrigation mismanagement detection in manual and semi-manual irrigation systems prevalent across South Asia and sub-Saharan Africa, where over 80% of irrigated agriculture is conducted without automated control hardware.</w:t>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BACKGROUND OF THE INVENTION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Irrigation accounts for approximately 70% of total global freshwater withdrawals. In India, over 60% of net sown area is irrigated, with smallholder farmers (less than 2 hectares) comprising 86% of the farming population. Despite this scale, the vast majority of irrigation in India and globally remains manual or semi-manual, where farmers decide timing, volume, and frequency based on experience rather than data.</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Existing irrigation monitoring solutions fail to address the smallholder population for three key reasons:</w:t>
      </w:r>
    </w:p>
    <w:p>
      <w:pPr>
        <w:pStyle w:val="ListParagraph"/>
        <w:numPr>
          <w:ilvl w:val="0"/>
          <w:numId w:val="2"/>
        </w:numPr>
        <w:spacing w:after="60" w:before="60"/>
      </w:pPr>
      <w:r>
        <w:rPr>
          <w:rFonts w:ascii="Times New Roman" w:cs="Times New Roman" w:eastAsia="Times New Roman" w:hAnsi="Times New Roman"/>
          <w:sz w:val="24"/>
          <w:szCs w:val="24"/>
        </w:rPr>
        <w:t xml:space="preserve">Hardware dependency: Systems such as CropX, Sensoterra, and commercial IoT platforms require integration with automated control hardware including valves, pumps, and controllers, making them inapplicable to manual irrigation systems.</w:t>
      </w:r>
    </w:p>
    <w:p>
      <w:pPr>
        <w:pStyle w:val="ListParagraph"/>
        <w:numPr>
          <w:ilvl w:val="0"/>
          <w:numId w:val="2"/>
        </w:numPr>
        <w:spacing w:after="60" w:before="60"/>
      </w:pPr>
      <w:r>
        <w:rPr>
          <w:rFonts w:ascii="Times New Roman" w:cs="Times New Roman" w:eastAsia="Times New Roman" w:hAnsi="Times New Roman"/>
          <w:sz w:val="24"/>
          <w:szCs w:val="24"/>
        </w:rPr>
        <w:t xml:space="preserve">Event isolation: Existing threshold-based systems evaluate each irrigation event independently, making chronic mismanagement patterns invisible until crop damage manifests, typically 10-14 days after the fault began accumulating.</w:t>
      </w:r>
    </w:p>
    <w:p>
      <w:pPr>
        <w:pStyle w:val="ListParagraph"/>
        <w:numPr>
          <w:ilvl w:val="0"/>
          <w:numId w:val="2"/>
        </w:numPr>
        <w:spacing w:after="60" w:before="60"/>
      </w:pPr>
      <w:r>
        <w:rPr>
          <w:rFonts w:ascii="Times New Roman" w:cs="Times New Roman" w:eastAsia="Times New Roman" w:hAnsi="Times New Roman"/>
          <w:sz w:val="24"/>
          <w:szCs w:val="24"/>
        </w:rPr>
        <w:t xml:space="preserve">Cost barriers: Commercial precision agriculture sensors and platforms cost USD 500 to 5000 or more per hectare, which is prohibitive for smallholders in India.</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Crop Water Stress Index (CWSI) and evapotranspiration-based models track agronomic water stress but measure plant physiological response, not irrigation management quality. They cannot distinguish a one-off timing error from a recurring under-irrigation pattern caused by farmer practice. No prior system combines minimal low-cost sensing hardware with cross-event fault accumulation, chronic-pattern detection via a state machine, and a scalar health score quantifying cumulative mismanagement quality in manual irrigation contexts.</w:t>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OBJECTS OF INVENTION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primary objective of the invention is to provide a low-cost, hardware-minimal system for detecting, classifying, and accumulating irrigation faults over time, computing a Field Irrigation Health Score (FIHS) that quantifies cumulative irrigation management quality, and delivering actionable diagnostic alerts to smallholder farmers before irreversible crop stress occurs.</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Further objects of the invention include:</w:t>
      </w:r>
    </w:p>
    <w:p>
      <w:pPr>
        <w:pStyle w:val="ListParagraph"/>
        <w:numPr>
          <w:ilvl w:val="0"/>
          <w:numId w:val="2"/>
        </w:numPr>
        <w:spacing w:after="60" w:before="60"/>
      </w:pPr>
      <w:r>
        <w:rPr>
          <w:rFonts w:ascii="Times New Roman" w:cs="Times New Roman" w:eastAsia="Times New Roman" w:hAnsi="Times New Roman"/>
          <w:sz w:val="24"/>
          <w:szCs w:val="24"/>
        </w:rPr>
        <w:t xml:space="preserve">To provide real-time irrigation event segmentation without reliance on valve or pump hardware signals, using PELT changepoint detection on multi-depth soil moisture time-series data.</w:t>
      </w:r>
    </w:p>
    <w:p>
      <w:pPr>
        <w:pStyle w:val="ListParagraph"/>
        <w:numPr>
          <w:ilvl w:val="0"/>
          <w:numId w:val="2"/>
        </w:numPr>
        <w:spacing w:after="60" w:before="60"/>
      </w:pPr>
      <w:r>
        <w:rPr>
          <w:rFonts w:ascii="Times New Roman" w:cs="Times New Roman" w:eastAsia="Times New Roman" w:hAnsi="Times New Roman"/>
          <w:sz w:val="24"/>
          <w:szCs w:val="24"/>
        </w:rPr>
        <w:t xml:space="preserve">To classify individual irrigation events into one of five fault types — Under-Irrigation, Over-Irrigation, Timing Fault, Distribution Fault, and Normal — using a rule-based classifier operating on an ET0-adjusted soil-water-balance reference target.</w:t>
      </w:r>
    </w:p>
    <w:p>
      <w:pPr>
        <w:pStyle w:val="ListParagraph"/>
        <w:numPr>
          <w:ilvl w:val="0"/>
          <w:numId w:val="2"/>
        </w:numPr>
        <w:spacing w:after="60" w:before="60"/>
      </w:pPr>
      <w:r>
        <w:rPr>
          <w:rFonts w:ascii="Times New Roman" w:cs="Times New Roman" w:eastAsia="Times New Roman" w:hAnsi="Times New Roman"/>
          <w:sz w:val="24"/>
          <w:szCs w:val="24"/>
        </w:rPr>
        <w:t xml:space="preserve">To accumulate classified faults in a persistent 90-day rolling fault history governed by a four-state finite-state-machine with exponential temporal decay weighting.</w:t>
      </w:r>
    </w:p>
    <w:p>
      <w:pPr>
        <w:pStyle w:val="ListParagraph"/>
        <w:numPr>
          <w:ilvl w:val="0"/>
          <w:numId w:val="2"/>
        </w:numPr>
        <w:spacing w:after="60" w:before="60"/>
      </w:pPr>
      <w:r>
        <w:rPr>
          <w:rFonts w:ascii="Times New Roman" w:cs="Times New Roman" w:eastAsia="Times New Roman" w:hAnsi="Times New Roman"/>
          <w:sz w:val="24"/>
          <w:szCs w:val="24"/>
        </w:rPr>
        <w:t xml:space="preserve">To compute a scalar FIHS metric using the formula: FIHS(t) = 100 x (1 - SUM(Si x Wi x exp(-lambda x delta_ti)) / N_max).</w:t>
      </w:r>
    </w:p>
    <w:p>
      <w:pPr>
        <w:pStyle w:val="ListParagraph"/>
        <w:numPr>
          <w:ilvl w:val="0"/>
          <w:numId w:val="2"/>
        </w:numPr>
        <w:spacing w:after="60" w:before="60"/>
      </w:pPr>
      <w:r>
        <w:rPr>
          <w:rFonts w:ascii="Times New Roman" w:cs="Times New Roman" w:eastAsia="Times New Roman" w:hAnsi="Times New Roman"/>
          <w:sz w:val="24"/>
          <w:szCs w:val="24"/>
        </w:rPr>
        <w:t xml:space="preserve">To enable edge processing at below 50 mW average power consumption, reducing cloud dependency for deployment in 2G-only rural areas.</w:t>
      </w:r>
    </w:p>
    <w:p>
      <w:pPr>
        <w:pStyle w:val="ListParagraph"/>
        <w:numPr>
          <w:ilvl w:val="0"/>
          <w:numId w:val="2"/>
        </w:numPr>
        <w:spacing w:after="60" w:before="60"/>
      </w:pPr>
      <w:r>
        <w:rPr>
          <w:rFonts w:ascii="Times New Roman" w:cs="Times New Roman" w:eastAsia="Times New Roman" w:hAnsi="Times New Roman"/>
          <w:sz w:val="24"/>
          <w:szCs w:val="24"/>
        </w:rPr>
        <w:t xml:space="preserve">To deliver plain-language diagnostic alerts in Tamil and English via SMS and voice interface, enabling intervention by low-literacy smallholder farmers.</w:t>
      </w:r>
    </w:p>
    <w:p>
      <w:pPr>
        <w:pStyle w:val="ListParagraph"/>
        <w:numPr>
          <w:ilvl w:val="0"/>
          <w:numId w:val="2"/>
        </w:numPr>
        <w:spacing w:after="60" w:before="60"/>
      </w:pPr>
      <w:r>
        <w:rPr>
          <w:rFonts w:ascii="Times New Roman" w:cs="Times New Roman" w:eastAsia="Times New Roman" w:hAnsi="Times New Roman"/>
          <w:sz w:val="24"/>
          <w:szCs w:val="24"/>
        </w:rPr>
        <w:t xml:space="preserve">To achieve total hardware deployment cost below INR 4,500 per acre.</w:t>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SUMMARY OF THE INVENTION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present invention provides a complete system and method comprising: (i) a minimal hardware layer consisting of three multi-depth capacitive soil moisture sensors at 10 cm, 30 cm, and 60 cm root-zone depths, one DHT22-class temperature and humidity sensor, and an ESP32-class edge microcontroller node with solar-rechargeable battery and LoRa/Wi-Fi uplink; (ii) a per-event irrigation event segmentation module using PELT changepoint detection; (iii) a rule-based five-class fault classifier computing an ET0-adjusted reference target; (iv) a fault accumulation engine with a four-state finite-state-machine (Normal, Isolated, Recurring, Chronic) and exponential temporal decay; (v) a FIHS computation module; and (vi) a diagnostic output layer with farmer-friendly alerts.</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A Random Forest machine learning classifier trained on the system feature set achieves 100% classification accuracy across all five fault classes. The system detects chronic irrigation mismanagement 10-14 days before visible crop stress at a total hardware cost below INR 4,500 per acre.</w:t>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BRIEF DESCRIPTION OF THE DRAWINGS</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manner in which the features, advantages and objects of the invention, as well as others which will become apparent, may be understood in more detail, more particular description of the invention briefly summarized above may be had by reference to the embodiment thereof which is illustrated in the appended drawings, which form a part of this specification. It is to be noted, however, that the drawings illustrate only a preferred embodiment of the invention and is therefore not to be considered limiting of the invention's scope as it may admit to other equally effective embodiments.</w:t>
      </w:r>
    </w:p>
    <w:p>
      <w:pPr>
        <w:spacing w:after="0" w:before="120"/>
      </w:pPr>
      <w:r>
        <w:t xml:space="preserve"/>
      </w:r>
    </w:p>
    <w:p>
      <w:pPr>
        <w:spacing w:after="80" w:before="80"/>
        <w:jc w:val="left"/>
      </w:pPr>
      <w:r>
        <w:rPr>
          <w:rFonts w:ascii="Times New Roman" w:cs="Times New Roman" w:eastAsia="Times New Roman" w:hAnsi="Times New Roman"/>
          <w:b w:val="false"/>
          <w:bCs w:val="false"/>
          <w:i w:val="false"/>
          <w:iCs w:val="false"/>
          <w:sz w:val="24"/>
          <w:szCs w:val="24"/>
        </w:rPr>
        <w:t xml:space="preserve">Fig. 1 illustrates the overall four-layer system architecture of IrrigFaultNet, showing data flow from the minimal hardware sensing layer through event segmentation, fault classification, accumulation engine, and diagnostic output layer.</w:t>
      </w:r>
    </w:p>
    <w:p>
      <w:pPr>
        <w:spacing w:after="80" w:before="80"/>
        <w:jc w:val="left"/>
      </w:pPr>
      <w:r>
        <w:rPr>
          <w:rFonts w:ascii="Times New Roman" w:cs="Times New Roman" w:eastAsia="Times New Roman" w:hAnsi="Times New Roman"/>
          <w:b w:val="false"/>
          <w:bCs w:val="false"/>
          <w:i w:val="false"/>
          <w:iCs w:val="false"/>
          <w:sz w:val="24"/>
          <w:szCs w:val="24"/>
        </w:rPr>
        <w:t xml:space="preserve">Fig. 2 illustrates the four-state finite-state-machine for fault accumulation, showing state transitions between Normal, Isolated, Recurring, and Chronic states with explicit transition conditions.</w:t>
      </w:r>
    </w:p>
    <w:p>
      <w:pPr>
        <w:spacing w:after="80" w:before="80"/>
        <w:jc w:val="left"/>
      </w:pPr>
      <w:r>
        <w:rPr>
          <w:rFonts w:ascii="Times New Roman" w:cs="Times New Roman" w:eastAsia="Times New Roman" w:hAnsi="Times New Roman"/>
          <w:b w:val="false"/>
          <w:bCs w:val="false"/>
          <w:i w:val="false"/>
          <w:iCs w:val="false"/>
          <w:sz w:val="24"/>
          <w:szCs w:val="24"/>
        </w:rPr>
        <w:t xml:space="preserve">Fig. 3 illustrates the flowchart of the per-event fault classification algorithm, showing ET0-adjusted reference target computation and the five-class rule-based decision logic.</w:t>
      </w:r>
    </w:p>
    <w:p>
      <w:pPr>
        <w:spacing w:after="80" w:before="80"/>
        <w:jc w:val="left"/>
      </w:pPr>
      <w:r>
        <w:rPr>
          <w:rFonts w:ascii="Times New Roman" w:cs="Times New Roman" w:eastAsia="Times New Roman" w:hAnsi="Times New Roman"/>
          <w:b w:val="false"/>
          <w:bCs w:val="false"/>
          <w:i w:val="false"/>
          <w:iCs w:val="false"/>
          <w:sz w:val="24"/>
          <w:szCs w:val="24"/>
        </w:rPr>
        <w:t xml:space="preserve">Fig. 4 illustrates the Field Irrigation Health Score (FIHS) trend over a 60-day simulated monitoring period, showing the chronic threshold at 70 and danger zone shading.</w:t>
      </w:r>
    </w:p>
    <w:p>
      <w:pPr>
        <w:spacing w:after="80" w:before="80"/>
        <w:jc w:val="left"/>
      </w:pPr>
      <w:r>
        <w:rPr>
          <w:rFonts w:ascii="Times New Roman" w:cs="Times New Roman" w:eastAsia="Times New Roman" w:hAnsi="Times New Roman"/>
          <w:b w:val="false"/>
          <w:bCs w:val="false"/>
          <w:i w:val="false"/>
          <w:iCs w:val="false"/>
          <w:sz w:val="24"/>
          <w:szCs w:val="24"/>
        </w:rPr>
        <w:t xml:space="preserve">Fig. 5 illustrates the confusion matrix of the Random Forest fault classifier showing 100% classification accuracy across all five fault types.</w:t>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DESCRIPTION FOR DRAWINGS WITH REFERENCE NUMERALS:</w:t>
      </w:r>
    </w:p>
    <w:p>
      <w:pPr>
        <w:spacing w:after="0" w:before="120"/>
      </w:pPr>
      <w:r>
        <w:t xml:space="preserve"/>
      </w:r>
    </w:p>
    <w:p>
      <w:pPr>
        <w:spacing w:after="80" w:before="80"/>
        <w:jc w:val="left"/>
      </w:pPr>
      <w:r>
        <w:rPr>
          <w:rFonts w:ascii="Times New Roman" w:cs="Times New Roman" w:eastAsia="Times New Roman" w:hAnsi="Times New Roman"/>
          <w:b w:val="false"/>
          <w:bCs w:val="false"/>
          <w:i w:val="false"/>
          <w:iCs w:val="false"/>
          <w:sz w:val="24"/>
          <w:szCs w:val="24"/>
        </w:rPr>
        <w:t xml:space="preserve">[100] Minimal Hardware Layer — Capacitive soil moisture sensors (3x), DHT22 sensor, ESP32 microcontroller</w:t>
      </w:r>
    </w:p>
    <w:p>
      <w:pPr>
        <w:spacing w:after="80" w:before="80"/>
        <w:jc w:val="left"/>
      </w:pPr>
      <w:r>
        <w:rPr>
          <w:rFonts w:ascii="Times New Roman" w:cs="Times New Roman" w:eastAsia="Times New Roman" w:hAnsi="Times New Roman"/>
          <w:b w:val="false"/>
          <w:bCs w:val="false"/>
          <w:i w:val="false"/>
          <w:iCs w:val="false"/>
          <w:sz w:val="24"/>
          <w:szCs w:val="24"/>
        </w:rPr>
        <w:t xml:space="preserve">[102] Event Segmentation Module — PELT changepoint detection on moisture time-series</w:t>
      </w:r>
    </w:p>
    <w:p>
      <w:pPr>
        <w:spacing w:after="80" w:before="80"/>
        <w:jc w:val="left"/>
      </w:pPr>
      <w:r>
        <w:rPr>
          <w:rFonts w:ascii="Times New Roman" w:cs="Times New Roman" w:eastAsia="Times New Roman" w:hAnsi="Times New Roman"/>
          <w:b w:val="false"/>
          <w:bCs w:val="false"/>
          <w:i w:val="false"/>
          <w:iCs w:val="false"/>
          <w:sz w:val="24"/>
          <w:szCs w:val="24"/>
        </w:rPr>
        <w:t xml:space="preserve">[104] Fault Classifier — ET0-adjusted rule-based five-class classifier</w:t>
      </w:r>
    </w:p>
    <w:p>
      <w:pPr>
        <w:spacing w:after="80" w:before="80"/>
        <w:jc w:val="left"/>
      </w:pPr>
      <w:r>
        <w:rPr>
          <w:rFonts w:ascii="Times New Roman" w:cs="Times New Roman" w:eastAsia="Times New Roman" w:hAnsi="Times New Roman"/>
          <w:b w:val="false"/>
          <w:bCs w:val="false"/>
          <w:i w:val="false"/>
          <w:iCs w:val="false"/>
          <w:sz w:val="24"/>
          <w:szCs w:val="24"/>
        </w:rPr>
        <w:t xml:space="preserve">[106] Fault History Store — 90-day rolling circular buffer</w:t>
      </w:r>
    </w:p>
    <w:p>
      <w:pPr>
        <w:spacing w:after="80" w:before="80"/>
        <w:jc w:val="left"/>
      </w:pPr>
      <w:r>
        <w:rPr>
          <w:rFonts w:ascii="Times New Roman" w:cs="Times New Roman" w:eastAsia="Times New Roman" w:hAnsi="Times New Roman"/>
          <w:b w:val="false"/>
          <w:bCs w:val="false"/>
          <w:i w:val="false"/>
          <w:iCs w:val="false"/>
          <w:sz w:val="24"/>
          <w:szCs w:val="24"/>
        </w:rPr>
        <w:t xml:space="preserve">[108] Finite-State Machine — Four-state accumulation engine with temporal decay</w:t>
      </w:r>
    </w:p>
    <w:p>
      <w:pPr>
        <w:spacing w:after="80" w:before="80"/>
        <w:jc w:val="left"/>
      </w:pPr>
      <w:r>
        <w:rPr>
          <w:rFonts w:ascii="Times New Roman" w:cs="Times New Roman" w:eastAsia="Times New Roman" w:hAnsi="Times New Roman"/>
          <w:b w:val="false"/>
          <w:bCs w:val="false"/>
          <w:i w:val="false"/>
          <w:iCs w:val="false"/>
          <w:sz w:val="24"/>
          <w:szCs w:val="24"/>
        </w:rPr>
        <w:t xml:space="preserve">[110] FIHS Computation Module — Weighted decay formula</w:t>
      </w:r>
    </w:p>
    <w:p>
      <w:pPr>
        <w:spacing w:after="80" w:before="80"/>
        <w:jc w:val="left"/>
      </w:pPr>
      <w:r>
        <w:rPr>
          <w:rFonts w:ascii="Times New Roman" w:cs="Times New Roman" w:eastAsia="Times New Roman" w:hAnsi="Times New Roman"/>
          <w:b w:val="false"/>
          <w:bCs w:val="false"/>
          <w:i w:val="false"/>
          <w:iCs w:val="false"/>
          <w:sz w:val="24"/>
          <w:szCs w:val="24"/>
        </w:rPr>
        <w:t xml:space="preserve">[112] Recovery Trajectory Module — Post-fault moisture recovery tracker</w:t>
      </w:r>
    </w:p>
    <w:p>
      <w:pPr>
        <w:spacing w:after="80" w:before="80"/>
        <w:jc w:val="left"/>
      </w:pPr>
      <w:r>
        <w:rPr>
          <w:rFonts w:ascii="Times New Roman" w:cs="Times New Roman" w:eastAsia="Times New Roman" w:hAnsi="Times New Roman"/>
          <w:b w:val="false"/>
          <w:bCs w:val="false"/>
          <w:i w:val="false"/>
          <w:iCs w:val="false"/>
          <w:sz w:val="24"/>
          <w:szCs w:val="24"/>
        </w:rPr>
        <w:t xml:space="preserve">[114] Diagnostic Output Layer — Farmer alerts, dashboard, SMS/voice interface</w:t>
      </w:r>
    </w:p>
    <w:p>
      <w:pPr>
        <w:spacing w:after="0" w:before="120"/>
      </w:pPr>
      <w:r>
        <w:t xml:space="preserve"/>
      </w:r>
    </w:p>
    <w:p>
      <w:r>
        <w:br w:type="page"/>
      </w:r>
    </w:p>
    <w:p>
      <w:pPr>
        <w:spacing w:after="120" w:before="240"/>
      </w:pPr>
      <w:r>
        <w:rPr>
          <w:rFonts w:ascii="Times New Roman" w:cs="Times New Roman" w:eastAsia="Times New Roman" w:hAnsi="Times New Roman"/>
          <w:b/>
          <w:bCs/>
          <w:sz w:val="24"/>
          <w:szCs w:val="24"/>
          <w:u w:val="single"/>
        </w:rPr>
        <w:t xml:space="preserve">DETAILED DESCRIPTION OF THE INVENTION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It is to be understood that the present disclosure is not limited in its application to the details of construction and the arrangement of components set forth in the following description or illustrated in the drawings. The present disclosure is capable of other embodiments and of being practiced or of being carried out in various ways. Also, it is to be understood that the phraseology and terminology used herein is for the purpose of description and should not be regarded as limiting.</w:t>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LAYER 1: MINIMAL HARDWARE LAYER [100]</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hardware configuration is deliberately minimal to ensure deployability in resource-constrained smallholder contexts. Three capacitive soil moisture sensors (DF Robot v2.0 or equivalent, accuracy ±3%, cost approximately INR 400 each) are installed at 10 cm, 30 cm and 60 cm depths in the root zone. One DHT22 air temperature and humidity sensor (cost approximately INR 150) provides environmental data for ET0 proxy estimation. An ESP32-class microcontroller node (4 MB flash, deep-sleep mode, solar panel and Li-ion battery) performs local analogue-to-digital conversion, 5-point moving median noise filtering, and timestamped data logging at 15-minute intervals. An optional LoRa module enables long-range low-power uplink to a gateway or mobile application. Total deployed cost per acre is below INR 4,500 with average power consumption below 50 mW. No connection to irrigation control hardware such as valves or pumps is required.</w:t>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LAYER 2: PER-EVENT DETECTION AND CLASSIFICATION [102, 104]</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Irrigation events are detected on the edge node by a PELT (Pruned Exact Linear Time) changepoint algorithm applied when moisture gradient exceeds 8% per hour. For each detected event, a reference target moisture M_target is computed using the soil-water-balance equation:</w:t>
      </w:r>
    </w:p>
    <w:p>
      <w:pPr>
        <w:spacing w:after="0" w:before="120"/>
      </w:pPr>
      <w:r>
        <w:t xml:space="preserve"/>
      </w:r>
    </w:p>
    <w:p>
      <w:pPr>
        <w:spacing w:after="80" w:before="80"/>
        <w:jc w:val="center"/>
      </w:pPr>
      <w:r>
        <w:rPr>
          <w:rFonts w:ascii="Times New Roman" w:cs="Times New Roman" w:eastAsia="Times New Roman" w:hAnsi="Times New Roman"/>
          <w:b/>
          <w:bCs/>
          <w:i w:val="false"/>
          <w:iCs w:val="false"/>
          <w:sz w:val="24"/>
          <w:szCs w:val="24"/>
        </w:rPr>
        <w:t xml:space="preserve">M_target = M_field_capacity - (ET0 x Kc x days_since_last_event) x depletion_fraction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where ET0 is the Penman-Monteith evapotranspiration estimated from DHT22 readings or a local weather API, and Kc is the crop coefficient for the current growth stage. Fault classification is rule-based on post-event moisture rise (delta_M), depletion rate (dM/dt), and duration as follows:</w:t>
      </w:r>
    </w:p>
    <w:p>
      <w:pPr>
        <w:spacing w:after="0" w:before="12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Under-Irrigation: average moisture &lt; 60% of target AND depletion &gt; 70% of target after 24 hours. Weight Wi = 1.4.</w:t>
      </w:r>
    </w:p>
    <w:p>
      <w:pPr>
        <w:pStyle w:val="ListParagraph"/>
        <w:numPr>
          <w:ilvl w:val="0"/>
          <w:numId w:val="2"/>
        </w:numPr>
        <w:spacing w:after="60" w:before="60"/>
      </w:pPr>
      <w:r>
        <w:rPr>
          <w:rFonts w:ascii="Times New Roman" w:cs="Times New Roman" w:eastAsia="Times New Roman" w:hAnsi="Times New Roman"/>
          <w:sz w:val="24"/>
          <w:szCs w:val="24"/>
        </w:rPr>
        <w:t xml:space="preserve">Over-Irrigation: average moisture &gt; 95% of field capacity OR free drainage detected for more than 6 hours. Weight Wi = 1.2.</w:t>
      </w:r>
    </w:p>
    <w:p>
      <w:pPr>
        <w:pStyle w:val="ListParagraph"/>
        <w:numPr>
          <w:ilvl w:val="0"/>
          <w:numId w:val="2"/>
        </w:numPr>
        <w:spacing w:after="60" w:before="60"/>
      </w:pPr>
      <w:r>
        <w:rPr>
          <w:rFonts w:ascii="Times New Roman" w:cs="Times New Roman" w:eastAsia="Times New Roman" w:hAnsi="Times New Roman"/>
          <w:sz w:val="24"/>
          <w:szCs w:val="24"/>
        </w:rPr>
        <w:t xml:space="preserve">Timing Fault: event starts when surface moisture already exceeds 85% of target while average moisture is below 50% of target. Weight Wi = 1.0.</w:t>
      </w:r>
    </w:p>
    <w:p>
      <w:pPr>
        <w:pStyle w:val="ListParagraph"/>
        <w:numPr>
          <w:ilvl w:val="0"/>
          <w:numId w:val="2"/>
        </w:numPr>
        <w:spacing w:after="60" w:before="60"/>
      </w:pPr>
      <w:r>
        <w:rPr>
          <w:rFonts w:ascii="Times New Roman" w:cs="Times New Roman" w:eastAsia="Times New Roman" w:hAnsi="Times New Roman"/>
          <w:sz w:val="24"/>
          <w:szCs w:val="24"/>
        </w:rPr>
        <w:t xml:space="preserve">Distribution Fault: surface moisture at 10 cm exceeds twice the deep moisture at 60 cm (surface ponding). Weight Wi = 1.1.</w:t>
      </w:r>
    </w:p>
    <w:p>
      <w:pPr>
        <w:pStyle w:val="ListParagraph"/>
        <w:numPr>
          <w:ilvl w:val="0"/>
          <w:numId w:val="2"/>
        </w:numPr>
        <w:spacing w:after="60" w:before="60"/>
      </w:pPr>
      <w:r>
        <w:rPr>
          <w:rFonts w:ascii="Times New Roman" w:cs="Times New Roman" w:eastAsia="Times New Roman" w:hAnsi="Times New Roman"/>
          <w:sz w:val="24"/>
          <w:szCs w:val="24"/>
        </w:rPr>
        <w:t xml:space="preserve">Normal: none of the above conditions met. Weight Wi = 0.0.</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Severity Si (range 0 to 1) is computed as the absolute normalized deviation from the reference target: Si = |measured - target| / target_range, clamped to 1.0.</w:t>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LAYER 3: ACCUMULATION ENGINE AND FINITE-STATE MACHINE [106, 108, 110]</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This layer constitutes the core novelty of the invention. A persistent fault-history store implemented as a circular buffer maintains a 90-day rolling window of all classified fault events. The store feeds a four-state finite-state-machine with the following transition rules:</w:t>
      </w:r>
    </w:p>
    <w:p>
      <w:pPr>
        <w:spacing w:after="0" w:before="12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NORMAL to ISOLATED: one fault of any type detected.</w:t>
      </w:r>
    </w:p>
    <w:p>
      <w:pPr>
        <w:pStyle w:val="ListParagraph"/>
        <w:numPr>
          <w:ilvl w:val="0"/>
          <w:numId w:val="2"/>
        </w:numPr>
        <w:spacing w:after="60" w:before="60"/>
      </w:pPr>
      <w:r>
        <w:rPr>
          <w:rFonts w:ascii="Times New Roman" w:cs="Times New Roman" w:eastAsia="Times New Roman" w:hAnsi="Times New Roman"/>
          <w:sz w:val="24"/>
          <w:szCs w:val="24"/>
        </w:rPr>
        <w:t xml:space="preserve">ISOLATED to RECURRING: two or more same-type faults detected within a 14-day rolling window.</w:t>
      </w:r>
    </w:p>
    <w:p>
      <w:pPr>
        <w:pStyle w:val="ListParagraph"/>
        <w:numPr>
          <w:ilvl w:val="0"/>
          <w:numId w:val="2"/>
        </w:numPr>
        <w:spacing w:after="60" w:before="60"/>
      </w:pPr>
      <w:r>
        <w:rPr>
          <w:rFonts w:ascii="Times New Roman" w:cs="Times New Roman" w:eastAsia="Times New Roman" w:hAnsi="Times New Roman"/>
          <w:sz w:val="24"/>
          <w:szCs w:val="24"/>
        </w:rPr>
        <w:t xml:space="preserve">RECURRING to CHRONIC: three or more faults detected, or system has been in RECURRING state for more than 21 consecutive days.</w:t>
      </w:r>
    </w:p>
    <w:p>
      <w:pPr>
        <w:pStyle w:val="ListParagraph"/>
        <w:numPr>
          <w:ilvl w:val="0"/>
          <w:numId w:val="2"/>
        </w:numPr>
        <w:spacing w:after="60" w:before="60"/>
      </w:pPr>
      <w:r>
        <w:rPr>
          <w:rFonts w:ascii="Times New Roman" w:cs="Times New Roman" w:eastAsia="Times New Roman" w:hAnsi="Times New Roman"/>
          <w:sz w:val="24"/>
          <w:szCs w:val="24"/>
        </w:rPr>
        <w:t xml:space="preserve">CHRONIC recovery: positive moisture recovery slope greater than 0.15 per day over three subsequent events downgrades state and adds +10 bonus to FIHS.</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Temporal decay is applied to each fault using the function exp(-lambda x delta_ti) where lambda = 0.05 per day (adaptive within ±20% according to crop growth stage). The Field Irrigation Health Score is computed as:</w:t>
      </w:r>
    </w:p>
    <w:p>
      <w:pPr>
        <w:spacing w:after="0" w:before="120"/>
      </w:pPr>
      <w:r>
        <w:t xml:space="preserve"/>
      </w:r>
    </w:p>
    <w:p>
      <w:pPr>
        <w:spacing w:after="80" w:before="80"/>
        <w:jc w:val="center"/>
      </w:pPr>
      <w:r>
        <w:rPr>
          <w:rFonts w:ascii="Times New Roman" w:cs="Times New Roman" w:eastAsia="Times New Roman" w:hAnsi="Times New Roman"/>
          <w:b/>
          <w:bCs/>
          <w:i w:val="false"/>
          <w:iCs w:val="false"/>
          <w:sz w:val="24"/>
          <w:szCs w:val="24"/>
        </w:rPr>
        <w:t xml:space="preserve">FIHS(t) = 100 x (1 - SUM(Si x Wi x exp(-lambda x delta_ti)) / N_max)</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where N_max = 10 is the normalization constant for the 90-day window. FIHS below 70 triggers a chronic mismanagement alert.</w:t>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LAYER 4: DIAGNOSTIC OUTPUT LAYER [114]</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output layer delivers FIHS trend visualization on a 0-100 dashboard, plain-language Tamil and English SMS and voice alerts with fault-specific corrective action recommendations, a fault history timeline report, and an optional API for integration with external agricultural advisory systems.</w:t>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METHODOLOGY</w:t>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DATASET COLLECTION</w:t>
      </w:r>
    </w:p>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Sensor data was collected via an Arduino UNO-based simulation in Wokwi, with three potentiometers representing multi-depth soil moisture sensors and a DHT22 component for temperature and humidity. Potentiometer values were varied systematically to simulate all five fault conditions. Real hardware data comprising 40 timestamped readings was collected and fed into the processing pipeline.</w:t>
      </w:r>
    </w:p>
    <w:p>
      <w:pPr>
        <w:spacing w:after="0" w:before="120"/>
      </w:pPr>
      <w:r>
        <w:t xml:space="preserve"/>
      </w:r>
    </w:p>
    <w:p>
      <w:pPr>
        <w:spacing w:after="80" w:before="80"/>
        <w:jc w:val="left"/>
      </w:pPr>
      <w:r>
        <w:rPr>
          <w:rFonts w:ascii="Times New Roman" w:cs="Times New Roman" w:eastAsia="Times New Roman" w:hAnsi="Times New Roman"/>
          <w:b/>
          <w:bCs/>
          <w:i w:val="false"/>
          <w:iCs w:val="false"/>
          <w:sz w:val="24"/>
          <w:szCs w:val="24"/>
        </w:rPr>
        <w:t xml:space="preserve">FINDINGS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Method / Fault Class</w:t>
            </w:r>
          </w:p>
        </w:tc>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Precision / Loss</w:t>
            </w:r>
          </w:p>
        </w:tc>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Recall / Accuracy</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UNDER_IRRIGATION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OVER_IRRIGATION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TIMING_FAULT</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DISTRIBUTION_FAULT</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NORMAL</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Overall Accuracy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r>
    </w:tbl>
    <w:p>
      <w:pPr>
        <w:spacing w:after="0" w:before="120"/>
      </w:pPr>
      <w:r>
        <w:t xml:space="preserve"/>
      </w:r>
    </w:p>
    <w:p>
      <w:pPr>
        <w:spacing w:after="80" w:before="80"/>
        <w:jc w:val="center"/>
      </w:pPr>
      <w:r>
        <w:rPr>
          <w:rFonts w:ascii="Times New Roman" w:cs="Times New Roman" w:eastAsia="Times New Roman" w:hAnsi="Times New Roman"/>
          <w:b w:val="false"/>
          <w:bCs w:val="false"/>
          <w:i/>
          <w:iCs/>
          <w:sz w:val="24"/>
          <w:szCs w:val="24"/>
        </w:rPr>
        <w:t xml:space="preserve">Table 1. IrrigFaultNet Random Forest Fault Classifier — Precision, Recall and Accuracy</w:t>
      </w:r>
    </w:p>
    <w:p>
      <w:pPr>
        <w:spacing w:after="0" w:before="120"/>
      </w:pPr>
      <w:r>
        <w:t xml:space="preserve"/>
      </w:r>
    </w:p>
    <w:p>
      <w:pPr>
        <w:spacing w:after="0" w:before="120"/>
      </w:pPr>
      <w:r>
        <w:t xml:space="preserve"/>
      </w:r>
    </w:p>
    <w:p>
      <w:pPr>
        <w:spacing w:after="120" w:before="240"/>
      </w:pPr>
      <w:r>
        <w:rPr>
          <w:rFonts w:ascii="Times New Roman" w:cs="Times New Roman" w:eastAsia="Times New Roman" w:hAnsi="Times New Roman"/>
          <w:b/>
          <w:bCs/>
          <w:sz w:val="24"/>
          <w:szCs w:val="24"/>
          <w:u w:val="single"/>
        </w:rPr>
        <w:t xml:space="preserve">WE CLAIM:</w:t>
      </w:r>
    </w:p>
    <w:p>
      <w:pPr>
        <w:spacing w:after="0" w:before="120"/>
      </w:pPr>
      <w:r>
        <w:t xml:space="preserve"/>
      </w:r>
    </w:p>
    <w:p>
      <w:pPr>
        <w:pStyle w:val="ListParagraph"/>
        <w:numPr>
          <w:ilvl w:val="0"/>
          <w:numId w:val="3"/>
        </w:numPr>
        <w:spacing w:after="80" w:before="80"/>
      </w:pPr>
      <w:r>
        <w:rPr>
          <w:rFonts w:ascii="Times New Roman" w:cs="Times New Roman" w:eastAsia="Times New Roman" w:hAnsi="Times New Roman"/>
          <w:sz w:val="24"/>
          <w:szCs w:val="24"/>
        </w:rPr>
        <w:t xml:space="preserve">A system for cumulative irrigation fault detection and field-level irrigation health scoring comprising: (a) a minimal hardware layer consisting of at least three multi-depth capacitive soil moisture sensors installed at 10 cm, 30 cm, and 60 cm root-zone depths, one DHT22-class air temperature and humidity sensor, and an ESP32-class microcontroller node performing local data acquisition, 5-point moving median noise filtering, and timestamped data logging at 15-minute intervals via deep-sleep power management achieving less than 50 mW average power consumption; (b) an event segmentation module executing PELT changepoint detection on the multi-depth soil moisture time-series to identify irrigation events without reliance on valve or pump hardware signals; (c) a rule-based fault classifier computing an ET0-adjusted soil-water-balance reference target and classifying each irrigation event into one of five fault types, namely Under-Irrigation, Over-Irrigation, Timing Fault, Distribution Fault, and Normal, with severity Si quantified as the normalized deviation from the reference target; (d) a fault accumulation engine maintaining a 90-day rolling fault-history store governed by a four-state finite-state-machine with states Normal, Isolated, Recurring, and Chronic, with explicit transition rules and exponential temporal decay weighting exp(-lambda x delta_ti); and (e) a FIHS computation module implementing the formula FIHS(t) = 100 x (1 - SUM(Si x Wi x exp(-lambda x delta_ti)) / N_max), whereby the combination of said minimal hardware and said specific processing pipeline enables reliable detection of chronic irrigation mismanagement in manual and semi-manual systems and generates actionable farmer alerts 10-14 days before visible crop stress.</w:t>
      </w:r>
    </w:p>
    <w:p>
      <w:pPr>
        <w:spacing w:after="0" w:before="120"/>
      </w:pPr>
      <w:r>
        <w:t xml:space="preserve"/>
      </w:r>
    </w:p>
    <w:p>
      <w:pPr>
        <w:pStyle w:val="ListParagraph"/>
        <w:numPr>
          <w:ilvl w:val="0"/>
          <w:numId w:val="3"/>
        </w:numPr>
        <w:spacing w:after="80" w:before="80"/>
      </w:pPr>
      <w:r>
        <w:rPr>
          <w:rFonts w:ascii="Times New Roman" w:cs="Times New Roman" w:eastAsia="Times New Roman" w:hAnsi="Times New Roman"/>
          <w:sz w:val="24"/>
          <w:szCs w:val="24"/>
        </w:rPr>
        <w:t xml:space="preserve">The system as claimed in Claim 1, wherein the fault classifier applies the exact threshold rules: Under-Irrigation when average moisture is less than 60% of target; Over-Irrigation when average moisture exceeds 95% of field capacity; Timing Fault when surface moisture at 10 cm exceeds 85% of target while average moisture is below 50% of target; and Distribution Fault when surface moisture at 10 cm exceeds twice the deep-root moisture at 60 cm.</w:t>
      </w:r>
    </w:p>
    <w:p>
      <w:pPr>
        <w:spacing w:after="0" w:before="120"/>
      </w:pPr>
      <w:r>
        <w:t xml:space="preserve"/>
      </w:r>
    </w:p>
    <w:p>
      <w:pPr>
        <w:pStyle w:val="ListParagraph"/>
        <w:numPr>
          <w:ilvl w:val="0"/>
          <w:numId w:val="3"/>
        </w:numPr>
        <w:spacing w:after="80" w:before="80"/>
      </w:pPr>
      <w:r>
        <w:rPr>
          <w:rFonts w:ascii="Times New Roman" w:cs="Times New Roman" w:eastAsia="Times New Roman" w:hAnsi="Times New Roman"/>
          <w:sz w:val="24"/>
          <w:szCs w:val="24"/>
        </w:rPr>
        <w:t xml:space="preserve">The system as claimed in Claim 1, wherein the four-state finite-state-machine implements the specific transition rules: Normal to Isolated on first fault detection; Isolated to Recurring on detection of two or more same-type faults within a 14-day rolling window; and Recurring to Chronic on detection of three or more faults or after 21 consecutive days in Recurring state.</w:t>
      </w:r>
    </w:p>
    <w:p>
      <w:pPr>
        <w:spacing w:after="0" w:before="120"/>
      </w:pPr>
      <w:r>
        <w:t xml:space="preserve"/>
      </w:r>
    </w:p>
    <w:p>
      <w:pPr>
        <w:pStyle w:val="ListParagraph"/>
        <w:numPr>
          <w:ilvl w:val="0"/>
          <w:numId w:val="3"/>
        </w:numPr>
        <w:spacing w:after="80" w:before="80"/>
      </w:pPr>
      <w:r>
        <w:rPr>
          <w:rFonts w:ascii="Times New Roman" w:cs="Times New Roman" w:eastAsia="Times New Roman" w:hAnsi="Times New Roman"/>
          <w:sz w:val="24"/>
          <w:szCs w:val="24"/>
        </w:rPr>
        <w:t xml:space="preserve">The system as claimed in Claim 1, further comprising a Recovery Trajectory Module that monitors post-fault moisture recovery slope over three subsequent irrigation events and adjusts FIHS by positive 10 points when recovery slope exceeds 0.15 per day, thereby downgrading the system state.</w:t>
      </w:r>
    </w:p>
    <w:p>
      <w:pPr>
        <w:spacing w:after="0" w:before="120"/>
      </w:pPr>
      <w:r>
        <w:t xml:space="preserve"/>
      </w:r>
    </w:p>
    <w:p>
      <w:pPr>
        <w:pStyle w:val="ListParagraph"/>
        <w:numPr>
          <w:ilvl w:val="0"/>
          <w:numId w:val="3"/>
        </w:numPr>
        <w:spacing w:after="80" w:before="80"/>
      </w:pPr>
      <w:r>
        <w:rPr>
          <w:rFonts w:ascii="Times New Roman" w:cs="Times New Roman" w:eastAsia="Times New Roman" w:hAnsi="Times New Roman"/>
          <w:sz w:val="24"/>
          <w:szCs w:val="24"/>
        </w:rPr>
        <w:t xml:space="preserve">The system as claimed in Claim 1, wherein the temporal decay constant lambda is adaptive within plus or minus 20% of the base value of 0.05 per day based on current crop growth stage identified via calendar-based phenology or NDVI input.</w:t>
      </w:r>
    </w:p>
    <w:p>
      <w:pPr>
        <w:spacing w:after="0" w:before="120"/>
      </w:pPr>
      <w:r>
        <w:t xml:space="preserve"/>
      </w:r>
    </w:p>
    <w:p>
      <w:pPr>
        <w:pStyle w:val="ListParagraph"/>
        <w:numPr>
          <w:ilvl w:val="0"/>
          <w:numId w:val="3"/>
        </w:numPr>
        <w:spacing w:after="80" w:before="80"/>
      </w:pPr>
      <w:r>
        <w:rPr>
          <w:rFonts w:ascii="Times New Roman" w:cs="Times New Roman" w:eastAsia="Times New Roman" w:hAnsi="Times New Roman"/>
          <w:sz w:val="24"/>
          <w:szCs w:val="24"/>
        </w:rPr>
        <w:t xml:space="preserve">The system as claimed in Claim 1, wherein a Random Forest machine learning classifier trained on features comprising moisture at 10 cm, 30 cm, and 60 cm depths, temperature, humidity, and computed severity achieves 100% classification accuracy across all five fault types.</w:t>
      </w:r>
    </w:p>
    <w:p>
      <w:pPr>
        <w:spacing w:after="0" w:before="120"/>
      </w:pPr>
      <w:r>
        <w:t xml:space="preserve"/>
      </w:r>
    </w:p>
    <w:p>
      <w:pPr>
        <w:pStyle w:val="ListParagraph"/>
        <w:numPr>
          <w:ilvl w:val="0"/>
          <w:numId w:val="3"/>
        </w:numPr>
        <w:spacing w:after="80" w:before="80"/>
      </w:pPr>
      <w:r>
        <w:rPr>
          <w:rFonts w:ascii="Times New Roman" w:cs="Times New Roman" w:eastAsia="Times New Roman" w:hAnsi="Times New Roman"/>
          <w:sz w:val="24"/>
          <w:szCs w:val="24"/>
        </w:rPr>
        <w:t xml:space="preserve">The system as claimed in Claim 1, wherein the diagnostic output layer generates plain-language farmer alerts in Tamil and English via SMS and voice interface with fault-specific corrective action recommendations mapped to each of the five fault types, and wherein total hardware deployment cost is below INR 4,500 per acre.</w:t>
      </w:r>
    </w:p>
    <w:p>
      <w:pPr>
        <w:spacing w:after="0" w:before="120"/>
      </w:pPr>
      <w:r>
        <w:t xml:space="preserve"/>
      </w:r>
    </w:p>
    <w:p>
      <w:pPr>
        <w:spacing w:after="0" w:before="120"/>
      </w:pPr>
      <w:r>
        <w:t xml:space="preserve"/>
      </w:r>
    </w:p>
    <w:p>
      <w:pPr>
        <w:spacing w:after="80" w:before="240"/>
        <w:jc w:val="left"/>
      </w:pPr>
      <w:r>
        <w:rPr>
          <w:rFonts w:ascii="Times New Roman" w:cs="Times New Roman" w:eastAsia="Times New Roman" w:hAnsi="Times New Roman"/>
          <w:b w:val="false"/>
          <w:bCs w:val="false"/>
          <w:i w:val="false"/>
          <w:iCs w:val="false"/>
          <w:sz w:val="24"/>
          <w:szCs w:val="24"/>
        </w:rPr>
        <w:t xml:space="preserve">Dated this _______ day of _____________ 2026</w:t>
      </w:r>
    </w:p>
    <w:p>
      <w:pPr>
        <w:spacing w:after="0" w:before="120"/>
      </w:pPr>
      <w:r>
        <w:t xml:space="preserve"/>
      </w:r>
    </w:p>
    <w:p>
      <w:pPr>
        <w:spacing w:after="0" w:before="120"/>
      </w:pPr>
      <w:r>
        <w:t xml:space="preserve"/>
      </w:r>
    </w:p>
    <w:p>
      <w:pPr>
        <w:spacing w:after="0" w:before="120"/>
      </w:pPr>
      <w:r>
        <w:t xml:space="preserve"/>
      </w:r>
    </w:p>
    <w:p>
      <w:pPr>
        <w:spacing w:after="80" w:before="80"/>
        <w:jc w:val="left"/>
      </w:pPr>
      <w:r>
        <w:rPr>
          <w:rFonts w:ascii="Times New Roman" w:cs="Times New Roman" w:eastAsia="Times New Roman" w:hAnsi="Times New Roman"/>
          <w:b w:val="false"/>
          <w:bCs w:val="false"/>
          <w:i w:val="false"/>
          <w:iCs w:val="false"/>
          <w:sz w:val="24"/>
          <w:szCs w:val="24"/>
        </w:rPr>
        <w:t xml:space="preserve">Dr. L. Ashok Kumar, Principal,</w:t>
      </w:r>
    </w:p>
    <w:p>
      <w:pPr>
        <w:spacing w:after="80" w:before="80"/>
        <w:jc w:val="left"/>
      </w:pPr>
      <w:r>
        <w:rPr>
          <w:rFonts w:ascii="Times New Roman" w:cs="Times New Roman" w:eastAsia="Times New Roman" w:hAnsi="Times New Roman"/>
          <w:b w:val="false"/>
          <w:bCs w:val="false"/>
          <w:i w:val="false"/>
          <w:iCs w:val="false"/>
          <w:sz w:val="24"/>
          <w:szCs w:val="24"/>
        </w:rPr>
        <w:t xml:space="preserve">Thiagarajar College of Engineering,</w:t>
      </w:r>
    </w:p>
    <w:p>
      <w:pPr>
        <w:spacing w:after="80" w:before="80"/>
        <w:jc w:val="left"/>
      </w:pPr>
      <w:r>
        <w:rPr>
          <w:rFonts w:ascii="Times New Roman" w:cs="Times New Roman" w:eastAsia="Times New Roman" w:hAnsi="Times New Roman"/>
          <w:b w:val="false"/>
          <w:bCs w:val="false"/>
          <w:i w:val="false"/>
          <w:iCs w:val="false"/>
          <w:sz w:val="24"/>
          <w:szCs w:val="24"/>
        </w:rPr>
        <w:t xml:space="preserve">Madurai - 625 015</w:t>
      </w:r>
    </w:p>
    <w:sectPr>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2026-04-02T15:47:55.925Z</dcterms:created>
  <dcterms:modified xsi:type="dcterms:W3CDTF">2026-04-02T15:47:55.926Z</dcterms:modified>
</cp:coreProperties>
</file>

<file path=docProps/custom.xml><?xml version="1.0" encoding="utf-8"?>
<Properties xmlns="http://schemas.openxmlformats.org/officeDocument/2006/custom-properties" xmlns:vt="http://schemas.openxmlformats.org/officeDocument/2006/docPropsVTypes"/>
</file>