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line="800" w:lineRule="atLeast"/>
        <w:jc w:val="center"/>
      </w:pPr>
      <w:r>
        <w:rPr>
          <w:rFonts w:ascii="Times New Roman" w:eastAsia="SimHei"/>
          <w:b/>
          <w:bCs/>
          <w:color w:val="0E2030"/>
          <w:sz w:val="72"/>
          <w:szCs w:val="72"/>
        </w:rPr>
        <w:t xml:space="preserve">DENIAL DOCTOR</w:t>
      </w:r>
    </w:p>
    <w:p>
      <w:pPr>
        <w:spacing w:after="400" w:line="560" w:lineRule="atLeast"/>
        <w:jc w:val="center"/>
      </w:pPr>
      <w:r>
        <w:rPr>
          <w:rFonts w:ascii="Times New Roman" w:eastAsia="Microsoft YaHei"/>
          <w:color w:val="3888A8"/>
          <w:sz w:val="32"/>
          <w:szCs w:val="32"/>
        </w:rPr>
        <w:t xml:space="preserve">AI-Powered Denial Management Platform</w:t>
      </w:r>
    </w:p>
    <w:p>
      <w:pPr>
        <w:spacing w:after="1200"/>
        <w:jc w:val="center"/>
      </w:pPr>
      <w:r>
        <w:rPr>
          <w:rFonts w:ascii="Times New Roman" w:eastAsia="Microsoft YaHei"/>
          <w:color w:val="4A6580"/>
          <w:sz w:val="26"/>
          <w:szCs w:val="26"/>
        </w:rPr>
        <w:t xml:space="preserve">Complete Scope &amp; Build Information</w:t>
      </w:r>
    </w:p>
    <w:p>
      <w:pPr>
        <w:spacing w:after="200"/>
        <w:jc w:val="center"/>
      </w:pPr>
      <w:r>
        <w:rPr>
          <w:rFonts w:ascii="Times New Roman" w:eastAsia="Microsoft YaHei"/>
          <w:color w:val="4A6580"/>
          <w:sz w:val="20"/>
          <w:szCs w:val="20"/>
        </w:rPr>
        <w:t xml:space="preserve">Version 2.0  |  May 2026  |  16 AI Agents  |  FHIR R4  |  Da Vinci PAS  |  X12 EDI</w:t>
      </w:r>
    </w:p>
    <w:p>
      <w:pPr>
        <w:spacing w:after="200" w:before="200"/>
      </w:pPr>
    </w:p>
    <w:p>
      <w:pPr>
        <w:jc w:val="center"/>
      </w:pPr>
      <w:r>
        <w:rPr>
          <w:rFonts w:ascii="Times New Roman" w:eastAsia="SimHei"/>
          <w:b/>
          <w:bCs/>
          <w:color w:val="3888A8"/>
          <w:sz w:val="20"/>
          <w:szCs w:val="20"/>
        </w:rPr>
        <w:t xml:space="preserve">CONFIDENTIAL</w:t>
      </w:r>
    </w:p>
    <w:p>
      <w:pPr>
        <w:sectPr>
          <w:pgSz w:w="11906" w:h="16838" w:orient="portrait"/>
          <w:pgMar w:top="0" w:right="0" w:bottom="0" w:left="0" w:header="708" w:footer="708" w:gutter="0"/>
          <w:pgNumType/>
          <w:docGrid w:linePitch="360"/>
        </w:sectPr>
      </w:pPr>
    </w:p>
    <w:p>
      <w:pPr>
        <w:pStyle w:val="Heading1"/>
        <w:spacing w:after="200" w:before="360" w:line="312"/>
      </w:pPr>
      <w:r>
        <w:rPr>
          <w:rFonts w:ascii="Times New Roman" w:eastAsia="SimHei"/>
          <w:b/>
          <w:bCs/>
          <w:color w:val="0E2030"/>
          <w:sz w:val="32"/>
          <w:szCs w:val="32"/>
        </w:rPr>
        <w:t xml:space="preserve">1. Executive Summary</w:t>
      </w:r>
    </w:p>
    <w:p>
      <w:pPr>
        <w:spacing w:after="120" w:line="312"/>
      </w:pPr>
      <w:r>
        <w:rPr>
          <w:rFonts w:ascii="Times New Roman" w:eastAsia="Microsoft YaHei"/>
          <w:color w:val="1E2E40"/>
          <w:sz w:val="24"/>
          <w:szCs w:val="24"/>
        </w:rPr>
        <w:t xml:space="preserve">Denial Doctor is an enterprise-grade AI-powered Revenue Cycle Management (RCM) denial management platform that automates the entire denial lifecycle from claim upload through recovery. The system leverages a sophisticated multi-agent architecture with 16 specialized AI agents, each designed to handle a distinct aspect of the denial management workflow. Built on Next.js 16 with React 19, the platform provides real-time denial analysis, intelligent correction suggestions, automated appeal generation, and proactive claim prevention.</w:t>
      </w:r>
    </w:p>
    <w:p>
      <w:pPr>
        <w:spacing w:after="120" w:line="312"/>
      </w:pPr>
      <w:r>
        <w:rPr>
          <w:rFonts w:ascii="Times New Roman" w:eastAsia="Microsoft YaHei"/>
          <w:color w:val="1E2E40"/>
          <w:sz w:val="24"/>
          <w:szCs w:val="24"/>
        </w:rPr>
        <w:t xml:space="preserve">The platform operates across three distinct capability levels. Level 1 provides intelligent scanning and analysis of denied claims through CSV and ERA/835 file uploads, identifying root causes, categorizing denials, and generating actionable insights. Level 2 extends this with solution-oriented features including smart coding correction with NCCI edit pair validation, eligibility resolution, appeal management, AI-ranked worklists, and comprehensive financial tracking. Level 3, the most advanced tier, integrates directly with Electronic Health Record (EHR) systems via FHIR R4, submits prior authorizations through Da Vinci PAS, transmits claims through X12 EDI transactions, and connects to commercial clearinghouse APIs including Stedi, Availity, and pVerify for real-time eligibility verification and claim submission.</w:t>
      </w:r>
    </w:p>
    <w:p>
      <w:pPr>
        <w:spacing w:after="120" w:line="312"/>
      </w:pPr>
      <w:r>
        <w:rPr>
          <w:rFonts w:ascii="Times New Roman" w:eastAsia="Microsoft YaHei"/>
          <w:color w:val="1E2E40"/>
          <w:sz w:val="24"/>
          <w:szCs w:val="24"/>
        </w:rPr>
        <w:t xml:space="preserve">The system is designed to recover an estimated 90.7% of denied revenue, as demonstrated by the sample dataset of 18 denied claims totaling $82,560 in denied amounts with $74,825 identified as recoverable. With HIPAA-compliant architecture including PHI encryption, BAA framework management, and comprehensive audit trails, Denial Doctor is built for production healthcare deployment.</w:t>
      </w:r>
    </w:p>
    <w:p>
      <w:pPr>
        <w:pStyle w:val="Heading1"/>
        <w:spacing w:after="200" w:before="360" w:line="312"/>
      </w:pPr>
      <w:r>
        <w:rPr>
          <w:rFonts w:ascii="Times New Roman" w:eastAsia="SimHei"/>
          <w:b/>
          <w:bCs/>
          <w:color w:val="0E2030"/>
          <w:sz w:val="32"/>
          <w:szCs w:val="32"/>
        </w:rPr>
        <w:t xml:space="preserve">2. Technology Stack</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Category</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Technology</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Version / Details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Frontend Framework</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Next.js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16.1.1 with App Router</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UI Library</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React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19.0.0</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Language</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TypeScript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5.x</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Styling</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Tailwind CSS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4.x with custom theme</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UI Components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shadcn/ui + Radix UI</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50+ components</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State Management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Zustand</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5.0.6</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Database ORM</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Prisma</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6.11.1 (SQLite)</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AI Engine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Azure OpenAI</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GPT-5.5 with fallback logic</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Charts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Recharts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2.15.4</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Healthcare Standards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FHIR R4 / Da Vinci / X12</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Full HL7 compliance</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Authentication</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NextAuth.js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4.24.11 with RBAC</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HIPAA Compliance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Custom encryption + audit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AES-256, PHI guard</w:t>
            </w:r>
          </w:p>
        </w:tc>
      </w:tr>
    </w:tbl>
    <w:p>
      <w:pPr>
        <w:spacing w:after="200" w:before="200"/>
      </w:pPr>
    </w:p>
    <w:p>
      <w:pPr>
        <w:pStyle w:val="Heading1"/>
        <w:spacing w:after="200" w:before="360" w:line="312"/>
      </w:pPr>
      <w:r>
        <w:rPr>
          <w:rFonts w:ascii="Times New Roman" w:eastAsia="SimHei"/>
          <w:b/>
          <w:bCs/>
          <w:color w:val="0E2030"/>
          <w:sz w:val="32"/>
          <w:szCs w:val="32"/>
        </w:rPr>
        <w:t xml:space="preserve">3. AI Agent Architecture</w:t>
      </w:r>
    </w:p>
    <w:p>
      <w:pPr>
        <w:spacing w:after="120" w:line="312"/>
      </w:pPr>
      <w:r>
        <w:rPr>
          <w:rFonts w:ascii="Times New Roman" w:eastAsia="Microsoft YaHei"/>
          <w:color w:val="1E2E40"/>
          <w:sz w:val="24"/>
          <w:szCs w:val="24"/>
        </w:rPr>
        <w:t xml:space="preserve">Denial Doctor employs a multi-agent system where 16 specialized AI agents collaborate through a central orchestrator. Each agent extends a BaseAgent class providing persistent memory, inter-agent messaging, tool registry, and task management. The orchestrator routes tasks, manages workflow execution, handles retries and escalations, and ensures human-in-the-loop approval for high-risk actions.</w:t>
      </w:r>
    </w:p>
    <w:p>
      <w:pPr>
        <w:pStyle w:val="Heading2"/>
        <w:spacing w:after="160" w:before="280" w:line="312"/>
      </w:pPr>
      <w:r>
        <w:rPr>
          <w:rFonts w:ascii="Times New Roman" w:eastAsia="SimHei"/>
          <w:b/>
          <w:bCs/>
          <w:color w:val="0E2030"/>
          <w:sz w:val="28"/>
          <w:szCs w:val="28"/>
        </w:rPr>
        <w:t xml:space="preserve">3.1 Core Analysis Agents (3)</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Agent</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Purpose</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Key Capabilities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denial-analyzer</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Root cause identification and denial categorization</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CARC/RARC code analysis, category classification, correctability assessment, appeal recommendation with confidence scores</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correction-engine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Smart correction suggestions with coding validation</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NCCI edit pair checks, modifier validation, CPT-ICD crosswalk, resubmission instructions, estimated success rates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quality-checker</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Pre-resubmission validation of corrections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Pass/Fail/Warning results, coding change verification, compliance risk detection, blocking issue identification</w:t>
            </w:r>
          </w:p>
        </w:tc>
      </w:tr>
    </w:tbl>
    <w:p>
      <w:pPr>
        <w:spacing w:after="200" w:before="200"/>
      </w:pPr>
    </w:p>
    <w:p>
      <w:pPr>
        <w:pStyle w:val="Heading2"/>
        <w:spacing w:after="160" w:before="280" w:line="312"/>
      </w:pPr>
      <w:r>
        <w:rPr>
          <w:rFonts w:ascii="Times New Roman" w:eastAsia="SimHei"/>
          <w:b/>
          <w:bCs/>
          <w:color w:val="0E2030"/>
          <w:sz w:val="28"/>
          <w:szCs w:val="28"/>
        </w:rPr>
        <w:t xml:space="preserve">3.2 Strategic Intelligence Agents (9)</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Agent</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Purpose</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Key Capabilities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triage-router</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Routes denials to the right agent based on denial type</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Automatic task routing, priority assessment, workflow orchestration</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evidence-retrieval</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Gathers supporting documentation and policy references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LCD/NCD lookup, payer policy retrieval, clinical guideline search</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eligibility-cob</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Resolves eligibility and coordination of benefits issues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COB analysis, coverage gap detection, retroactive eligibility, patient responsibility assessment</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prior-authorization</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Manages prior authorization workflows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PA requirement checks, retroactive PA requests, PA status tracking</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medical-necessity</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Validates medical necessity for denied procedures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Diagnosis-procedure matching, LCD/NCD coverage validation, clinical justification generation</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timely-filing-watchdog</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Monitors and alerts on filing deadline risks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Deadline countdown, auto-escalation, per-payer deadline tracking</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appeal-strategist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Generates and manages appeal strategies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Appeal letter generation, strategy recommendation, level progression</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underpayment-detector</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Identifies underpaid claims vs contract rates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Fee schedule comparison, underpayment calculation, dispute workflow</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payer-behavior-learner</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Learns payer patterns to improve future success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Success rate tracking, trend analysis, strategy optimization, payer profiling</w:t>
            </w:r>
          </w:p>
        </w:tc>
      </w:tr>
    </w:tbl>
    <w:p>
      <w:pPr>
        <w:spacing w:after="200" w:before="200"/>
      </w:pPr>
    </w:p>
    <w:p>
      <w:pPr>
        <w:pStyle w:val="Heading2"/>
        <w:spacing w:after="160" w:before="280" w:line="312"/>
      </w:pPr>
      <w:r>
        <w:rPr>
          <w:rFonts w:ascii="Times New Roman" w:eastAsia="SimHei"/>
          <w:b/>
          <w:bCs/>
          <w:color w:val="0E2030"/>
          <w:sz w:val="28"/>
          <w:szCs w:val="28"/>
        </w:rPr>
        <w:t xml:space="preserve">3.3 Prevention &amp; Compliance Agents (3)</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Agent</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Purpose</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Key Capabilities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root-cause-prevention</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Prevents denials before they happen</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Prevention rule generation, alert triggers, real-time claim scrubbing</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human-in-the-loop</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Manages human approval for high-risk actions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Approval workflows, escalation management, expiration tracking</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compliance-audit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Ensures HIPAA and regulatory compliance</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PHI access logging, encryption verification, BAA management, compliance checks</w:t>
            </w:r>
          </w:p>
        </w:tc>
      </w:tr>
    </w:tbl>
    <w:p>
      <w:pPr>
        <w:spacing w:after="200" w:before="200"/>
      </w:pPr>
    </w:p>
    <w:p>
      <w:pPr>
        <w:pStyle w:val="Heading2"/>
        <w:spacing w:after="160" w:before="280" w:line="312"/>
      </w:pPr>
      <w:r>
        <w:rPr>
          <w:rFonts w:ascii="Times New Roman" w:eastAsia="SimHei"/>
          <w:b/>
          <w:bCs/>
          <w:color w:val="0E2030"/>
          <w:sz w:val="28"/>
          <w:szCs w:val="28"/>
        </w:rPr>
        <w:t xml:space="preserve">3.4 Level 3 EHR Integration Agent (1)</w:t>
      </w:r>
    </w:p>
    <w:p>
      <w:pPr>
        <w:spacing w:after="120" w:line="312"/>
      </w:pPr>
      <w:r>
        <w:rPr>
          <w:rFonts w:ascii="Times New Roman" w:eastAsia="Microsoft YaHei"/>
          <w:color w:val="1E2E40"/>
          <w:sz w:val="24"/>
          <w:szCs w:val="24"/>
        </w:rPr>
        <w:t xml:space="preserve">The EHR Integration Agent is the 16th agent and serves as the automated denial resolution engine through connected healthcare systems. It orchestrates FHIR R4 read/write operations, real-time eligibility verification via clearinghouses, corrected claim submission, prior authorization management through Da Vinci PAS or X12 278, denial auto-fix workflows, retroactive PA submission, COB verification, and EHR data synchronization. This agent is the key differentiator that enables Denial Doctor to move from analysis and recommendation to automated action.</w:t>
      </w:r>
    </w:p>
    <w:p>
      <w:pPr>
        <w:pStyle w:val="Heading1"/>
        <w:spacing w:after="200" w:before="360" w:line="312"/>
      </w:pPr>
      <w:r>
        <w:rPr>
          <w:rFonts w:ascii="Times New Roman" w:eastAsia="SimHei"/>
          <w:b/>
          <w:bCs/>
          <w:color w:val="0E2030"/>
          <w:sz w:val="32"/>
          <w:szCs w:val="32"/>
        </w:rPr>
        <w:t xml:space="preserve">4. Core Workflow</w:t>
      </w:r>
    </w:p>
    <w:p>
      <w:pPr>
        <w:spacing w:after="120" w:line="312"/>
      </w:pPr>
      <w:r>
        <w:rPr>
          <w:rFonts w:ascii="Times New Roman" w:eastAsia="Microsoft YaHei"/>
          <w:color w:val="1E2E40"/>
          <w:sz w:val="24"/>
          <w:szCs w:val="24"/>
        </w:rPr>
        <w:t xml:space="preserve">The denial lifecycle follows a structured pipeline from initial upload through final resolution. Each denial enters the system through CSV upload or ERA/835 file parsing, then progresses through AI-powered analysis, intelligent correction, quality validation, and resubmission. The orchestrator automatically routes each denial to the appropriate agent sequence based on the denial type, payer rules, and filing deadlines.</w:t>
      </w:r>
    </w:p>
    <w:p>
      <w:pPr>
        <w:spacing w:after="120" w:line="312"/>
      </w:pPr>
      <w:r>
        <w:rPr>
          <w:rFonts w:ascii="Times New Roman" w:eastAsia="Microsoft YaHei"/>
          <w:b/>
          <w:bCs/>
          <w:color w:val="1E2E40"/>
          <w:sz w:val="24"/>
          <w:szCs w:val="24"/>
        </w:rPr>
        <w:t xml:space="preserve">Denial Lifecycle:</w:t>
      </w:r>
    </w:p>
    <w:p>
      <w:pPr>
        <w:shd w:fill="F5F5F5" w:val="clear"/>
        <w:spacing w:after="120" w:line="276"/>
        <w:ind w:left="480"/>
      </w:pPr>
      <w:r>
        <w:rPr>
          <w:rFonts w:ascii="Courier New"/>
          <w:color w:val="333333"/>
          <w:sz w:val="20"/>
          <w:szCs w:val="20"/>
        </w:rPr>
        <w:t xml:space="preserve">Upload CSV/ERA &gt; AI Analysis &gt; Smart Correction &gt; Quality Check &gt; Resubmission &gt; Follow-up &gt; Payment/Close</w:t>
      </w:r>
    </w:p>
    <w:p>
      <w:pPr>
        <w:spacing w:after="120" w:line="312"/>
      </w:pPr>
      <w:r>
        <w:rPr>
          <w:rFonts w:ascii="Times New Roman" w:eastAsia="Microsoft YaHei"/>
          <w:b/>
          <w:bCs/>
          <w:color w:val="1E2E40"/>
          <w:sz w:val="24"/>
          <w:szCs w:val="24"/>
        </w:rPr>
        <w:t xml:space="preserve">Status Flow:</w:t>
      </w:r>
    </w:p>
    <w:p>
      <w:pPr>
        <w:shd w:fill="F5F5F5" w:val="clear"/>
        <w:spacing w:after="120" w:line="276"/>
        <w:ind w:left="480"/>
      </w:pPr>
      <w:r>
        <w:rPr>
          <w:rFonts w:ascii="Courier New"/>
          <w:color w:val="333333"/>
          <w:sz w:val="20"/>
          <w:szCs w:val="20"/>
        </w:rPr>
        <w:t xml:space="preserve">New &gt; Analyzed &gt; Corrected &gt; Reviewed &gt; Resubmitted &gt; Appealed &gt; Closed</w:t>
      </w:r>
    </w:p>
    <w:p>
      <w:pPr>
        <w:spacing w:after="120" w:line="312"/>
      </w:pPr>
      <w:r>
        <w:rPr>
          <w:rFonts w:ascii="Times New Roman" w:eastAsia="Microsoft YaHei"/>
          <w:color w:val="1E2E40"/>
          <w:sz w:val="24"/>
          <w:szCs w:val="24"/>
        </w:rPr>
        <w:t xml:space="preserve">The upload process accepts both standard CSV denial reports (16 required columns) and ANSI X12 835 electronic remittance advice files. The overview scan feature provides batch analysis with AI-generated executive reports including overall ratings, payer report cards, and improvement plans.</w:t>
      </w:r>
    </w:p>
    <w:p>
      <w:pPr>
        <w:pStyle w:val="Heading1"/>
        <w:spacing w:after="200" w:before="360" w:line="312"/>
      </w:pPr>
      <w:r>
        <w:rPr>
          <w:rFonts w:ascii="Times New Roman" w:eastAsia="SimHei"/>
          <w:b/>
          <w:bCs/>
          <w:color w:val="0E2030"/>
          <w:sz w:val="32"/>
          <w:szCs w:val="32"/>
        </w:rPr>
        <w:t xml:space="preserve">5. Level 1: Scan &amp; Analysis</w:t>
      </w:r>
    </w:p>
    <w:p>
      <w:pPr>
        <w:pStyle w:val="Heading2"/>
        <w:spacing w:after="160" w:before="280" w:line="312"/>
      </w:pPr>
      <w:r>
        <w:rPr>
          <w:rFonts w:ascii="Times New Roman" w:eastAsia="SimHei"/>
          <w:b/>
          <w:bCs/>
          <w:color w:val="0E2030"/>
          <w:sz w:val="28"/>
          <w:szCs w:val="28"/>
        </w:rPr>
        <w:t xml:space="preserve">5.1 Denial Analysis Engine</w:t>
      </w:r>
    </w:p>
    <w:p>
      <w:pPr>
        <w:spacing w:after="120" w:line="312"/>
      </w:pPr>
      <w:r>
        <w:rPr>
          <w:rFonts w:ascii="Times New Roman" w:eastAsia="Microsoft YaHei"/>
          <w:color w:val="1E2E40"/>
          <w:sz w:val="24"/>
          <w:szCs w:val="24"/>
        </w:rPr>
        <w:t xml:space="preserve">The denial analysis engine uses Azure OpenAI GPT-5.5 to identify root causes from CARC/RARC codes, classify denials into 9 categories (coding_error, missing_information, authorization, eligibility, medical_necessity, timely_filing, duplicate, bundling, other), assess correctability, generate appeal recommendations with confidence scores, and identify required information for resolution. The engine includes a robust fallback system that operates using rule-based analysis when the AI API is unavailable, ensuring continuous operation.</w:t>
      </w:r>
    </w:p>
    <w:p>
      <w:pPr>
        <w:pStyle w:val="Heading2"/>
        <w:spacing w:after="160" w:before="280" w:line="312"/>
      </w:pPr>
      <w:r>
        <w:rPr>
          <w:rFonts w:ascii="Times New Roman" w:eastAsia="SimHei"/>
          <w:b/>
          <w:bCs/>
          <w:color w:val="0E2030"/>
          <w:sz w:val="28"/>
          <w:szCs w:val="28"/>
        </w:rPr>
        <w:t xml:space="preserve">5.2 Client Health Scan</w:t>
      </w:r>
    </w:p>
    <w:p>
      <w:pPr>
        <w:spacing w:after="120" w:line="312"/>
      </w:pPr>
      <w:r>
        <w:rPr>
          <w:rFonts w:ascii="Times New Roman" w:eastAsia="Microsoft YaHei"/>
          <w:color w:val="1E2E40"/>
          <w:sz w:val="24"/>
          <w:szCs w:val="24"/>
        </w:rPr>
        <w:t xml:space="preserve">The Client Health Scan generates comprehensive organizational health reports scored across 5 dimensions: Denial Rate (25% weight, benchmark: Excellent if 5% or below), Recovery Potential (25%, Excellent if 85% or above), Coding Accuracy (20%, Excellent if 95% or above), Timely Filing Compliance (15%, Excellent if 98% or above), and Payer Mix Health (15%, diversification analysis). Each scan produces an overall A+ to F grade, a payer report card, preventable denial analysis, a prioritized improvement plan, and an auto-generated executive summary.</w:t>
      </w:r>
    </w:p>
    <w:p>
      <w:pPr>
        <w:pStyle w:val="Heading1"/>
        <w:spacing w:after="200" w:before="360" w:line="312"/>
      </w:pPr>
      <w:r>
        <w:rPr>
          <w:rFonts w:ascii="Times New Roman" w:eastAsia="SimHei"/>
          <w:b/>
          <w:bCs/>
          <w:color w:val="0E2030"/>
          <w:sz w:val="32"/>
          <w:szCs w:val="32"/>
        </w:rPr>
        <w:t xml:space="preserve">6. Level 2: Solution &amp; Recovery</w:t>
      </w:r>
    </w:p>
    <w:p>
      <w:pPr>
        <w:pStyle w:val="Heading2"/>
        <w:spacing w:after="160" w:before="280" w:line="312"/>
      </w:pPr>
      <w:r>
        <w:rPr>
          <w:rFonts w:ascii="Times New Roman" w:eastAsia="SimHei"/>
          <w:b/>
          <w:bCs/>
          <w:color w:val="0E2030"/>
          <w:sz w:val="28"/>
          <w:szCs w:val="28"/>
        </w:rPr>
        <w:t xml:space="preserve">6.1 Smart Coding Correction</w:t>
      </w:r>
    </w:p>
    <w:p>
      <w:pPr>
        <w:spacing w:after="120" w:line="312"/>
      </w:pPr>
      <w:r>
        <w:rPr>
          <w:rFonts w:ascii="Times New Roman" w:eastAsia="Microsoft YaHei"/>
          <w:color w:val="1E2E40"/>
          <w:sz w:val="24"/>
          <w:szCs w:val="24"/>
        </w:rPr>
        <w:t xml:space="preserve">The smart coding correction system includes a comprehensive NCCI edit pair database with 30+ bundled procedure pairs and modifier-allowed flags, 11 modifier validation rules covering modifiers 25, 59, XE, XS, XP, XU, 26, TC, 50, LT, and RT, and a CPT-ICD crosswalk for medical necessity validation covering procedures like TKR (27447), Arthroscopy (29881), Spine (63030), Imaging (70553), GI (43239), and E/M (99213-99215). Each correction includes the overall assessment, specific field-level changes with risk levels, resubmission strategy, estimated success rate, and step-by-step instructions.</w:t>
      </w:r>
    </w:p>
    <w:p>
      <w:pPr>
        <w:pStyle w:val="Heading2"/>
        <w:spacing w:after="160" w:before="280" w:line="312"/>
      </w:pPr>
      <w:r>
        <w:rPr>
          <w:rFonts w:ascii="Times New Roman" w:eastAsia="SimHei"/>
          <w:b/>
          <w:bCs/>
          <w:color w:val="0E2030"/>
          <w:sz w:val="28"/>
          <w:szCs w:val="28"/>
        </w:rPr>
        <w:t xml:space="preserve">6.2 Eligibility Resolution</w:t>
      </w:r>
    </w:p>
    <w:p>
      <w:pPr>
        <w:spacing w:after="120" w:line="312"/>
      </w:pPr>
      <w:r>
        <w:rPr>
          <w:rFonts w:ascii="Times New Roman" w:eastAsia="Microsoft YaHei"/>
          <w:color w:val="1E2E40"/>
          <w:sz w:val="24"/>
          <w:szCs w:val="24"/>
        </w:rPr>
        <w:t xml:space="preserve">The eligibility resolution system detects 8 resolution types: COB Primary Identified (via Medicare MSP rules), Retroactive Eligibility (within reinstatement window), Coverage Gap Fixable (COBRA 60-day, Medicaid 90-day retro), Wrong Subscriber Info, Workers Comp/Auto (injury diagnosis codes S/T), Patient Responsibility (PR-1/PR-2/PR-3 validation), Medicaid Eligible, and Financial Assistance. Pre-loaded payer-specific patterns for Medicare, Medicaid, UnitedHealthcare, BCBS, Aetna, and Cigna include member ID format validation, common issues, eligibility portal URLs, and provider services phone numbers.</w:t>
      </w:r>
    </w:p>
    <w:p>
      <w:pPr>
        <w:pStyle w:val="Heading2"/>
        <w:spacing w:after="160" w:before="280" w:line="312"/>
      </w:pPr>
      <w:r>
        <w:rPr>
          <w:rFonts w:ascii="Times New Roman" w:eastAsia="SimHei"/>
          <w:b/>
          <w:bCs/>
          <w:color w:val="0E2030"/>
          <w:sz w:val="28"/>
          <w:szCs w:val="28"/>
        </w:rPr>
        <w:t xml:space="preserve">6.3 Appeal Management</w:t>
      </w:r>
    </w:p>
    <w:p>
      <w:pPr>
        <w:spacing w:after="120" w:line="312"/>
      </w:pPr>
      <w:r>
        <w:rPr>
          <w:rFonts w:ascii="Times New Roman" w:eastAsia="Microsoft YaHei"/>
          <w:color w:val="1E2E40"/>
          <w:sz w:val="24"/>
          <w:szCs w:val="24"/>
        </w:rPr>
        <w:t xml:space="preserve">Appeal management covers the full lifecycle from draft through resolution. AI-powered appeal letters are generated using denial analysis context with fallback templates for each CARC code. Letters support First Level, Second Level, and External Review tiers, including proper payer addressing, claim references, clinical justification, policy/LCD/NCD citations, and supporting documentation checklists.</w:t>
      </w:r>
    </w:p>
    <w:p>
      <w:pPr>
        <w:pStyle w:val="Heading2"/>
        <w:spacing w:after="160" w:before="280" w:line="312"/>
      </w:pPr>
      <w:r>
        <w:rPr>
          <w:rFonts w:ascii="Times New Roman" w:eastAsia="SimHei"/>
          <w:b/>
          <w:bCs/>
          <w:color w:val="0E2030"/>
          <w:sz w:val="28"/>
          <w:szCs w:val="28"/>
        </w:rPr>
        <w:t xml:space="preserve">6.4 AI-Ranked Worklist</w:t>
      </w:r>
    </w:p>
    <w:p>
      <w:pPr>
        <w:spacing w:after="120" w:line="312"/>
      </w:pPr>
      <w:r>
        <w:rPr>
          <w:rFonts w:ascii="Times New Roman" w:eastAsia="Microsoft YaHei"/>
          <w:color w:val="1E2E40"/>
          <w:sz w:val="24"/>
          <w:szCs w:val="24"/>
        </w:rPr>
        <w:t xml:space="preserve">The AI-ranked worklist uses the formula: WorkScore = (Urgency x 35%) + (Value x 25%) + (Success x 25%) + (PayerSpeed x 15%). Urgency is based on days until filing deadline. Value scores claim amounts. Success predictions are per-category correction success rates. Payer Speed factors in average days to payment. The worklist includes filters by category, payer, and amount, color-coded risk levels, and recommended next actions per claim.</w:t>
      </w:r>
    </w:p>
    <w:p>
      <w:pPr>
        <w:pStyle w:val="Heading2"/>
        <w:spacing w:after="160" w:before="280" w:line="312"/>
      </w:pPr>
      <w:r>
        <w:rPr>
          <w:rFonts w:ascii="Times New Roman" w:eastAsia="SimHei"/>
          <w:b/>
          <w:bCs/>
          <w:color w:val="0E2030"/>
          <w:sz w:val="28"/>
          <w:szCs w:val="28"/>
        </w:rPr>
        <w:t xml:space="preserve">6.5 Additional Level 2 Features</w:t>
      </w:r>
    </w:p>
    <w:p>
      <w:pPr>
        <w:spacing w:after="80" w:line="312"/>
        <w:ind w:left="360"/>
      </w:pPr>
      <w:r>
        <w:rPr>
          <w:rFonts w:ascii="Times New Roman" w:eastAsia="Microsoft YaHei"/>
          <w:color w:val="1E2E40"/>
          <w:sz w:val="24"/>
          <w:szCs w:val="24"/>
        </w:rPr>
        <w:t xml:space="preserve">• Follow-up Tracking: Automated cadence at 14, 30, 45, and 60 days with escalation workflow</w:t>
      </w:r>
    </w:p>
    <w:p>
      <w:pPr>
        <w:spacing w:after="80" w:line="312"/>
        <w:ind w:left="360"/>
      </w:pPr>
      <w:r>
        <w:rPr>
          <w:rFonts w:ascii="Times New Roman" w:eastAsia="Microsoft YaHei"/>
          <w:color w:val="1E2E40"/>
          <w:sz w:val="24"/>
          <w:szCs w:val="24"/>
        </w:rPr>
        <w:t xml:space="preserve">• Appeal Deadline Countdown: 5 urgency levels from Expired to Safe, per-payer deadline rules</w:t>
      </w:r>
    </w:p>
    <w:p>
      <w:pPr>
        <w:spacing w:after="80" w:line="312"/>
        <w:ind w:left="360"/>
      </w:pPr>
      <w:r>
        <w:rPr>
          <w:rFonts w:ascii="Times New Roman" w:eastAsia="Microsoft YaHei"/>
          <w:color w:val="1E2E40"/>
          <w:sz w:val="24"/>
          <w:szCs w:val="24"/>
        </w:rPr>
        <w:t xml:space="preserve">• Financial Tracking: 6 event types, monthly breakdown, per-event-type summary</w:t>
      </w:r>
    </w:p>
    <w:p>
      <w:pPr>
        <w:spacing w:after="80" w:line="312"/>
        <w:ind w:left="360"/>
      </w:pPr>
      <w:r>
        <w:rPr>
          <w:rFonts w:ascii="Times New Roman" w:eastAsia="Microsoft YaHei"/>
          <w:color w:val="1E2E40"/>
          <w:sz w:val="24"/>
          <w:szCs w:val="24"/>
        </w:rPr>
        <w:t xml:space="preserve">• Claim Scrubbing: 8 built-in rules including NCCI bundling, modifier validation, duplicate detection</w:t>
      </w:r>
    </w:p>
    <w:p>
      <w:pPr>
        <w:spacing w:after="80" w:line="312"/>
        <w:ind w:left="360"/>
      </w:pPr>
      <w:r>
        <w:rPr>
          <w:rFonts w:ascii="Times New Roman" w:eastAsia="Microsoft YaHei"/>
          <w:color w:val="1E2E40"/>
          <w:sz w:val="24"/>
          <w:szCs w:val="24"/>
        </w:rPr>
        <w:t xml:space="preserve">• Payer Rules Engine: Pre-loaded rules for 6 payers with filing deadlines and auth requirements</w:t>
      </w:r>
    </w:p>
    <w:p>
      <w:pPr>
        <w:spacing w:after="80" w:line="312"/>
        <w:ind w:left="360"/>
      </w:pPr>
      <w:r>
        <w:rPr>
          <w:rFonts w:ascii="Times New Roman" w:eastAsia="Microsoft YaHei"/>
          <w:color w:val="1E2E40"/>
          <w:sz w:val="24"/>
          <w:szCs w:val="24"/>
        </w:rPr>
        <w:t xml:space="preserve">• Staff Performance Metrics: Per-user tracking with productivity scores, gamification badges, leaderboards</w:t>
      </w:r>
    </w:p>
    <w:p>
      <w:pPr>
        <w:spacing w:after="80" w:line="312"/>
        <w:ind w:left="360"/>
      </w:pPr>
      <w:r>
        <w:rPr>
          <w:rFonts w:ascii="Times New Roman" w:eastAsia="Microsoft YaHei"/>
          <w:color w:val="1E2E40"/>
          <w:sz w:val="24"/>
          <w:szCs w:val="24"/>
        </w:rPr>
        <w:t xml:space="preserve">• Natural Language Search: Filter by payer, amount, date, category, status, priority, CARC code</w:t>
      </w:r>
    </w:p>
    <w:p>
      <w:pPr>
        <w:spacing w:after="80" w:line="312"/>
        <w:ind w:left="360"/>
      </w:pPr>
      <w:r>
        <w:rPr>
          <w:rFonts w:ascii="Times New Roman" w:eastAsia="Microsoft YaHei"/>
          <w:color w:val="1E2E40"/>
          <w:sz w:val="24"/>
          <w:szCs w:val="24"/>
        </w:rPr>
        <w:t xml:space="preserve">• Resubmission Intelligence: 18 pre-seeded outcome records, payer profiles, trend analysis</w:t>
      </w:r>
    </w:p>
    <w:p>
      <w:pPr>
        <w:spacing w:after="80" w:line="312"/>
        <w:ind w:left="360"/>
      </w:pPr>
      <w:r>
        <w:rPr>
          <w:rFonts w:ascii="Times New Roman" w:eastAsia="Microsoft YaHei"/>
          <w:color w:val="1E2E40"/>
          <w:sz w:val="24"/>
          <w:szCs w:val="24"/>
        </w:rPr>
        <w:t xml:space="preserve">• Batch Processing: Analyze, correct, or quality-check multiple denials simultaneously</w:t>
      </w:r>
    </w:p>
    <w:p>
      <w:pPr>
        <w:spacing w:after="80" w:line="312"/>
        <w:ind w:left="360"/>
      </w:pPr>
      <w:r>
        <w:rPr>
          <w:rFonts w:ascii="Times New Roman" w:eastAsia="Microsoft YaHei"/>
          <w:color w:val="1E2E40"/>
          <w:sz w:val="24"/>
          <w:szCs w:val="24"/>
        </w:rPr>
        <w:t xml:space="preserve">• Notes &amp; Collaboration: 5 note types with pin capability and author tracking</w:t>
      </w:r>
    </w:p>
    <w:p>
      <w:pPr>
        <w:spacing w:after="80" w:line="312"/>
        <w:ind w:left="360"/>
      </w:pPr>
      <w:r>
        <w:rPr>
          <w:rFonts w:ascii="Times New Roman" w:eastAsia="Microsoft YaHei"/>
          <w:color w:val="1E2E40"/>
          <w:sz w:val="24"/>
          <w:szCs w:val="24"/>
        </w:rPr>
        <w:t xml:space="preserve">• Export &amp; Reporting: CSV, JSON, and summary text formats with filters</w:t>
      </w:r>
    </w:p>
    <w:p>
      <w:pPr>
        <w:pStyle w:val="Heading1"/>
        <w:spacing w:after="200" w:before="360" w:line="312"/>
      </w:pPr>
      <w:r>
        <w:rPr>
          <w:rFonts w:ascii="Times New Roman" w:eastAsia="SimHei"/>
          <w:b/>
          <w:bCs/>
          <w:color w:val="0E2030"/>
          <w:sz w:val="32"/>
          <w:szCs w:val="32"/>
        </w:rPr>
        <w:t xml:space="preserve">7. Level 3: EHR Auto-Fix &amp; Integration</w:t>
      </w:r>
    </w:p>
    <w:p>
      <w:pPr>
        <w:pStyle w:val="Heading2"/>
        <w:spacing w:after="160" w:before="280" w:line="312"/>
      </w:pPr>
      <w:r>
        <w:rPr>
          <w:rFonts w:ascii="Times New Roman" w:eastAsia="SimHei"/>
          <w:b/>
          <w:bCs/>
          <w:color w:val="0E2030"/>
          <w:sz w:val="28"/>
          <w:szCs w:val="28"/>
        </w:rPr>
        <w:t xml:space="preserve">7.1 FHIR R4 Client</w:t>
      </w:r>
    </w:p>
    <w:p>
      <w:pPr>
        <w:spacing w:after="120" w:line="312"/>
      </w:pPr>
      <w:r>
        <w:rPr>
          <w:rFonts w:ascii="Times New Roman" w:eastAsia="Microsoft YaHei"/>
          <w:color w:val="1E2E40"/>
          <w:sz w:val="24"/>
          <w:szCs w:val="24"/>
        </w:rPr>
        <w:t xml:space="preserve">The FHIR R4 client implements SMART on FHIR authentication for server-to-server access using the client credentials flow, and supports user-facing authorization flows with code exchange. It provides full CRUD operations and transaction support. Pre-configured profiles exist for Epic, Cerner, Athenahealth, and NextGen EHR systems. The FHIRClientManager singleton manages multiple simultaneous EHR connections with automatic token refresh. Denial-specific operations include getPatientCoverage, getPatientEOBs, checkEligibility, submitPriorAuth, getClaimResponse, and getPatientByIdentifier.</w:t>
      </w:r>
    </w:p>
    <w:p>
      <w:pPr>
        <w:pStyle w:val="Heading2"/>
        <w:spacing w:after="160" w:before="280" w:line="312"/>
      </w:pPr>
      <w:r>
        <w:rPr>
          <w:rFonts w:ascii="Times New Roman" w:eastAsia="SimHei"/>
          <w:b/>
          <w:bCs/>
          <w:color w:val="0E2030"/>
          <w:sz w:val="28"/>
          <w:szCs w:val="28"/>
        </w:rPr>
        <w:t xml:space="preserve">7.2 Da Vinci Prior Authorization Support</w:t>
      </w:r>
    </w:p>
    <w:p>
      <w:pPr>
        <w:spacing w:after="120" w:line="312"/>
      </w:pPr>
      <w:r>
        <w:rPr>
          <w:rFonts w:ascii="Times New Roman" w:eastAsia="Microsoft YaHei"/>
          <w:color w:val="1E2E40"/>
          <w:sz w:val="24"/>
          <w:szCs w:val="24"/>
        </w:rPr>
        <w:t xml:space="preserve">The Da Vinci PAS implementation covers three HL7 Da Vinci Implementation Guides. CRD (Coverage Requirements Discovery) uses CDS Hooks to check if prior authorization is required before service delivery. DTR (Documentation Templates &amp; Rules) renders questionnaires needed for PA documentation. PAS (Prior Authorization Support) submits and manages prior authorization requests via FHIR, building proper Claim resources bundled as transactions. It supports new requests, updates, cancells, status checks, and retroactive PA generation from denied claims.</w:t>
      </w:r>
    </w:p>
    <w:p>
      <w:pPr>
        <w:pStyle w:val="Heading2"/>
        <w:spacing w:after="160" w:before="280" w:line="312"/>
      </w:pPr>
      <w:r>
        <w:rPr>
          <w:rFonts w:ascii="Times New Roman" w:eastAsia="SimHei"/>
          <w:b/>
          <w:bCs/>
          <w:color w:val="0E2030"/>
          <w:sz w:val="28"/>
          <w:szCs w:val="28"/>
        </w:rPr>
        <w:t xml:space="preserve">7.3 X12 Transaction Engine</w:t>
      </w:r>
    </w:p>
    <w:p>
      <w:pPr>
        <w:spacing w:after="120" w:line="312"/>
      </w:pPr>
      <w:r>
        <w:rPr>
          <w:rFonts w:ascii="Times New Roman" w:eastAsia="Microsoft YaHei"/>
          <w:color w:val="1E2E40"/>
          <w:sz w:val="24"/>
          <w:szCs w:val="24"/>
        </w:rPr>
        <w:t xml:space="preserve">The X12 Transaction Engine generates compliant ANSI X12 EDI transactions following HIPAA ASC X12 5010 standards. It supports four transaction types: 837P (Professional Claim Submission), 270/271 (Eligibility Inquiry/Response), 276/277 (Claim Status Inquiry/Response), and 278 (Prior Authorization Request). The engine builds complete interchange envelopes with proper control numbering, delimiters, and segment generation, and includes parsers for 271 and 277 responses.</w:t>
      </w:r>
    </w:p>
    <w:p>
      <w:pPr>
        <w:pStyle w:val="Heading2"/>
        <w:spacing w:after="160" w:before="280" w:line="312"/>
      </w:pPr>
      <w:r>
        <w:rPr>
          <w:rFonts w:ascii="Times New Roman" w:eastAsia="SimHei"/>
          <w:b/>
          <w:bCs/>
          <w:color w:val="0E2030"/>
          <w:sz w:val="28"/>
          <w:szCs w:val="28"/>
        </w:rPr>
        <w:t xml:space="preserve">7.4 Clearinghouse Connectors</w:t>
      </w:r>
    </w:p>
    <w:p>
      <w:pPr>
        <w:spacing w:after="120" w:line="312"/>
      </w:pPr>
      <w:r>
        <w:rPr>
          <w:rFonts w:ascii="Times New Roman" w:eastAsia="Microsoft YaHei"/>
          <w:color w:val="1E2E40"/>
          <w:sz w:val="24"/>
          <w:szCs w:val="24"/>
        </w:rPr>
        <w:t xml:space="preserve">Three clearinghouse connectors provide unified interfaces. Stedi specializes in claim submission and real-time eligibility. Availity provides multi-payer eligibility and claim submission with PA workflow support. pVerify focuses on real-time eligibility verification and Medicare checks with COB detection. The ClearinghouseManager routes operations to the best available connector with automatic fallback.</w:t>
      </w:r>
    </w:p>
    <w:p>
      <w:pPr>
        <w:pStyle w:val="Heading2"/>
        <w:spacing w:after="160" w:before="280" w:line="312"/>
      </w:pPr>
      <w:r>
        <w:rPr>
          <w:rFonts w:ascii="Times New Roman" w:eastAsia="SimHei"/>
          <w:b/>
          <w:bCs/>
          <w:color w:val="0E2030"/>
          <w:sz w:val="28"/>
          <w:szCs w:val="28"/>
        </w:rPr>
        <w:t xml:space="preserve">7.5 EHR Integration Agent Auto-Fix Workflows</w:t>
      </w:r>
    </w:p>
    <w:p>
      <w:pPr>
        <w:spacing w:after="120" w:line="312"/>
      </w:pPr>
      <w:r>
        <w:rPr>
          <w:rFonts w:ascii="Times New Roman" w:eastAsia="Microsoft YaHei"/>
          <w:color w:val="1E2E40"/>
          <w:sz w:val="24"/>
          <w:szCs w:val="24"/>
        </w:rPr>
        <w:t xml:space="preserve">The EHR Integration Agent implements automated denial resolution based on CARC code patterns. For CO-4/CO-11 (coding inconsistencies), it triggers correction-engine followed by claim submission. For CO-16/CO-27 (missing information), it invokes appeal-strategist. For CO-197/CO-15 (prior authorization), it submits retroactive PA. For CO-22 (COB), it runs COB verification. For CO-109 (not covered), it verifies eligibility. Each workflow includes confidence scoring and human-in-the-loop approval for high-risk actions.</w:t>
      </w:r>
    </w:p>
    <w:p>
      <w:pPr>
        <w:pStyle w:val="Heading1"/>
        <w:spacing w:after="200" w:before="360" w:line="312"/>
      </w:pPr>
      <w:r>
        <w:rPr>
          <w:rFonts w:ascii="Times New Roman" w:eastAsia="SimHei"/>
          <w:b/>
          <w:bCs/>
          <w:color w:val="0E2030"/>
          <w:sz w:val="32"/>
          <w:szCs w:val="32"/>
        </w:rPr>
        <w:t xml:space="preserve">8. Authentication &amp; RBAC</w:t>
      </w:r>
    </w:p>
    <w:p>
      <w:pPr>
        <w:spacing w:after="120" w:line="312"/>
      </w:pPr>
      <w:r>
        <w:rPr>
          <w:rFonts w:ascii="Times New Roman" w:eastAsia="Microsoft YaHei"/>
          <w:color w:val="1E2E40"/>
          <w:sz w:val="24"/>
          <w:szCs w:val="24"/>
        </w:rPr>
        <w:t xml:space="preserve">The authentication system uses NextAuth.js with a role-based access control model supporting 5 roles: Admin (all permissions), Manager (view, analyze, correct, appeal, assign, export, manage rules, batch process), Biller (view, analyze, correct, appeal, notes, export, financials, scrub), Coder (view, analyze, correct, quality check, notes, scrub), and Client (view denials, reports, export, financials). Five default users are seeded with hashed passwords.</w:t>
      </w:r>
    </w:p>
    <w:p>
      <w:pPr>
        <w:pStyle w:val="Heading1"/>
        <w:spacing w:after="200" w:before="360" w:line="312"/>
      </w:pPr>
      <w:r>
        <w:rPr>
          <w:rFonts w:ascii="Times New Roman" w:eastAsia="SimHei"/>
          <w:b/>
          <w:bCs/>
          <w:color w:val="0E2030"/>
          <w:sz w:val="32"/>
          <w:szCs w:val="32"/>
        </w:rPr>
        <w:t xml:space="preserve">9. HIPAA Compliance Framework</w:t>
      </w:r>
    </w:p>
    <w:p>
      <w:pPr>
        <w:spacing w:after="120" w:line="312"/>
      </w:pPr>
      <w:r>
        <w:rPr>
          <w:rFonts w:ascii="Times New Roman" w:eastAsia="Microsoft YaHei"/>
          <w:color w:val="1E2E40"/>
          <w:sz w:val="24"/>
          <w:szCs w:val="24"/>
        </w:rPr>
        <w:t xml:space="preserve">The HIPAA compliance framework provides three core modules. The Encryption module implements AES-256 encryption for PHI fields at rest. The PHI Guard module manages access control with standard, elevated, and emergency access levels. The BAA Framework module handles Business Associate Agreement management tracking vendor scope, PHI access permissions, security measures, and breach notification requirements. All PHI access is logged with action, entity type, fields accessed, justification, and access level.</w:t>
      </w:r>
    </w:p>
    <w:p>
      <w:pPr>
        <w:pStyle w:val="Heading1"/>
        <w:spacing w:after="200" w:before="360" w:line="312"/>
      </w:pPr>
      <w:r>
        <w:rPr>
          <w:rFonts w:ascii="Times New Roman" w:eastAsia="SimHei"/>
          <w:b/>
          <w:bCs/>
          <w:color w:val="0E2030"/>
          <w:sz w:val="32"/>
          <w:szCs w:val="32"/>
        </w:rPr>
        <w:t xml:space="preserve">10. Data Model</w:t>
      </w:r>
    </w:p>
    <w:p>
      <w:pPr>
        <w:spacing w:after="120" w:line="312"/>
      </w:pPr>
      <w:r>
        <w:rPr>
          <w:rFonts w:ascii="Times New Roman" w:eastAsia="Microsoft YaHei"/>
          <w:color w:val="1E2E40"/>
          <w:sz w:val="24"/>
          <w:szCs w:val="24"/>
        </w:rPr>
        <w:t xml:space="preserve">The Prisma schema defines 22 database models organized into 8 functional groups: Users and Authentication (User, Session), Denials and Analysis (Denial, DenialAnalysis, CorrectionSuggestion, QualityCheck), Appeal Management (AppealLetter), Notes and Collaboration (DenialNote), Audit Trail (AuditLog), Payer Rules Engine (PayerRule), Financial Tracking (FinancialTracking), Worklist Management (DenialAssignment), Claim Scrubbing (ClaimScrubRule, ClaimScrubResult), Overview Reports (OverviewReport), Batch Processing (BatchJob), Agent Orchestration (AgentTask, AgentMemory, AgentMessage), Persistent Intelligence (ResubmissionRecord, PayerBehaviorProfile), HIPAA Compliance (HIPAAAuditLog, BAARecord, ComplianceCheck), Underpayment Detection (UnderpaymentAlert), Prevention (PreventionRule), Human-in-the-Loop (HumanApproval), Level 3 Integration (EHRSERVER, FHIRSyncLog, ClearinghouseConfig, ClearinghouseTransaction, PriorAuthRecord, EligibilityCheck). SQLite is used for development with Prisma providing database portability for PostgreSQL production deployment.</w:t>
      </w:r>
    </w:p>
    <w:p>
      <w:pPr>
        <w:pStyle w:val="Heading1"/>
        <w:spacing w:after="200" w:before="360" w:line="312"/>
      </w:pPr>
      <w:r>
        <w:rPr>
          <w:rFonts w:ascii="Times New Roman" w:eastAsia="SimHei"/>
          <w:b/>
          <w:bCs/>
          <w:color w:val="0E2030"/>
          <w:sz w:val="32"/>
          <w:szCs w:val="32"/>
        </w:rPr>
        <w:t xml:space="preserve">11. API Reference</w:t>
      </w:r>
    </w:p>
    <w:p>
      <w:pPr>
        <w:pStyle w:val="Heading2"/>
        <w:spacing w:after="160" w:before="280" w:line="312"/>
      </w:pPr>
      <w:r>
        <w:rPr>
          <w:rFonts w:ascii="Times New Roman" w:eastAsia="SimHei"/>
          <w:b/>
          <w:bCs/>
          <w:color w:val="0E2030"/>
          <w:sz w:val="28"/>
          <w:szCs w:val="28"/>
        </w:rPr>
        <w:t xml:space="preserve">11.1 Core APIs</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Endpoint</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Method</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Purpose</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/api/denials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List/create denials</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/api/denials/[id]</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GET/PATCH</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Get/update single denial</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/api/denials/[id]/analyze</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POST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Run AI analysis</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/api/denials/[id]/correct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POST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Generate corrections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/api/denials/[id]/smart-correct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POST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Smart coding correction</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/api/denials/[id]/resolve-eligibility</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POST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Eligibility resolution</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/api/denials/[id]/quality-check</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POST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Quality validation</w:t>
            </w:r>
          </w:p>
        </w:tc>
      </w:tr>
    </w:tbl>
    <w:p>
      <w:pPr>
        <w:spacing w:after="200" w:before="200"/>
      </w:pPr>
    </w:p>
    <w:p>
      <w:pPr>
        <w:pStyle w:val="Heading2"/>
        <w:spacing w:after="160" w:before="280" w:line="312"/>
      </w:pPr>
      <w:r>
        <w:rPr>
          <w:rFonts w:ascii="Times New Roman" w:eastAsia="SimHei"/>
          <w:b/>
          <w:bCs/>
          <w:color w:val="0E2030"/>
          <w:sz w:val="28"/>
          <w:szCs w:val="28"/>
        </w:rPr>
        <w:t xml:space="preserve">11.2 Management &amp; EHR APIs</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Endpoint</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Method</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Purpose</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/api/appeals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GET/POST/PATCH</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Appeal management</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/api/notes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GET/POST/PATCH/DELETE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Notes CRUD</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/api/batch</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GET/POST/DELETE</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Batch job management</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/api/financials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GET/POST/DELETE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Financial events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/api/payer-rules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GET/POST/PATCH/DELETE</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Payer rules CRUD</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/api/scrub</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GET/POST/PATCH</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Claim scrubbing</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/api/export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Data export (CSV/JSON/TXT)</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/api/intelligence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Resubmission intelligence</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/api/health-scan</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Client health report</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/api/ehr</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EHR integration status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/api/ehr/servers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FHIR server configurations</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/api/ehr/claims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GET/POST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FHIR claim operations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/api/ehr/eligibility</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POST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Real-time eligibility check</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/api/ehr/prior-auth</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POST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Submit PA via Da Vinci PAS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/api/ehr/sync</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POST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EHR data synchronization</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/api/clearinghouse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POST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Clearinghouse operations</w:t>
            </w:r>
          </w:p>
        </w:tc>
      </w:tr>
    </w:tbl>
    <w:p>
      <w:pPr>
        <w:spacing w:after="200" w:before="200"/>
      </w:pPr>
    </w:p>
    <w:p>
      <w:pPr>
        <w:pStyle w:val="Heading1"/>
        <w:spacing w:after="200" w:before="360" w:line="312"/>
      </w:pPr>
      <w:r>
        <w:rPr>
          <w:rFonts w:ascii="Times New Roman" w:eastAsia="SimHei"/>
          <w:b/>
          <w:bCs/>
          <w:color w:val="0E2030"/>
          <w:sz w:val="32"/>
          <w:szCs w:val="32"/>
        </w:rPr>
        <w:t xml:space="preserve">12. Environment Configuration</w:t>
      </w:r>
    </w:p>
    <w:p>
      <w:pPr>
        <w:spacing w:after="120" w:line="312"/>
      </w:pPr>
      <w:r>
        <w:rPr>
          <w:rFonts w:ascii="Times New Roman" w:eastAsia="Microsoft YaHei"/>
          <w:color w:val="1E2E40"/>
          <w:sz w:val="24"/>
          <w:szCs w:val="24"/>
        </w:rPr>
        <w:t xml:space="preserve">Required environment variables:</w:t>
      </w:r>
    </w:p>
    <w:p>
      <w:pPr>
        <w:shd w:fill="F5F5F5" w:val="clear"/>
        <w:spacing w:after="120" w:line="276"/>
        <w:ind w:left="480"/>
      </w:pPr>
      <w:r>
        <w:rPr>
          <w:rFonts w:ascii="Courier New"/>
          <w:color w:val="333333"/>
          <w:sz w:val="20"/>
          <w:szCs w:val="20"/>
        </w:rPr>
        <w:t xml:space="preserve">DATABASE_URL=file:./dev.db</w:t>
      </w:r>
    </w:p>
    <w:p>
      <w:pPr>
        <w:shd w:fill="F5F5F5" w:val="clear"/>
        <w:spacing w:after="120" w:line="276"/>
        <w:ind w:left="480"/>
      </w:pPr>
      <w:r>
        <w:rPr>
          <w:rFonts w:ascii="Courier New"/>
          <w:color w:val="333333"/>
          <w:sz w:val="20"/>
          <w:szCs w:val="20"/>
        </w:rPr>
        <w:t xml:space="preserve">AZURE_OPENAI_API_KEY=your-key</w:t>
      </w:r>
    </w:p>
    <w:p>
      <w:pPr>
        <w:shd w:fill="F5F5F5" w:val="clear"/>
        <w:spacing w:after="120" w:line="276"/>
        <w:ind w:left="480"/>
      </w:pPr>
      <w:r>
        <w:rPr>
          <w:rFonts w:ascii="Courier New"/>
          <w:color w:val="333333"/>
          <w:sz w:val="20"/>
          <w:szCs w:val="20"/>
        </w:rPr>
        <w:t xml:space="preserve">AZURE_OPENAI_ENDPOINT=your-endpoint</w:t>
      </w:r>
    </w:p>
    <w:p>
      <w:pPr>
        <w:shd w:fill="F5F5F5" w:val="clear"/>
        <w:spacing w:after="120" w:line="276"/>
        <w:ind w:left="480"/>
      </w:pPr>
      <w:r>
        <w:rPr>
          <w:rFonts w:ascii="Courier New"/>
          <w:color w:val="333333"/>
          <w:sz w:val="20"/>
          <w:szCs w:val="20"/>
        </w:rPr>
        <w:t xml:space="preserve">AZURE_OPENAI_MODEL=gpt-5.5</w:t>
      </w:r>
    </w:p>
    <w:p>
      <w:pPr>
        <w:spacing w:after="120" w:line="312"/>
      </w:pPr>
      <w:r>
        <w:rPr>
          <w:rFonts w:ascii="Times New Roman" w:eastAsia="Microsoft YaHei"/>
          <w:color w:val="1E2E40"/>
          <w:sz w:val="24"/>
          <w:szCs w:val="24"/>
        </w:rPr>
        <w:t xml:space="preserve">Additional variables for Level 3: FHIR server credentials (base URL, client ID, secret), clearinghouse API keys (Stedi, Availity, pVerify), and X12 sender/receiver IDs. All secrets are encrypted at rest.</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E2E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E2030"/>
      <w:sz w:val="32"/>
      <w:szCs w:val="32"/>
    </w:rPr>
  </w:style>
  <w:style w:type="paragraph" w:styleId="Heading2">
    <w:name w:val="Heading 2"/>
    <w:basedOn w:val="Normal"/>
    <w:next w:val="Normal"/>
    <w:qFormat/>
    <w:rPr>
      <w:rFonts w:ascii="Times New Roman" w:eastAsia="SimHei"/>
      <w:b/>
      <w:bCs/>
      <w:color w:val="0E203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2026-05-17T15:06:04.343Z</dcterms:created>
  <dcterms:modified xsi:type="dcterms:W3CDTF">2026-05-17T15:06:04.344Z</dcterms:modified>
</cp:coreProperties>
</file>

<file path=docProps/custom.xml><?xml version="1.0" encoding="utf-8"?>
<Properties xmlns="http://schemas.openxmlformats.org/officeDocument/2006/custom-properties" xmlns:vt="http://schemas.openxmlformats.org/officeDocument/2006/docPropsVTypes"/>
</file>