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line="800" w:lineRule="atLeast"/>
        <w:jc w:val="center"/>
      </w:pPr>
      <w:r>
        <w:rPr>
          <w:rFonts w:ascii="Times New Roman" w:eastAsia="SimHei"/>
          <w:b/>
          <w:bCs/>
          <w:color w:val="0E2030"/>
          <w:sz w:val="72"/>
          <w:szCs w:val="72"/>
        </w:rPr>
        <w:t xml:space="preserve">DENIAL DOCTOR</w:t>
      </w:r>
    </w:p>
    <w:p>
      <w:pPr>
        <w:spacing w:after="400" w:line="560" w:lineRule="atLeast"/>
        <w:jc w:val="center"/>
      </w:pPr>
      <w:r>
        <w:rPr>
          <w:rFonts w:ascii="Times New Roman" w:eastAsia="Microsoft YaHei"/>
          <w:color w:val="3888A8"/>
          <w:sz w:val="32"/>
          <w:szCs w:val="32"/>
        </w:rPr>
        <w:t xml:space="preserve">How to Use &amp; Connect to EHR Systems</w:t>
      </w:r>
    </w:p>
    <w:p>
      <w:pPr>
        <w:spacing w:after="1200"/>
        <w:jc w:val="center"/>
      </w:pPr>
      <w:r>
        <w:rPr>
          <w:rFonts w:ascii="Times New Roman" w:eastAsia="Microsoft YaHei"/>
          <w:color w:val="4A6580"/>
          <w:sz w:val="26"/>
          <w:szCs w:val="26"/>
        </w:rPr>
        <w:t xml:space="preserve">User Guide &amp; EHR Connection Manual</w:t>
      </w:r>
    </w:p>
    <w:p>
      <w:pPr>
        <w:spacing w:after="200"/>
        <w:jc w:val="center"/>
      </w:pPr>
      <w:r>
        <w:rPr>
          <w:rFonts w:ascii="Times New Roman" w:eastAsia="Microsoft YaHei"/>
          <w:color w:val="4A6580"/>
          <w:sz w:val="20"/>
          <w:szCs w:val="20"/>
        </w:rPr>
        <w:t xml:space="preserve">FHIR R4  |  Da Vinci PAS  |  X12 EDI  |  Clearinghouse APIs  |  Version 2.0  |  May 2026</w:t>
      </w:r>
    </w:p>
    <w:p>
      <w:pPr>
        <w:spacing w:after="200" w:before="200"/>
      </w:pPr>
    </w:p>
    <w:p>
      <w:pPr>
        <w:jc w:val="center"/>
      </w:pPr>
      <w:r>
        <w:rPr>
          <w:rFonts w:ascii="Times New Roman" w:eastAsia="SimHei"/>
          <w:b/>
          <w:bCs/>
          <w:color w:val="3888A8"/>
          <w:sz w:val="20"/>
          <w:szCs w:val="20"/>
        </w:rPr>
        <w:t xml:space="preserve">CONFIDENTIAL</w:t>
      </w:r>
    </w:p>
    <w:p>
      <w:pPr>
        <w:sectPr>
          <w:pgSz w:w="11906" w:h="16838" w:orient="portrait"/>
          <w:pgMar w:top="0" w:right="0" w:bottom="0" w:left="0" w:header="708" w:footer="708" w:gutter="0"/>
          <w:pgNumType/>
          <w:docGrid w:linePitch="360"/>
        </w:sectPr>
      </w:pPr>
    </w:p>
    <w:p>
      <w:pPr>
        <w:pStyle w:val="Heading1"/>
        <w:spacing w:after="200" w:before="360" w:line="312"/>
      </w:pPr>
      <w:r>
        <w:rPr>
          <w:rFonts w:ascii="Times New Roman" w:eastAsia="SimHei"/>
          <w:b/>
          <w:bCs/>
          <w:color w:val="0E2030"/>
          <w:sz w:val="32"/>
          <w:szCs w:val="32"/>
        </w:rPr>
        <w:t xml:space="preserve">1. Getting Started</w:t>
      </w:r>
    </w:p>
    <w:p>
      <w:pPr>
        <w:pStyle w:val="Heading2"/>
        <w:spacing w:after="160" w:before="280" w:line="312"/>
      </w:pPr>
      <w:r>
        <w:rPr>
          <w:rFonts w:ascii="Times New Roman" w:eastAsia="SimHei"/>
          <w:b/>
          <w:bCs/>
          <w:color w:val="0E2030"/>
          <w:sz w:val="28"/>
          <w:szCs w:val="28"/>
        </w:rPr>
        <w:t xml:space="preserve">1.1 Prerequisites</w:t>
      </w:r>
    </w:p>
    <w:p>
      <w:pPr>
        <w:spacing w:after="120" w:line="312"/>
      </w:pPr>
      <w:r>
        <w:rPr>
          <w:rFonts w:ascii="Times New Roman" w:eastAsia="Microsoft YaHei"/>
          <w:color w:val="1E2E40"/>
          <w:sz w:val="24"/>
          <w:szCs w:val="24"/>
        </w:rPr>
        <w:t xml:space="preserve">Before deploying Denial Doctor, ensure you have Node.js 18+ (Bun recommended), SQLite database (PostgreSQL for production), Azure OpenAI API credentials with GPT-5.5 access, valid EHR FHIR R4 server credentials for Level 3 integration, at least one clearinghouse API key (Stedi, Availity, or pVerify), and X12 sender/receiver IDs from your clearinghouse enrollment.</w:t>
      </w:r>
    </w:p>
    <w:p>
      <w:pPr>
        <w:pStyle w:val="Heading2"/>
        <w:spacing w:after="160" w:before="280" w:line="312"/>
      </w:pPr>
      <w:r>
        <w:rPr>
          <w:rFonts w:ascii="Times New Roman" w:eastAsia="SimHei"/>
          <w:b/>
          <w:bCs/>
          <w:color w:val="0E2030"/>
          <w:sz w:val="28"/>
          <w:szCs w:val="28"/>
        </w:rPr>
        <w:t xml:space="preserve">1.2 Installation</w:t>
      </w:r>
    </w:p>
    <w:p>
      <w:pPr>
        <w:shd w:fill="F5F5F5" w:val="clear"/>
        <w:spacing w:after="120" w:line="276"/>
        <w:ind w:left="480"/>
      </w:pPr>
      <w:r>
        <w:rPr>
          <w:rFonts w:ascii="Courier New"/>
          <w:color w:val="333333"/>
          <w:sz w:val="20"/>
          <w:szCs w:val="20"/>
        </w:rPr>
        <w:t xml:space="preserve">git clone https://github.com/sriraajj-lab/denial-management.git</w:t>
      </w:r>
    </w:p>
    <w:p>
      <w:pPr>
        <w:shd w:fill="F5F5F5" w:val="clear"/>
        <w:spacing w:after="120" w:line="276"/>
        <w:ind w:left="480"/>
      </w:pPr>
      <w:r>
        <w:rPr>
          <w:rFonts w:ascii="Courier New"/>
          <w:color w:val="333333"/>
          <w:sz w:val="20"/>
          <w:szCs w:val="20"/>
        </w:rPr>
        <w:t xml:space="preserve">cd denial-management &amp;&amp; bun install</w:t>
      </w:r>
    </w:p>
    <w:p>
      <w:pPr>
        <w:shd w:fill="F5F5F5" w:val="clear"/>
        <w:spacing w:after="120" w:line="276"/>
        <w:ind w:left="480"/>
      </w:pPr>
      <w:r>
        <w:rPr>
          <w:rFonts w:ascii="Courier New"/>
          <w:color w:val="333333"/>
          <w:sz w:val="20"/>
          <w:szCs w:val="20"/>
        </w:rPr>
        <w:t xml:space="preserve">cp .env.example .env  # Edit with your credentials</w:t>
      </w:r>
    </w:p>
    <w:p>
      <w:pPr>
        <w:shd w:fill="F5F5F5" w:val="clear"/>
        <w:spacing w:after="120" w:line="276"/>
        <w:ind w:left="480"/>
      </w:pPr>
      <w:r>
        <w:rPr>
          <w:rFonts w:ascii="Courier New"/>
          <w:color w:val="333333"/>
          <w:sz w:val="20"/>
          <w:szCs w:val="20"/>
        </w:rPr>
        <w:t xml:space="preserve">bun run db:setup  # Creates schema + seeds data</w:t>
      </w:r>
    </w:p>
    <w:p>
      <w:pPr>
        <w:shd w:fill="F5F5F5" w:val="clear"/>
        <w:spacing w:after="120" w:line="276"/>
        <w:ind w:left="480"/>
      </w:pPr>
      <w:r>
        <w:rPr>
          <w:rFonts w:ascii="Courier New"/>
          <w:color w:val="333333"/>
          <w:sz w:val="20"/>
          <w:szCs w:val="20"/>
        </w:rPr>
        <w:t xml:space="preserve">bun run dev  # Starts on http://localhost:3000</w:t>
      </w:r>
    </w:p>
    <w:p>
      <w:pPr>
        <w:pStyle w:val="Heading2"/>
        <w:spacing w:after="160" w:before="280" w:line="312"/>
      </w:pPr>
      <w:r>
        <w:rPr>
          <w:rFonts w:ascii="Times New Roman" w:eastAsia="SimHei"/>
          <w:b/>
          <w:bCs/>
          <w:color w:val="0E2030"/>
          <w:sz w:val="28"/>
          <w:szCs w:val="28"/>
        </w:rPr>
        <w:t xml:space="preserve">1.3 First Login</w:t>
      </w:r>
    </w:p>
    <w:p>
      <w:pPr>
        <w:spacing w:after="120" w:line="312"/>
      </w:pPr>
      <w:r>
        <w:rPr>
          <w:rFonts w:ascii="Times New Roman" w:eastAsia="Microsoft YaHei"/>
          <w:color w:val="1E2E40"/>
          <w:sz w:val="24"/>
          <w:szCs w:val="24"/>
        </w:rPr>
        <w:t xml:space="preserve">Access the application at http://localhost:3000. Default accounts: Admin (admin@denialmanagement.com, full access), Manager (manager@denialmanagement.com, Sarah Johnson), Biller (biller@denialmanagement.com, Mike Chen), Coder (coder@denialmanagement.com, Jessica Williams), Client (client@example.com, Dr. Robert Smith, view-only). Change all default passwords immediately after first login.</w:t>
      </w:r>
    </w:p>
    <w:p>
      <w:pPr>
        <w:pStyle w:val="Heading1"/>
        <w:spacing w:after="200" w:before="360" w:line="312"/>
      </w:pPr>
      <w:r>
        <w:rPr>
          <w:rFonts w:ascii="Times New Roman" w:eastAsia="SimHei"/>
          <w:b/>
          <w:bCs/>
          <w:color w:val="0E2030"/>
          <w:sz w:val="32"/>
          <w:szCs w:val="32"/>
        </w:rPr>
        <w:t xml:space="preserve">2. How to Use Denial Doctor</w:t>
      </w:r>
    </w:p>
    <w:p>
      <w:pPr>
        <w:pStyle w:val="Heading2"/>
        <w:spacing w:after="160" w:before="280" w:line="312"/>
      </w:pPr>
      <w:r>
        <w:rPr>
          <w:rFonts w:ascii="Times New Roman" w:eastAsia="SimHei"/>
          <w:b/>
          <w:bCs/>
          <w:color w:val="0E2030"/>
          <w:sz w:val="28"/>
          <w:szCs w:val="28"/>
        </w:rPr>
        <w:t xml:space="preserve">2.1 Uploading Denials</w:t>
      </w:r>
    </w:p>
    <w:p>
      <w:pPr>
        <w:spacing w:after="120" w:line="312"/>
      </w:pPr>
      <w:r>
        <w:rPr>
          <w:rFonts w:ascii="Times New Roman" w:eastAsia="Microsoft YaHei"/>
          <w:color w:val="1E2E40"/>
          <w:sz w:val="24"/>
          <w:szCs w:val="24"/>
        </w:rPr>
        <w:t xml:space="preserve">Denial Doctor supports two primary upload methods. CSV Upload accepts standard denial report files with 16 required columns: ClaimNumber, PatientName, PatientDOB, PayerName, PayerID, ProviderNPI, DateOfService, DenialDate, CPTCode, Modifier, DiagnosisCode, BilledAmount, DeniedAmount, CARCCode, RARCCode, and AdjustmentGroupCode. Navigate to Upload &amp; Scan, drag and drop your CSV file, and the system validates and imports each row. ERA/835 Upload parses ANSI X12 835 electronic remittance advice files, automatically extracting denied claims. Overview Scan provides batch analysis with AI-generated executive reports including overall rating and improvement recommendations.</w:t>
      </w:r>
    </w:p>
    <w:p>
      <w:pPr>
        <w:pStyle w:val="Heading2"/>
        <w:spacing w:after="160" w:before="280" w:line="312"/>
      </w:pPr>
      <w:r>
        <w:rPr>
          <w:rFonts w:ascii="Times New Roman" w:eastAsia="SimHei"/>
          <w:b/>
          <w:bCs/>
          <w:color w:val="0E2030"/>
          <w:sz w:val="28"/>
          <w:szCs w:val="28"/>
        </w:rPr>
        <w:t xml:space="preserve">2.2 Analyzing Denials</w:t>
      </w:r>
    </w:p>
    <w:p>
      <w:pPr>
        <w:spacing w:after="120" w:line="312"/>
      </w:pPr>
      <w:r>
        <w:rPr>
          <w:rFonts w:ascii="Times New Roman" w:eastAsia="Microsoft YaHei"/>
          <w:color w:val="1E2E40"/>
          <w:sz w:val="24"/>
          <w:szCs w:val="24"/>
        </w:rPr>
        <w:t xml:space="preserve">From the Denial Queue, click any denial to open its detail view. The Analysis tab shows root cause category, denial summary, correctability assessment, appeal recommendation with confidence score, and required information. The system automatically calculates the denial category and assigns priority based on filing deadlines, dollar amounts, and payer patterns. If the AI API is unavailable, the system falls back to rule-based analysis using CARC/RARC code mappings.</w:t>
      </w:r>
    </w:p>
    <w:p>
      <w:pPr>
        <w:pStyle w:val="Heading2"/>
        <w:spacing w:after="160" w:before="280" w:line="312"/>
      </w:pPr>
      <w:r>
        <w:rPr>
          <w:rFonts w:ascii="Times New Roman" w:eastAsia="SimHei"/>
          <w:b/>
          <w:bCs/>
          <w:color w:val="0E2030"/>
          <w:sz w:val="28"/>
          <w:szCs w:val="28"/>
        </w:rPr>
        <w:t xml:space="preserve">2.3 Correcting Denials</w:t>
      </w:r>
    </w:p>
    <w:p>
      <w:pPr>
        <w:spacing w:after="120" w:line="312"/>
      </w:pPr>
      <w:r>
        <w:rPr>
          <w:rFonts w:ascii="Times New Roman" w:eastAsia="Microsoft YaHei"/>
          <w:color w:val="1E2E40"/>
          <w:sz w:val="24"/>
          <w:szCs w:val="24"/>
        </w:rPr>
        <w:t xml:space="preserve">The Correction tab provides AI-generated correction suggestions with specific field changes, risk levels, and resubmission instructions. Smart Correct offers enhanced coding correction with NCCI edit pair validation and CPT-ICD crosswalk checks. Use Quality Check to validate corrections before resubmission. Only corrections that pass quality check should proceed to resubmission.</w:t>
      </w:r>
    </w:p>
    <w:p>
      <w:pPr>
        <w:pStyle w:val="Heading2"/>
        <w:spacing w:after="160" w:before="280" w:line="312"/>
      </w:pPr>
      <w:r>
        <w:rPr>
          <w:rFonts w:ascii="Times New Roman" w:eastAsia="SimHei"/>
          <w:b/>
          <w:bCs/>
          <w:color w:val="0E2030"/>
          <w:sz w:val="28"/>
          <w:szCs w:val="28"/>
        </w:rPr>
        <w:t xml:space="preserve">2.4 Managing Appeals</w:t>
      </w:r>
    </w:p>
    <w:p>
      <w:pPr>
        <w:spacing w:after="120" w:line="312"/>
      </w:pPr>
      <w:r>
        <w:rPr>
          <w:rFonts w:ascii="Times New Roman" w:eastAsia="Microsoft YaHei"/>
          <w:color w:val="1E2E40"/>
          <w:sz w:val="24"/>
          <w:szCs w:val="24"/>
        </w:rPr>
        <w:t xml:space="preserve">The Appeal tab generates AI-powered appeal letters. Select appeal level (First, Second, or External Review), review the generated letter, and save as Draft or Pending Review. The Appeals view provides centralized tracking across all lifecycle stages. Appeal deadline countdowns are displayed with urgency levels and auto-escalation.</w:t>
      </w:r>
    </w:p>
    <w:p>
      <w:pPr>
        <w:pStyle w:val="Heading2"/>
        <w:spacing w:after="160" w:before="280" w:line="312"/>
      </w:pPr>
      <w:r>
        <w:rPr>
          <w:rFonts w:ascii="Times New Roman" w:eastAsia="SimHei"/>
          <w:b/>
          <w:bCs/>
          <w:color w:val="0E2030"/>
          <w:sz w:val="28"/>
          <w:szCs w:val="28"/>
        </w:rPr>
        <w:t xml:space="preserve">2.5 Using the AI Worklist</w:t>
      </w:r>
    </w:p>
    <w:p>
      <w:pPr>
        <w:spacing w:after="120" w:line="312"/>
      </w:pPr>
      <w:r>
        <w:rPr>
          <w:rFonts w:ascii="Times New Roman" w:eastAsia="Microsoft YaHei"/>
          <w:color w:val="1E2E40"/>
          <w:sz w:val="24"/>
          <w:szCs w:val="24"/>
        </w:rPr>
        <w:t xml:space="preserve">The AI Worklist ranks all open denials by composite WorkScore (Urgency 35%, Value 25%, Success 25%, PayerSpeed 15%). Filter by category, payer, amount, or priority. Each entry shows recommended next action, days until deadline, and estimated recovery. Click any entry to navigate to the denial detail view.</w:t>
      </w:r>
    </w:p>
    <w:p>
      <w:pPr>
        <w:pStyle w:val="Heading2"/>
        <w:spacing w:after="160" w:before="280" w:line="312"/>
      </w:pPr>
      <w:r>
        <w:rPr>
          <w:rFonts w:ascii="Times New Roman" w:eastAsia="SimHei"/>
          <w:b/>
          <w:bCs/>
          <w:color w:val="0E2030"/>
          <w:sz w:val="28"/>
          <w:szCs w:val="28"/>
        </w:rPr>
        <w:t xml:space="preserve">2.6 Running Claim Scrubbing</w:t>
      </w:r>
    </w:p>
    <w:p>
      <w:pPr>
        <w:spacing w:after="120" w:line="312"/>
      </w:pPr>
      <w:r>
        <w:rPr>
          <w:rFonts w:ascii="Times New Roman" w:eastAsia="Microsoft YaHei"/>
          <w:color w:val="1E2E40"/>
          <w:sz w:val="24"/>
          <w:szCs w:val="24"/>
        </w:rPr>
        <w:t xml:space="preserve">Navigate to Claim Scrub from the Management section. Run batch scrub to evaluate all claims, review findings by severity (Critical, High, Medium, Low), and resolve individually. Rules include Missing Modifier, E/M Level Mismatch, CCI Bundling, Missing Diagnosis, Auth Required, Duplicate Check, NCD/LCD Coverage, and Demographics Completeness.</w:t>
      </w:r>
    </w:p>
    <w:p>
      <w:pPr>
        <w:pStyle w:val="Heading2"/>
        <w:spacing w:after="160" w:before="280" w:line="312"/>
      </w:pPr>
      <w:r>
        <w:rPr>
          <w:rFonts w:ascii="Times New Roman" w:eastAsia="SimHei"/>
          <w:b/>
          <w:bCs/>
          <w:color w:val="0E2030"/>
          <w:sz w:val="28"/>
          <w:szCs w:val="28"/>
        </w:rPr>
        <w:t xml:space="preserve">2.7 Monitoring Financials</w:t>
      </w:r>
    </w:p>
    <w:p>
      <w:pPr>
        <w:spacing w:after="120" w:line="312"/>
      </w:pPr>
      <w:r>
        <w:rPr>
          <w:rFonts w:ascii="Times New Roman" w:eastAsia="Microsoft YaHei"/>
          <w:color w:val="1E2E40"/>
          <w:sz w:val="24"/>
          <w:szCs w:val="24"/>
        </w:rPr>
        <w:t xml:space="preserve">The Financials view tracks resubmission costs, partial/full payments, write-offs, adjustments, and refunds. The dashboard shows total recovered, recovery rate, total write-offs, and monthly breakdowns. Export financial reports in CSV, JSON, or summary text format.</w:t>
      </w:r>
    </w:p>
    <w:p>
      <w:pPr>
        <w:pStyle w:val="Heading1"/>
        <w:spacing w:after="200" w:before="360" w:line="312"/>
      </w:pPr>
      <w:r>
        <w:rPr>
          <w:rFonts w:ascii="Times New Roman" w:eastAsia="SimHei"/>
          <w:b/>
          <w:bCs/>
          <w:color w:val="0E2030"/>
          <w:sz w:val="32"/>
          <w:szCs w:val="32"/>
        </w:rPr>
        <w:t xml:space="preserve">3. EHR Connection Guide</w:t>
      </w:r>
    </w:p>
    <w:p>
      <w:pPr>
        <w:pStyle w:val="Heading2"/>
        <w:spacing w:after="160" w:before="280" w:line="312"/>
      </w:pPr>
      <w:r>
        <w:rPr>
          <w:rFonts w:ascii="Times New Roman" w:eastAsia="SimHei"/>
          <w:b/>
          <w:bCs/>
          <w:color w:val="0E2030"/>
          <w:sz w:val="28"/>
          <w:szCs w:val="28"/>
        </w:rPr>
        <w:t xml:space="preserve">3.1 Overview</w:t>
      </w:r>
    </w:p>
    <w:p>
      <w:pPr>
        <w:spacing w:after="120" w:line="312"/>
      </w:pPr>
      <w:r>
        <w:rPr>
          <w:rFonts w:ascii="Times New Roman" w:eastAsia="Microsoft YaHei"/>
          <w:color w:val="1E2E40"/>
          <w:sz w:val="24"/>
          <w:szCs w:val="24"/>
        </w:rPr>
        <w:t xml:space="preserve">Level 3 EHR integration enables direct connection to EHR systems, clearinghouses, and payer APIs for automated denial resolution. It uses FHIR R4 (HL7), Da Vinci Implementation Guides (CRD, DTR, PAS), and ANSI X12 EDI transactions (837P, 270/271, 276/277, 278). The EHR Integration Agent orchestrates all Level 3 operations with 12 capabilities: fhir_read, fhir_write, eligibility_check, claim_submit, claim_status, prior_auth_submit, prior_auth_status, pa_check, ehr_sync, clearinghouse_submit, denial_auto_fix, retroactive_pa, cob_verification.</w:t>
      </w:r>
    </w:p>
    <w:p>
      <w:pPr>
        <w:pStyle w:val="Heading2"/>
        <w:spacing w:after="160" w:before="280" w:line="312"/>
      </w:pPr>
      <w:r>
        <w:rPr>
          <w:rFonts w:ascii="Times New Roman" w:eastAsia="SimHei"/>
          <w:b/>
          <w:bCs/>
          <w:color w:val="0E2030"/>
          <w:sz w:val="28"/>
          <w:szCs w:val="28"/>
        </w:rPr>
        <w:t xml:space="preserve">3.2 Supported EHR Systems</w:t>
      </w:r>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gridCol w:w="100"/>
      </w:tblGrid>
      <w:tr>
        <w:trPr>
          <w:tblHeader/>
        </w:trPr>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EHR System</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FHIR R4 Base URL Pattern</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Auth Method</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Scopes</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Epic</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https://fhir.epic.com/.../api/FHIR/R4</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SMART Backend Services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system/Patient.read, system/Coverage.read, system/Claim.read, system/ExplanationOfBenefit.read</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Cerner</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https://fhir-myrecord.cerner.com/r4/{tenant}</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SMART Backend Services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system/Patient.read, system/Coverage.read, system/Claim.read</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Athenahealth</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https://api.athenahealth.com/fhir/r4/{practiceid}</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OAuth2 Client Credentials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Patient.read, Coverage.read, Claim.read</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NextGen</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https://fhir.nextgen.com/api/FHIR/R4</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SMART Backend Services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system/*.read</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Generic SMART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Any FHIR R4 compliant server</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SMART Backend Services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Configurable per server</w:t>
            </w:r>
          </w:p>
        </w:tc>
      </w:tr>
    </w:tbl>
    <w:p>
      <w:pPr>
        <w:spacing w:after="200" w:before="200"/>
      </w:pPr>
    </w:p>
    <w:p>
      <w:pPr>
        <w:pStyle w:val="Heading2"/>
        <w:spacing w:after="160" w:before="280" w:line="312"/>
      </w:pPr>
      <w:r>
        <w:rPr>
          <w:rFonts w:ascii="Times New Roman" w:eastAsia="SimHei"/>
          <w:b/>
          <w:bCs/>
          <w:color w:val="0E2030"/>
          <w:sz w:val="28"/>
          <w:szCs w:val="28"/>
        </w:rPr>
        <w:t xml:space="preserve">3.3 Connecting an EHR Server</w:t>
      </w:r>
    </w:p>
    <w:p>
      <w:pPr>
        <w:spacing w:after="120" w:line="312"/>
      </w:pPr>
      <w:r>
        <w:rPr>
          <w:rFonts w:ascii="Times New Roman" w:eastAsia="Microsoft YaHei"/>
          <w:color w:val="1E2E40"/>
          <w:sz w:val="24"/>
          <w:szCs w:val="24"/>
        </w:rPr>
        <w:t xml:space="preserve">Send a POST request to /api/ehr/servers with: name (friendly name), serverType (epic/cerner/athena/nextgen/smart/generic), baseUrl (FHIR R4 base URL), clientId (SMART on FHIR client ID). Optional: clientSecret, tokenUrl, authorizeUrl, scopes.</w:t>
      </w:r>
    </w:p>
    <w:p>
      <w:pPr>
        <w:spacing w:after="120" w:line="312"/>
      </w:pPr>
      <w:r>
        <w:rPr>
          <w:rFonts w:ascii="Times New Roman" w:eastAsia="Microsoft YaHei"/>
          <w:b/>
          <w:bCs/>
          <w:color w:val="1E2E40"/>
          <w:sz w:val="24"/>
          <w:szCs w:val="24"/>
        </w:rPr>
        <w:t xml:space="preserve">Example: Adding an Epic EHR Server</w:t>
      </w:r>
    </w:p>
    <w:p>
      <w:pPr>
        <w:shd w:fill="F5F5F5" w:val="clear"/>
        <w:spacing w:after="120" w:line="276"/>
        <w:ind w:left="480"/>
      </w:pPr>
      <w:r>
        <w:rPr>
          <w:rFonts w:ascii="Courier New"/>
          <w:color w:val="333333"/>
          <w:sz w:val="20"/>
          <w:szCs w:val="20"/>
        </w:rPr>
        <w:t xml:space="preserve">POST /api/ehr/servers</w:t>
      </w:r>
    </w:p>
    <w:p>
      <w:pPr>
        <w:shd w:fill="F5F5F5" w:val="clear"/>
        <w:spacing w:after="120" w:line="276"/>
        <w:ind w:left="480"/>
      </w:pPr>
      <w:r>
        <w:rPr>
          <w:rFonts w:ascii="Courier New"/>
          <w:color w:val="333333"/>
          <w:sz w:val="20"/>
          <w:szCs w:val="20"/>
        </w:rPr>
        <w:t xml:space="preserve">{ "name": "Epic Production",</w:t>
      </w:r>
    </w:p>
    <w:p>
      <w:pPr>
        <w:shd w:fill="F5F5F5" w:val="clear"/>
        <w:spacing w:after="120" w:line="276"/>
        <w:ind w:left="480"/>
      </w:pPr>
      <w:r>
        <w:rPr>
          <w:rFonts w:ascii="Courier New"/>
          <w:color w:val="333333"/>
          <w:sz w:val="20"/>
          <w:szCs w:val="20"/>
        </w:rPr>
        <w:t xml:space="preserve">  "serverType": "epic",</w:t>
      </w:r>
    </w:p>
    <w:p>
      <w:pPr>
        <w:shd w:fill="F5F5F5" w:val="clear"/>
        <w:spacing w:after="120" w:line="276"/>
        <w:ind w:left="480"/>
      </w:pPr>
      <w:r>
        <w:rPr>
          <w:rFonts w:ascii="Courier New"/>
          <w:color w:val="333333"/>
          <w:sz w:val="20"/>
          <w:szCs w:val="20"/>
        </w:rPr>
        <w:t xml:space="preserve">  "baseUrl": "https://fhir.epic.com/interconnect-fhir-oauth/api/FHIR/R4",</w:t>
      </w:r>
    </w:p>
    <w:p>
      <w:pPr>
        <w:shd w:fill="F5F5F5" w:val="clear"/>
        <w:spacing w:after="120" w:line="276"/>
        <w:ind w:left="480"/>
      </w:pPr>
      <w:r>
        <w:rPr>
          <w:rFonts w:ascii="Courier New"/>
          <w:color w:val="333333"/>
          <w:sz w:val="20"/>
          <w:szCs w:val="20"/>
        </w:rPr>
        <w:t xml:space="preserve">  "clientId": "your-epic-client-id",</w:t>
      </w:r>
    </w:p>
    <w:p>
      <w:pPr>
        <w:shd w:fill="F5F5F5" w:val="clear"/>
        <w:spacing w:after="120" w:line="276"/>
        <w:ind w:left="480"/>
      </w:pPr>
      <w:r>
        <w:rPr>
          <w:rFonts w:ascii="Courier New"/>
          <w:color w:val="333333"/>
          <w:sz w:val="20"/>
          <w:szCs w:val="20"/>
        </w:rPr>
        <w:t xml:space="preserve">  "clientSecret": "your-epic-client-secret",</w:t>
      </w:r>
    </w:p>
    <w:p>
      <w:pPr>
        <w:shd w:fill="F5F5F5" w:val="clear"/>
        <w:spacing w:after="120" w:line="276"/>
        <w:ind w:left="480"/>
      </w:pPr>
      <w:r>
        <w:rPr>
          <w:rFonts w:ascii="Courier New"/>
          <w:color w:val="333333"/>
          <w:sz w:val="20"/>
          <w:szCs w:val="20"/>
        </w:rPr>
        <w:t xml:space="preserve">  "tokenUrl": "https://fhir.epic.com/.../oauth2/token" }</w:t>
      </w:r>
    </w:p>
    <w:p>
      <w:pPr>
        <w:spacing w:after="120" w:line="312"/>
      </w:pPr>
      <w:r>
        <w:rPr>
          <w:rFonts w:ascii="Times New Roman" w:eastAsia="Microsoft YaHei"/>
          <w:color w:val="1E2E40"/>
          <w:sz w:val="24"/>
          <w:szCs w:val="24"/>
        </w:rPr>
        <w:t xml:space="preserve">The API tests the connection automatically and updates status to 'connected' or 'error'. Verify via GET /api/ehr.</w:t>
      </w:r>
    </w:p>
    <w:p>
      <w:pPr>
        <w:pStyle w:val="Heading2"/>
        <w:spacing w:after="160" w:before="280" w:line="312"/>
      </w:pPr>
      <w:r>
        <w:rPr>
          <w:rFonts w:ascii="Times New Roman" w:eastAsia="SimHei"/>
          <w:b/>
          <w:bCs/>
          <w:color w:val="0E2030"/>
          <w:sz w:val="28"/>
          <w:szCs w:val="28"/>
        </w:rPr>
        <w:t xml:space="preserve">3.4 FHIR R4 SMART on FHIR Authentication</w:t>
      </w:r>
    </w:p>
    <w:p>
      <w:pPr>
        <w:spacing w:after="120" w:line="312"/>
      </w:pPr>
      <w:r>
        <w:rPr>
          <w:rFonts w:ascii="Times New Roman" w:eastAsia="Microsoft YaHei"/>
          <w:color w:val="1E2E40"/>
          <w:sz w:val="24"/>
          <w:szCs w:val="24"/>
        </w:rPr>
        <w:t xml:space="preserve">Two authentication flows are supported. Backend Services flow (client credentials) for server-to-server communication is the primary method. Authorization Code flow is for user-facing applications. The FHIRClient handles token lifecycle with automatic refresh (60-second buffer) and fallback to full re-authentication. Use FHIRClient.discoverSmartConfig(baseUrl) to auto-discover OAuth2 endpoints from .well-known/smart-configuration.</w:t>
      </w:r>
    </w:p>
    <w:p>
      <w:pPr>
        <w:pStyle w:val="Heading2"/>
        <w:spacing w:after="160" w:before="280" w:line="312"/>
      </w:pPr>
      <w:r>
        <w:rPr>
          <w:rFonts w:ascii="Times New Roman" w:eastAsia="SimHei"/>
          <w:b/>
          <w:bCs/>
          <w:color w:val="0E2030"/>
          <w:sz w:val="28"/>
          <w:szCs w:val="28"/>
        </w:rPr>
        <w:t xml:space="preserve">3.5 FHIR Operations for Denial Management</w:t>
      </w:r>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tblGrid>
      <w:tr>
        <w:trPr>
          <w:tblHeader/>
        </w:trPr>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Operation</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FHIR Method</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Use Case</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Get Patient Coverage</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Search Coverage by patient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Verify insurance status and plan details</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Get Patient EOBs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Search ExplanationOfBenefit</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Retrieve claim payment and denial history</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Check Eligibility</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Create CoverageEligibilityRequest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Real-time 270/271 eligibility verification</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Submit Prior Auth</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Transaction with Claim + resources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Da Vinci PAS prior authorization submission</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Check PA Status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Search ClaimResponse by preAuthRef</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Track prior authorization status</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Get Patient by ID</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Read Patient by identifier</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Look up patient MRN or Member ID</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Capability Statement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GET /metadata</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Discover server capabilities</w:t>
            </w:r>
          </w:p>
        </w:tc>
      </w:tr>
    </w:tbl>
    <w:p>
      <w:pPr>
        <w:spacing w:after="200" w:before="200"/>
      </w:pPr>
    </w:p>
    <w:p>
      <w:pPr>
        <w:pStyle w:val="Heading2"/>
        <w:spacing w:after="160" w:before="280" w:line="312"/>
      </w:pPr>
      <w:r>
        <w:rPr>
          <w:rFonts w:ascii="Times New Roman" w:eastAsia="SimHei"/>
          <w:b/>
          <w:bCs/>
          <w:color w:val="0E2030"/>
          <w:sz w:val="28"/>
          <w:szCs w:val="28"/>
        </w:rPr>
        <w:t xml:space="preserve">3.6 Connecting Clearinghouse APIs</w:t>
      </w:r>
    </w:p>
    <w:p>
      <w:pPr>
        <w:spacing w:after="120" w:line="312"/>
      </w:pPr>
      <w:r>
        <w:rPr>
          <w:rFonts w:ascii="Times New Roman" w:eastAsia="Microsoft YaHei"/>
          <w:color w:val="1E2E40"/>
          <w:sz w:val="24"/>
          <w:szCs w:val="24"/>
        </w:rPr>
        <w:t xml:space="preserve">Three clearinghouse providers are supported. Stedi is recommended for claim submission (837P) and status checks (276/277), with base URL https://api.stedi.com/2024-04-01. Availity excels at multi-payer eligibility, with base URL https://api.availity.com/availity/v1. pVerify specializes in real-time eligibility and Medicare checks (base URL https://api.pverify.net/v2); it does not support claim submission. The ClearinghouseManager automatically routes operations: claims prefer Stedi then Availity; eligibility prefers pVerify then Availity then Stedi; status prefers Stedi then Availity. Fallback is automatic when a primary connector fails.</w:t>
      </w:r>
    </w:p>
    <w:p>
      <w:pPr>
        <w:pStyle w:val="Heading2"/>
        <w:spacing w:after="160" w:before="280" w:line="312"/>
      </w:pPr>
      <w:r>
        <w:rPr>
          <w:rFonts w:ascii="Times New Roman" w:eastAsia="SimHei"/>
          <w:b/>
          <w:bCs/>
          <w:color w:val="0E2030"/>
          <w:sz w:val="28"/>
          <w:szCs w:val="28"/>
        </w:rPr>
        <w:t xml:space="preserve">3.7 X12 EDI Transaction Setup</w:t>
      </w:r>
    </w:p>
    <w:p>
      <w:pPr>
        <w:spacing w:after="120" w:line="312"/>
      </w:pPr>
      <w:r>
        <w:rPr>
          <w:rFonts w:ascii="Times New Roman" w:eastAsia="Microsoft YaHei"/>
          <w:color w:val="1E2E40"/>
          <w:sz w:val="24"/>
          <w:szCs w:val="24"/>
        </w:rPr>
        <w:t xml:space="preserve">The X12 Transaction Engine generates HIPAA-compliant ASC X12 5010 transactions. Configure interchange settings: sender ID and qualifier (ZZ for mutually defined), receiver ID and qualifier, interchange control version (00501), usage indicator (P for Production, T for Test). The engine handles all envelope generation (ISA/IEA, GS/GE, ST/SE) with proper control numbering.</w:t>
      </w:r>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gridCol w:w="100"/>
      </w:tblGrid>
      <w:tr>
        <w:trPr>
          <w:tblHeader/>
        </w:trPr>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Transaction</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X12 Type</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Purpose</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Key Segments</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Professional Claim</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837P</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Submit corrected claims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BHT, NM1, CLM, SV1, LX, DTP</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Eligibility Inquiry</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270</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Verify patient eligibility</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BHT, NM1 (PR/1P/IL), DMG, EQ</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Claim Status Inquiry</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276</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Check claim status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BHT, TRN, NM1, DTP, AMT</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Prior Auth Request</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278</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Request prior authorization</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BHT, UM, SV1, HI</w:t>
            </w:r>
          </w:p>
        </w:tc>
      </w:tr>
    </w:tbl>
    <w:p>
      <w:pPr>
        <w:spacing w:after="200" w:before="200"/>
      </w:pPr>
    </w:p>
    <w:p>
      <w:pPr>
        <w:pStyle w:val="Heading2"/>
        <w:spacing w:after="160" w:before="280" w:line="312"/>
      </w:pPr>
      <w:r>
        <w:rPr>
          <w:rFonts w:ascii="Times New Roman" w:eastAsia="SimHei"/>
          <w:b/>
          <w:bCs/>
          <w:color w:val="0E2030"/>
          <w:sz w:val="28"/>
          <w:szCs w:val="28"/>
        </w:rPr>
        <w:t xml:space="preserve">3.8 Da Vinci PAS Integration</w:t>
      </w:r>
    </w:p>
    <w:p>
      <w:pPr>
        <w:spacing w:after="120" w:line="312"/>
      </w:pPr>
      <w:r>
        <w:rPr>
          <w:rFonts w:ascii="Times New Roman" w:eastAsia="Microsoft YaHei"/>
          <w:color w:val="1E2E40"/>
          <w:sz w:val="24"/>
          <w:szCs w:val="24"/>
        </w:rPr>
        <w:t xml:space="preserve">The Da Vinci PAS integration provides FHIR-based prior authorization as an alternative to X12 278. CRD (Coverage Requirements Discovery) uses CDS Hooks to check PA requirements before service delivery. DTR (Documentation Templates &amp; Rules) provides questionnaires for PA documentation including clinical justification, failed alternatives, severity assessment, and supporting document uploads. PAS (Prior Authorization Support) handles PA submission by building FHIR Bundles containing Claim, Patient, Coverage, Practitioner, and Organization resources, submitting via FHIR transaction, and parsing ClaimResponse for approval status. For retroactive PA (CARC codes CO-197, CO-15), the convertDenialToPARequest method extracts information from the denial record and submits a retroactive PA with authType=6.</w:t>
      </w:r>
    </w:p>
    <w:p>
      <w:pPr>
        <w:pStyle w:val="Heading2"/>
        <w:spacing w:after="160" w:before="280" w:line="312"/>
      </w:pPr>
      <w:r>
        <w:rPr>
          <w:rFonts w:ascii="Times New Roman" w:eastAsia="SimHei"/>
          <w:b/>
          <w:bCs/>
          <w:color w:val="0E2030"/>
          <w:sz w:val="28"/>
          <w:szCs w:val="28"/>
        </w:rPr>
        <w:t xml:space="preserve">3.9 EHR Data Synchronization</w:t>
      </w:r>
    </w:p>
    <w:p>
      <w:pPr>
        <w:spacing w:after="120" w:line="312"/>
      </w:pPr>
      <w:r>
        <w:rPr>
          <w:rFonts w:ascii="Times New Roman" w:eastAsia="Microsoft YaHei"/>
          <w:color w:val="1E2E40"/>
          <w:sz w:val="24"/>
          <w:szCs w:val="24"/>
        </w:rPr>
        <w:t xml:space="preserve">The /api/ehr/sync endpoint provides four sync types: 'patient' syncs a single patient record, 'coverage' syncs insurance coverage, 'eob' syncs ExplanationOfBenefit records, and 'full' performs complete sync. All operations are logged in FHIRSyncLog with records synced/failed and timestamps.</w:t>
      </w:r>
    </w:p>
    <w:p>
      <w:pPr>
        <w:pStyle w:val="Heading2"/>
        <w:spacing w:after="160" w:before="280" w:line="312"/>
      </w:pPr>
      <w:r>
        <w:rPr>
          <w:rFonts w:ascii="Times New Roman" w:eastAsia="SimHei"/>
          <w:b/>
          <w:bCs/>
          <w:color w:val="0E2030"/>
          <w:sz w:val="28"/>
          <w:szCs w:val="28"/>
        </w:rPr>
        <w:t xml:space="preserve">3.10 Monitoring EHR Integration</w:t>
      </w:r>
    </w:p>
    <w:p>
      <w:pPr>
        <w:spacing w:after="120" w:line="312"/>
      </w:pPr>
      <w:r>
        <w:rPr>
          <w:rFonts w:ascii="Times New Roman" w:eastAsia="Microsoft YaHei"/>
          <w:color w:val="1E2E40"/>
          <w:sz w:val="24"/>
          <w:szCs w:val="24"/>
        </w:rPr>
        <w:t xml:space="preserve">GET /api/ehr returns: Level 3 capabilities (12 features), connected EHR servers with types and statuses, clearinghouse configurations, recent FHIR sync logs (last 10), recent clearinghouse transactions (last 10), PA statistics by status, and eligibility check statistics with response times. Use this endpoint to monitor system health and track integration performance.</w:t>
      </w:r>
    </w:p>
    <w:p>
      <w:pPr>
        <w:pStyle w:val="Heading1"/>
        <w:spacing w:after="200" w:before="360" w:line="312"/>
      </w:pPr>
      <w:r>
        <w:rPr>
          <w:rFonts w:ascii="Times New Roman" w:eastAsia="SimHei"/>
          <w:b/>
          <w:bCs/>
          <w:color w:val="0E2030"/>
          <w:sz w:val="32"/>
          <w:szCs w:val="32"/>
        </w:rPr>
        <w:t xml:space="preserve">4. Best Practices</w:t>
      </w:r>
    </w:p>
    <w:p>
      <w:pPr>
        <w:pStyle w:val="Heading2"/>
        <w:spacing w:after="160" w:before="280" w:line="312"/>
      </w:pPr>
      <w:r>
        <w:rPr>
          <w:rFonts w:ascii="Times New Roman" w:eastAsia="SimHei"/>
          <w:b/>
          <w:bCs/>
          <w:color w:val="0E2030"/>
          <w:sz w:val="28"/>
          <w:szCs w:val="28"/>
        </w:rPr>
        <w:t xml:space="preserve">4.1 Workflow Optimization</w:t>
      </w:r>
    </w:p>
    <w:p>
      <w:pPr>
        <w:spacing w:after="80" w:line="312"/>
        <w:ind w:left="360"/>
      </w:pPr>
      <w:r>
        <w:rPr>
          <w:rFonts w:ascii="Times New Roman" w:eastAsia="Microsoft YaHei"/>
          <w:color w:val="1E2E40"/>
          <w:sz w:val="24"/>
          <w:szCs w:val="24"/>
        </w:rPr>
        <w:t xml:space="preserve">• Start with the AI Worklist to prioritize high-value denials near filing deadlines</w:t>
      </w:r>
    </w:p>
    <w:p>
      <w:pPr>
        <w:spacing w:after="80" w:line="312"/>
        <w:ind w:left="360"/>
      </w:pPr>
      <w:r>
        <w:rPr>
          <w:rFonts w:ascii="Times New Roman" w:eastAsia="Microsoft YaHei"/>
          <w:color w:val="1E2E40"/>
          <w:sz w:val="24"/>
          <w:szCs w:val="24"/>
        </w:rPr>
        <w:t xml:space="preserve">• Use batch analysis to process multiple denials simultaneously</w:t>
      </w:r>
    </w:p>
    <w:p>
      <w:pPr>
        <w:spacing w:after="80" w:line="312"/>
        <w:ind w:left="360"/>
      </w:pPr>
      <w:r>
        <w:rPr>
          <w:rFonts w:ascii="Times New Roman" w:eastAsia="Microsoft YaHei"/>
          <w:color w:val="1E2E40"/>
          <w:sz w:val="24"/>
          <w:szCs w:val="24"/>
        </w:rPr>
        <w:t xml:space="preserve">• Run Claim Scrub regularly on pre-submission claims</w:t>
      </w:r>
    </w:p>
    <w:p>
      <w:pPr>
        <w:spacing w:after="80" w:line="312"/>
        <w:ind w:left="360"/>
      </w:pPr>
      <w:r>
        <w:rPr>
          <w:rFonts w:ascii="Times New Roman" w:eastAsia="Microsoft YaHei"/>
          <w:color w:val="1E2E40"/>
          <w:sz w:val="24"/>
          <w:szCs w:val="24"/>
        </w:rPr>
        <w:t xml:space="preserve">• Review the Prevention Dashboard weekly for emerging denial patterns</w:t>
      </w:r>
    </w:p>
    <w:p>
      <w:pPr>
        <w:spacing w:after="80" w:line="312"/>
        <w:ind w:left="360"/>
      </w:pPr>
      <w:r>
        <w:rPr>
          <w:rFonts w:ascii="Times New Roman" w:eastAsia="Microsoft YaHei"/>
          <w:color w:val="1E2E40"/>
          <w:sz w:val="24"/>
          <w:szCs w:val="24"/>
        </w:rPr>
        <w:t xml:space="preserve">• Check Resubmission Intelligence predictions before submitting corrections</w:t>
      </w:r>
    </w:p>
    <w:p>
      <w:pPr>
        <w:spacing w:after="80" w:line="312"/>
        <w:ind w:left="360"/>
      </w:pPr>
      <w:r>
        <w:rPr>
          <w:rFonts w:ascii="Times New Roman" w:eastAsia="Microsoft YaHei"/>
          <w:color w:val="1E2E40"/>
          <w:sz w:val="24"/>
          <w:szCs w:val="24"/>
        </w:rPr>
        <w:t xml:space="preserve">• Always run Quality Check after Smart Correct before resubmitting</w:t>
      </w:r>
    </w:p>
    <w:p>
      <w:pPr>
        <w:pStyle w:val="Heading2"/>
        <w:spacing w:after="160" w:before="280" w:line="312"/>
      </w:pPr>
      <w:r>
        <w:rPr>
          <w:rFonts w:ascii="Times New Roman" w:eastAsia="SimHei"/>
          <w:b/>
          <w:bCs/>
          <w:color w:val="0E2030"/>
          <w:sz w:val="28"/>
          <w:szCs w:val="28"/>
        </w:rPr>
        <w:t xml:space="preserve">4.2 EHR Integration Best Practices</w:t>
      </w:r>
    </w:p>
    <w:p>
      <w:pPr>
        <w:spacing w:after="80" w:line="312"/>
        <w:ind w:left="360"/>
      </w:pPr>
      <w:r>
        <w:rPr>
          <w:rFonts w:ascii="Times New Roman" w:eastAsia="Microsoft YaHei"/>
          <w:color w:val="1E2E40"/>
          <w:sz w:val="24"/>
          <w:szCs w:val="24"/>
        </w:rPr>
        <w:t xml:space="preserve">• Always test EHR connections in test mode (T) before switching to production</w:t>
      </w:r>
    </w:p>
    <w:p>
      <w:pPr>
        <w:spacing w:after="80" w:line="312"/>
        <w:ind w:left="360"/>
      </w:pPr>
      <w:r>
        <w:rPr>
          <w:rFonts w:ascii="Times New Roman" w:eastAsia="Microsoft YaHei"/>
          <w:color w:val="1E2E40"/>
          <w:sz w:val="24"/>
          <w:szCs w:val="24"/>
        </w:rPr>
        <w:t xml:space="preserve">• Start with a single clearinghouse (pVerify for eligibility) and expand</w:t>
      </w:r>
    </w:p>
    <w:p>
      <w:pPr>
        <w:spacing w:after="80" w:line="312"/>
        <w:ind w:left="360"/>
      </w:pPr>
      <w:r>
        <w:rPr>
          <w:rFonts w:ascii="Times New Roman" w:eastAsia="Microsoft YaHei"/>
          <w:color w:val="1E2E40"/>
          <w:sz w:val="24"/>
          <w:szCs w:val="24"/>
        </w:rPr>
        <w:t xml:space="preserve">• Use FHIR capability statement (/metadata) to verify server support</w:t>
      </w:r>
    </w:p>
    <w:p>
      <w:pPr>
        <w:spacing w:after="80" w:line="312"/>
        <w:ind w:left="360"/>
      </w:pPr>
      <w:r>
        <w:rPr>
          <w:rFonts w:ascii="Times New Roman" w:eastAsia="Microsoft YaHei"/>
          <w:color w:val="1E2E40"/>
          <w:sz w:val="24"/>
          <w:szCs w:val="24"/>
        </w:rPr>
        <w:t xml:space="preserve">• Monitor FHIRSyncLog and ClearinghouseTransaction for errors</w:t>
      </w:r>
    </w:p>
    <w:p>
      <w:pPr>
        <w:spacing w:after="80" w:line="312"/>
        <w:ind w:left="360"/>
      </w:pPr>
      <w:r>
        <w:rPr>
          <w:rFonts w:ascii="Times New Roman" w:eastAsia="Microsoft YaHei"/>
          <w:color w:val="1E2E40"/>
          <w:sz w:val="24"/>
          <w:szCs w:val="24"/>
        </w:rPr>
        <w:t xml:space="preserve">• Rotate EHR server credentials per security policy</w:t>
      </w:r>
    </w:p>
    <w:p>
      <w:pPr>
        <w:spacing w:after="80" w:line="312"/>
        <w:ind w:left="360"/>
      </w:pPr>
      <w:r>
        <w:rPr>
          <w:rFonts w:ascii="Times New Roman" w:eastAsia="Microsoft YaHei"/>
          <w:color w:val="1E2E40"/>
          <w:sz w:val="24"/>
          <w:szCs w:val="24"/>
        </w:rPr>
        <w:t xml:space="preserve">• Configure human-in-the-loop approval for claim submissions until confident</w:t>
      </w:r>
    </w:p>
    <w:p>
      <w:pPr>
        <w:pStyle w:val="Heading2"/>
        <w:spacing w:after="160" w:before="280" w:line="312"/>
      </w:pPr>
      <w:r>
        <w:rPr>
          <w:rFonts w:ascii="Times New Roman" w:eastAsia="SimHei"/>
          <w:b/>
          <w:bCs/>
          <w:color w:val="0E2030"/>
          <w:sz w:val="28"/>
          <w:szCs w:val="28"/>
        </w:rPr>
        <w:t xml:space="preserve">4.3 HIPAA Compliance Tips</w:t>
      </w:r>
    </w:p>
    <w:p>
      <w:pPr>
        <w:spacing w:after="80" w:line="312"/>
        <w:ind w:left="360"/>
      </w:pPr>
      <w:r>
        <w:rPr>
          <w:rFonts w:ascii="Times New Roman" w:eastAsia="Microsoft YaHei"/>
          <w:color w:val="1E2E40"/>
          <w:sz w:val="24"/>
          <w:szCs w:val="24"/>
        </w:rPr>
        <w:t xml:space="preserve">• Change all default passwords immediately after deployment</w:t>
      </w:r>
    </w:p>
    <w:p>
      <w:pPr>
        <w:spacing w:after="80" w:line="312"/>
        <w:ind w:left="360"/>
      </w:pPr>
      <w:r>
        <w:rPr>
          <w:rFonts w:ascii="Times New Roman" w:eastAsia="Microsoft YaHei"/>
          <w:color w:val="1E2E40"/>
          <w:sz w:val="24"/>
          <w:szCs w:val="24"/>
        </w:rPr>
        <w:t xml:space="preserve">• Ensure BAA records are signed and current for all PHI-accessing vendors</w:t>
      </w:r>
    </w:p>
    <w:p>
      <w:pPr>
        <w:spacing w:after="80" w:line="312"/>
        <w:ind w:left="360"/>
      </w:pPr>
      <w:r>
        <w:rPr>
          <w:rFonts w:ascii="Times New Roman" w:eastAsia="Microsoft YaHei"/>
          <w:color w:val="1E2E40"/>
          <w:sz w:val="24"/>
          <w:szCs w:val="24"/>
        </w:rPr>
        <w:t xml:space="preserve">• Regularly review the HIPAA Audit Log for unauthorized access</w:t>
      </w:r>
    </w:p>
    <w:p>
      <w:pPr>
        <w:spacing w:after="80" w:line="312"/>
        <w:ind w:left="360"/>
      </w:pPr>
      <w:r>
        <w:rPr>
          <w:rFonts w:ascii="Times New Roman" w:eastAsia="Microsoft YaHei"/>
          <w:color w:val="1E2E40"/>
          <w:sz w:val="24"/>
          <w:szCs w:val="24"/>
        </w:rPr>
        <w:t xml:space="preserve">• Use compliance checks to validate encryption and data retention</w:t>
      </w:r>
    </w:p>
    <w:p>
      <w:pPr>
        <w:spacing w:after="80" w:line="312"/>
        <w:ind w:left="360"/>
      </w:pPr>
      <w:r>
        <w:rPr>
          <w:rFonts w:ascii="Times New Roman" w:eastAsia="Microsoft YaHei"/>
          <w:color w:val="1E2E40"/>
          <w:sz w:val="24"/>
          <w:szCs w:val="24"/>
        </w:rPr>
        <w:t xml:space="preserve">• Never expose the API directly to the internet; use reverse proxy with TLS</w:t>
      </w:r>
    </w:p>
    <w:p>
      <w:pPr>
        <w:spacing w:after="80" w:line="312"/>
        <w:ind w:left="360"/>
      </w:pPr>
      <w:r>
        <w:rPr>
          <w:rFonts w:ascii="Times New Roman" w:eastAsia="Microsoft YaHei"/>
          <w:color w:val="1E2E40"/>
          <w:sz w:val="24"/>
          <w:szCs w:val="24"/>
        </w:rPr>
        <w:t xml:space="preserve">• Configure rate limiting on all API endpoints</w:t>
      </w:r>
    </w:p>
    <w:p>
      <w:pPr>
        <w:pStyle w:val="Heading1"/>
        <w:spacing w:after="200" w:before="360" w:line="312"/>
      </w:pPr>
      <w:r>
        <w:rPr>
          <w:rFonts w:ascii="Times New Roman" w:eastAsia="SimHei"/>
          <w:b/>
          <w:bCs/>
          <w:color w:val="0E2030"/>
          <w:sz w:val="32"/>
          <w:szCs w:val="32"/>
        </w:rPr>
        <w:t xml:space="preserve">5. Troubleshooting</w:t>
      </w:r>
    </w:p>
    <w:p>
      <w:pPr>
        <w:pStyle w:val="Heading2"/>
        <w:spacing w:after="160" w:before="280" w:line="312"/>
      </w:pPr>
      <w:r>
        <w:rPr>
          <w:rFonts w:ascii="Times New Roman" w:eastAsia="SimHei"/>
          <w:b/>
          <w:bCs/>
          <w:color w:val="0E2030"/>
          <w:sz w:val="28"/>
          <w:szCs w:val="28"/>
        </w:rPr>
        <w:t xml:space="preserve">5.1 Common Issues</w:t>
      </w:r>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tblGrid>
      <w:tr>
        <w:trPr>
          <w:tblHeader/>
        </w:trPr>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Issue</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Possible Cause</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Resolution</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FHIR auth fails (401)</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Invalid credentials or expired token</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Verify client ID/secret, check token endpoint and scopes</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EHR server shows 'error'</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Network or credential issue</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Test connection, check firewall, re-authenticate</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Clearinghouse rejection</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Invalid X12 format or missing segments</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Review X12 output, verify sender/receiver IDs</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Eligibility returns inactive</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Wrong member ID or DOB</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Verify subscriber info, try alternate ID formats</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PA stuck in 'pended'</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Payer needs additional documentation</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Complete DTR questionnaire, upload documents</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Claim submission fails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Expired API key</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Check API key validity, review error logs</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Low AI confidence</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Unusual CARC code or insufficient context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Add notes, review CARC mapping</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Sync returns empty</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Wrong patient ID or no matching records</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Verify FHIR ID format, check date range</w:t>
            </w:r>
          </w:p>
        </w:tc>
      </w:tr>
    </w:tbl>
    <w:p>
      <w:pPr>
        <w:spacing w:after="200" w:before="200"/>
      </w:pPr>
    </w:p>
    <w:p>
      <w:pPr>
        <w:pStyle w:val="Heading2"/>
        <w:spacing w:after="160" w:before="280" w:line="312"/>
      </w:pPr>
      <w:r>
        <w:rPr>
          <w:rFonts w:ascii="Times New Roman" w:eastAsia="SimHei"/>
          <w:b/>
          <w:bCs/>
          <w:color w:val="0E2030"/>
          <w:sz w:val="28"/>
          <w:szCs w:val="28"/>
        </w:rPr>
        <w:t xml:space="preserve">5.2 API Error Codes</w:t>
      </w:r>
    </w:p>
    <w:tbl>
      <w:tblPr>
        <w:tblW w:type="pct" w:w="100%"/>
        <w:tblBorders>
          <w:top w:val="single" w:color="1A5276" w:sz="2"/>
          <w:left w:val="none"/>
          <w:bottom w:val="single" w:color="1A5276" w:sz="2"/>
          <w:right w:val="none"/>
          <w:insideH w:val="single" w:color="D0DDE8" w:sz="1"/>
          <w:insideV w:val="none"/>
        </w:tblBorders>
      </w:tblPr>
      <w:tblGrid>
        <w:gridCol w:w="100"/>
        <w:gridCol w:w="100"/>
        <w:gridCol w:w="100"/>
      </w:tblGrid>
      <w:tr>
        <w:trPr>
          <w:tblHeader/>
        </w:trPr>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Error Code</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Meaning</w:t>
            </w:r>
          </w:p>
        </w:tc>
        <w:tc>
          <w:tcPr>
            <w:shd w:fill="2E86C1" w:val="clear"/>
            <w:tcMar>
              <w:top w:type="dxa" w:w="60"/>
              <w:left w:type="dxa" w:w="120"/>
              <w:bottom w:type="dxa" w:w="60"/>
              <w:right w:type="dxa" w:w="120"/>
            </w:tcMar>
          </w:tcPr>
          <w:p>
            <w:pPr>
              <w:spacing w:line="276"/>
              <w:jc w:val="center"/>
            </w:pPr>
            <w:r>
              <w:rPr>
                <w:rFonts w:ascii="Times New Roman" w:eastAsia="SimHei"/>
                <w:b/>
                <w:bCs/>
                <w:color w:val="FFFFFF"/>
                <w:sz w:val="21"/>
                <w:szCs w:val="21"/>
              </w:rPr>
              <w:t xml:space="preserve">Action</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FHIR_AUTH_ERROR</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Authentication failed with EHR</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Check credentials and token endpoint</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FHIR_SERVER_ERROR</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FHIR server error (5xx)</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Retry later, check server status</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FHIR_TIMEOUT_ERROR</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FHIR request timed out</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Increase timeout, check network</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CONNECTION_ERROR</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Cannot reach clearinghouse</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Verify internet access, check proxy</w:t>
            </w:r>
          </w:p>
        </w:tc>
      </w:tr>
      <w:tr>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NOT_SUPPORTED</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Operation not supported by connector</w:t>
            </w:r>
          </w:p>
        </w:tc>
        <w:tc>
          <w:tcPr>
            <w:shd w:fill="EDF3F8" w:val="clear"/>
            <w:tcMar>
              <w:top w:type="dxa" w:w="60"/>
              <w:left w:type="dxa" w:w="120"/>
              <w:bottom w:type="dxa" w:w="60"/>
              <w:right w:type="dxa" w:w="120"/>
            </w:tcMar>
          </w:tcPr>
          <w:p>
            <w:pPr>
              <w:spacing w:line="276"/>
            </w:pPr>
            <w:r>
              <w:rPr>
                <w:rFonts w:ascii="Times New Roman" w:eastAsia="Microsoft YaHei"/>
                <w:color w:val="1E2E40"/>
                <w:sz w:val="20"/>
                <w:szCs w:val="20"/>
              </w:rPr>
              <w:t xml:space="preserve">Use different clearinghouse</w:t>
            </w:r>
          </w:p>
        </w:tc>
      </w:tr>
      <w:tr>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CLAIM_REJECTED</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Claim rejected by clearinghouse</w:t>
            </w:r>
          </w:p>
        </w:tc>
        <w:tc>
          <w:tcPr>
            <w:shd w:fill="FFFFFF" w:val="clear"/>
            <w:tcMar>
              <w:top w:type="dxa" w:w="60"/>
              <w:left w:type="dxa" w:w="120"/>
              <w:bottom w:type="dxa" w:w="60"/>
              <w:right w:type="dxa" w:w="120"/>
            </w:tcMar>
          </w:tcPr>
          <w:p>
            <w:pPr>
              <w:spacing w:line="276"/>
            </w:pPr>
            <w:r>
              <w:rPr>
                <w:rFonts w:ascii="Times New Roman" w:eastAsia="Microsoft YaHei"/>
                <w:color w:val="1E2E40"/>
                <w:sz w:val="20"/>
                <w:szCs w:val="20"/>
              </w:rPr>
              <w:t xml:space="preserve">Review errors, fix and resubmit</w:t>
            </w:r>
          </w:p>
        </w:tc>
      </w:tr>
    </w:tbl>
    <w:p>
      <w:pPr>
        <w:spacing w:after="200" w:before="200"/>
      </w:pP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65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E2E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0E2030"/>
      <w:sz w:val="32"/>
      <w:szCs w:val="32"/>
    </w:rPr>
  </w:style>
  <w:style w:type="paragraph" w:styleId="Heading2">
    <w:name w:val="Heading 2"/>
    <w:basedOn w:val="Normal"/>
    <w:next w:val="Normal"/>
    <w:qFormat/>
    <w:rPr>
      <w:rFonts w:ascii="Times New Roman" w:eastAsia="SimHei"/>
      <w:b/>
      <w:bCs/>
      <w:color w:val="0E203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2026-05-17T15:06:04.400Z</dcterms:created>
  <dcterms:modified xsi:type="dcterms:W3CDTF">2026-05-17T15:06:04.400Z</dcterms:modified>
</cp:coreProperties>
</file>

<file path=docProps/custom.xml><?xml version="1.0" encoding="utf-8"?>
<Properties xmlns="http://schemas.openxmlformats.org/officeDocument/2006/custom-properties" xmlns:vt="http://schemas.openxmlformats.org/officeDocument/2006/docPropsVTypes"/>
</file>