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f3yxkhopje5" w:id="0"/>
      <w:bookmarkEnd w:id="0"/>
      <w:r w:rsidDel="00000000" w:rsidR="00000000" w:rsidRPr="00000000">
        <w:rPr>
          <w:b w:val="1"/>
          <w:sz w:val="46"/>
          <w:szCs w:val="46"/>
          <w:rtl w:val="0"/>
        </w:rPr>
        <w:t xml:space="preserve">Definitive Blueprint of the Wealth Management Client Onboarding Cycle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5c89sat87js"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a comprehensive, structured outline of the end-to-end client lifecycle at a premier wealth management institution. Each phase is detailed with its primary business goal, key activities, and a deeper business context breakdown. This blueprint serves as the single source of truth for understanding the current-state process.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80qr15k0buf" w:id="2"/>
      <w:bookmarkEnd w:id="2"/>
      <w:r w:rsidDel="00000000" w:rsidR="00000000" w:rsidRPr="00000000">
        <w:rPr>
          <w:b w:val="1"/>
          <w:color w:val="000000"/>
          <w:sz w:val="26"/>
          <w:szCs w:val="26"/>
          <w:rtl w:val="0"/>
        </w:rPr>
        <w:t xml:space="preserve">Key Entities &amp; Operating Models</w:t>
      </w:r>
    </w:p>
    <w:p w:rsidR="00000000" w:rsidDel="00000000" w:rsidP="00000000" w:rsidRDefault="00000000" w:rsidRPr="00000000" w14:paraId="00000005">
      <w:pPr>
        <w:spacing w:after="240" w:before="240" w:lineRule="auto"/>
        <w:rPr/>
      </w:pPr>
      <w:r w:rsidDel="00000000" w:rsidR="00000000" w:rsidRPr="00000000">
        <w:rPr>
          <w:rtl w:val="0"/>
        </w:rPr>
        <w:t xml:space="preserve">Before detailing the lifecycle phases, it is critical to understand the key players involved and the primary ways in which they interact.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ubyxqoy9mpop" w:id="3"/>
      <w:bookmarkEnd w:id="3"/>
      <w:r w:rsidDel="00000000" w:rsidR="00000000" w:rsidRPr="00000000">
        <w:rPr>
          <w:b w:val="1"/>
          <w:color w:val="000000"/>
          <w:sz w:val="26"/>
          <w:szCs w:val="26"/>
          <w:rtl w:val="0"/>
        </w:rPr>
        <w:t xml:space="preserve">The Entities Involved</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The Wealthy Client (UHNWI):</w:t>
      </w:r>
      <w:r w:rsidDel="00000000" w:rsidR="00000000" w:rsidRPr="00000000">
        <w:rPr>
          <w:rtl w:val="0"/>
        </w:rPr>
        <w:t xml:space="preserve"> The Ultimate High-Net-Worth Individual who is the beneficial owner of the assets. They are typically defined as having $30 million or more in investable assets. In this model, the UHNWI often delegates the management of their financial affairs to a professional team.</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The Family Office:</w:t>
      </w:r>
      <w:r w:rsidDel="00000000" w:rsidR="00000000" w:rsidRPr="00000000">
        <w:rPr>
          <w:rtl w:val="0"/>
        </w:rPr>
        <w:t xml:space="preserve"> This is the client's private company, acting as a professional, institutional-grade organization that manages the UHNWI's wealth, investments, and legal structures. The Family Office is the direct </w:t>
      </w:r>
      <w:r w:rsidDel="00000000" w:rsidR="00000000" w:rsidRPr="00000000">
        <w:rPr>
          <w:b w:val="1"/>
          <w:rtl w:val="0"/>
        </w:rPr>
        <w:t xml:space="preserve">Prospect</w:t>
      </w:r>
      <w:r w:rsidDel="00000000" w:rsidR="00000000" w:rsidRPr="00000000">
        <w:rPr>
          <w:rtl w:val="0"/>
        </w:rPr>
        <w:t xml:space="preserve"> and counterparty for the institution.</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The Institution (The Bank):</w:t>
      </w:r>
      <w:r w:rsidDel="00000000" w:rsidR="00000000" w:rsidRPr="00000000">
        <w:rPr>
          <w:rtl w:val="0"/>
        </w:rPr>
        <w:t xml:space="preserve"> This is the premier wealth management firm that provides the financial services, acts as the custodian for assets, and holds the necessary regulatory licenses.</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b w:val="1"/>
          <w:rtl w:val="0"/>
        </w:rPr>
        <w:t xml:space="preserve">The Relationship Manager (RM):</w:t>
      </w:r>
      <w:r w:rsidDel="00000000" w:rsidR="00000000" w:rsidRPr="00000000">
        <w:rPr>
          <w:rtl w:val="0"/>
        </w:rPr>
        <w:t xml:space="preserve"> This is a senior employee of The Institution (The Bank). The RM is the primary point of contact and strategic advisor from the bank </w:t>
      </w:r>
      <w:r w:rsidDel="00000000" w:rsidR="00000000" w:rsidRPr="00000000">
        <w:rPr>
          <w:i w:val="1"/>
          <w:rtl w:val="0"/>
        </w:rPr>
        <w:t xml:space="preserve">to</w:t>
      </w:r>
      <w:r w:rsidDel="00000000" w:rsidR="00000000" w:rsidRPr="00000000">
        <w:rPr>
          <w:rtl w:val="0"/>
        </w:rPr>
        <w:t xml:space="preserve"> the Family Office. They are not an independent middleman.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2pw2z9vz76s" w:id="4"/>
      <w:bookmarkEnd w:id="4"/>
      <w:r w:rsidDel="00000000" w:rsidR="00000000" w:rsidRPr="00000000">
        <w:rPr>
          <w:b w:val="1"/>
          <w:color w:val="000000"/>
          <w:sz w:val="26"/>
          <w:szCs w:val="26"/>
          <w:rtl w:val="0"/>
        </w:rPr>
        <w:t xml:space="preserve">The Operating Models</w:t>
      </w:r>
    </w:p>
    <w:p w:rsidR="00000000" w:rsidDel="00000000" w:rsidP="00000000" w:rsidRDefault="00000000" w:rsidRPr="00000000" w14:paraId="0000000C">
      <w:pPr>
        <w:spacing w:after="240" w:before="240" w:lineRule="auto"/>
        <w:rPr/>
      </w:pPr>
      <w:r w:rsidDel="00000000" w:rsidR="00000000" w:rsidRPr="00000000">
        <w:rPr>
          <w:rtl w:val="0"/>
        </w:rPr>
        <w:t xml:space="preserve">There are two primary models for how these entities interact in the industry. This blueprint is focused on the </w:t>
      </w:r>
      <w:r w:rsidDel="00000000" w:rsidR="00000000" w:rsidRPr="00000000">
        <w:rPr>
          <w:b w:val="1"/>
          <w:rtl w:val="0"/>
        </w:rPr>
        <w:t xml:space="preserve">Direct Model</w:t>
      </w:r>
      <w:r w:rsidDel="00000000" w:rsidR="00000000" w:rsidRPr="00000000">
        <w:rPr>
          <w:rtl w:val="0"/>
        </w:rPr>
        <w:t xml:space="preserve">.</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The Direct Model:</w:t>
      </w:r>
      <w:r w:rsidDel="00000000" w:rsidR="00000000" w:rsidRPr="00000000">
        <w:rPr>
          <w:rtl w:val="0"/>
        </w:rPr>
        <w:t xml:space="preserve"> The Family Office chooses to work directly with a major Institution. The Institution then assigns its own employee, the Relationship Manager, to manage the entire relationship. The RM is the ambassador for the Institution's full suite of capabilities. This is the standard model for large, integrated private banks.</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The Intermediary Model:</w:t>
      </w:r>
      <w:r w:rsidDel="00000000" w:rsidR="00000000" w:rsidRPr="00000000">
        <w:rPr>
          <w:rtl w:val="0"/>
        </w:rPr>
        <w:t xml:space="preserve"> The Family Office hires an external, independent advisor (sometimes called an External Asset Manager or EAM). This advisor acts as a "middleman," working for the client to select the best services from multiple different banks. In this model, the RM at the bank would be working with the EAM, not directly with the Family Office.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gec2qi33pym" w:id="5"/>
      <w:bookmarkEnd w:id="5"/>
      <w:r w:rsidDel="00000000" w:rsidR="00000000" w:rsidRPr="00000000">
        <w:rPr>
          <w:b w:val="1"/>
          <w:color w:val="000000"/>
          <w:sz w:val="26"/>
          <w:szCs w:val="26"/>
          <w:rtl w:val="0"/>
        </w:rPr>
        <w:t xml:space="preserve">Phase 1: Prospect &amp; Origination (The Courtship)</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identify potential clients, understand their complex needs, and secure a verbal commitment or mandate by establishing deep institutional trust.</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tl w:val="0"/>
        </w:rPr>
        <w:t xml:space="preserve">A Relationship Manager (RM) engages in detailed consultations with the prospect (e.g., a Family Office or Institution).</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The client's unique financial goals, risk tolerance, and specific constraints are documented in an </w:t>
      </w:r>
      <w:r w:rsidDel="00000000" w:rsidR="00000000" w:rsidRPr="00000000">
        <w:rPr>
          <w:b w:val="1"/>
          <w:rtl w:val="0"/>
        </w:rPr>
        <w:t xml:space="preserve">Investment Strategy Definition</w:t>
      </w:r>
      <w:r w:rsidDel="00000000" w:rsidR="00000000" w:rsidRPr="00000000">
        <w:rPr>
          <w:rtl w:val="0"/>
        </w:rPr>
        <w:t xml:space="preserve">.</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Initial prospect data, meeting notes, and communications are logged.</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This initial phase is a long-term, strategic courtship, not a quick sale. The process is defined by the complex ecosystem of the client's world. Here’s how the key players interact:</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b w:val="1"/>
          <w:rtl w:val="0"/>
        </w:rPr>
        <w:t xml:space="preserve">The Wealthy Client (UHNWI):</w:t>
      </w:r>
      <w:r w:rsidDel="00000000" w:rsidR="00000000" w:rsidRPr="00000000">
        <w:rPr>
          <w:rtl w:val="0"/>
        </w:rPr>
        <w:t xml:space="preserve"> The ultimate beneficial owner of the wealth is often insulated from this initial process. They have delegated the management and vetting of financial partners to their professional team.</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The Family Office:</w:t>
      </w:r>
      <w:r w:rsidDel="00000000" w:rsidR="00000000" w:rsidRPr="00000000">
        <w:rPr>
          <w:rtl w:val="0"/>
        </w:rPr>
        <w:t xml:space="preserve"> This is the professional entity that manages the UHNWI's wealth. It is staffed with a CEO, Chief Investment Officer (CIO), lawyers, and accountants. The Family Office is the </w:t>
      </w:r>
      <w:r w:rsidDel="00000000" w:rsidR="00000000" w:rsidRPr="00000000">
        <w:rPr>
          <w:b w:val="1"/>
          <w:rtl w:val="0"/>
        </w:rPr>
        <w:t xml:space="preserve">Prospect</w:t>
      </w:r>
      <w:r w:rsidDel="00000000" w:rsidR="00000000" w:rsidRPr="00000000">
        <w:rPr>
          <w:rtl w:val="0"/>
        </w:rPr>
        <w:t xml:space="preserve">. The institution isn't selling to an individual; it's selling its capabilities to a sophisticated, institutional-grade organization.</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b w:val="1"/>
          <w:rtl w:val="0"/>
        </w:rPr>
        <w:t xml:space="preserve">The Relationship Manager (RM):</w:t>
      </w:r>
      <w:r w:rsidDel="00000000" w:rsidR="00000000" w:rsidRPr="00000000">
        <w:rPr>
          <w:rtl w:val="0"/>
        </w:rPr>
        <w:t xml:space="preserve"> This senior representative from the institution is the primary point of contact. Their role is to build a peer-level relationship with the key decision-makers at the Family Office (e.g., the CIO or CEO). This is a consultative engagement where the RM acts as a strategic advisor, diagnosing complex challenges related to global custody, asset reporting, or succession planning. The </w:t>
      </w:r>
      <w:r w:rsidDel="00000000" w:rsidR="00000000" w:rsidRPr="00000000">
        <w:rPr>
          <w:b w:val="1"/>
          <w:rtl w:val="0"/>
        </w:rPr>
        <w:t xml:space="preserve">"Investment Strategy Definition"</w:t>
      </w:r>
      <w:r w:rsidDel="00000000" w:rsidR="00000000" w:rsidRPr="00000000">
        <w:rPr>
          <w:rtl w:val="0"/>
        </w:rPr>
        <w:t xml:space="preserve"> is a collaborative effort that produces the </w:t>
      </w:r>
      <w:r w:rsidDel="00000000" w:rsidR="00000000" w:rsidRPr="00000000">
        <w:rPr>
          <w:b w:val="1"/>
          <w:rtl w:val="0"/>
        </w:rPr>
        <w:t xml:space="preserve">Investment Policy Statement (IPS)</w:t>
      </w:r>
      <w:r w:rsidDel="00000000" w:rsidR="00000000" w:rsidRPr="00000000">
        <w:rPr>
          <w:rtl w:val="0"/>
        </w:rPr>
        <w:t xml:space="preserve">, which acts as the constitution for how the client's money will be managed. This formal document explicitly defines the rules of engagement: goals (e.g., capital preservation), risk tolerance, and specific constraints or mandates (e.g., "no investments in fossil fuels"). However, a significant operational challenge arises here. Critical intelligence from these interactions—meeting notes, strategic discussions, and identified client sensitivities—is captured in a </w:t>
      </w:r>
      <w:r w:rsidDel="00000000" w:rsidR="00000000" w:rsidRPr="00000000">
        <w:rPr>
          <w:b w:val="1"/>
          <w:rtl w:val="0"/>
        </w:rPr>
        <w:t xml:space="preserve">highly unstructured format</w:t>
      </w:r>
      <w:r w:rsidDel="00000000" w:rsidR="00000000" w:rsidRPr="00000000">
        <w:rPr>
          <w:rtl w:val="0"/>
        </w:rPr>
        <w:t xml:space="preserve"> as free-form text within multiple, disconnected CRM systems. This practice creates a critical "black hole" of information. Valuable context, such as specific client instructions or future financial intentions like a company sale, becomes trapped and is not systematically visible to downstream processes. This forces the rest of the institution to operate without this key context, creating a high risk of service errors and missed opportunities for proactive advisory. This systemic issue means that deep client insights depend entirely on the individual RM's memory rather than on shared institutional knowledge. The entire focus of this phase is on demonstrating unparalleled expertise through this deep diagnostic process, building the human trust necessary for the Family Office to award its mandate to the institution.</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tl w:val="0"/>
        </w:rPr>
        <w:t xml:space="preserve">A qualified prospect with a verbal agreement to proceed.</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A documented Investment Policy Statement (IPS).</w:t>
      </w:r>
    </w:p>
    <w:p w:rsidR="00000000" w:rsidDel="00000000" w:rsidP="00000000" w:rsidRDefault="00000000" w:rsidRPr="00000000" w14:paraId="0000001C">
      <w:pPr>
        <w:numPr>
          <w:ilvl w:val="1"/>
          <w:numId w:val="7"/>
        </w:numPr>
        <w:spacing w:after="240" w:before="0" w:beforeAutospacing="0" w:lineRule="auto"/>
        <w:ind w:left="1440" w:hanging="360"/>
      </w:pPr>
      <w:r w:rsidDel="00000000" w:rsidR="00000000" w:rsidRPr="00000000">
        <w:rPr>
          <w:rtl w:val="0"/>
        </w:rPr>
        <w:t xml:space="preserve">Initial client profile data in a CRM system.</w:t>
      </w:r>
    </w:p>
    <w:p w:rsidR="00000000" w:rsidDel="00000000" w:rsidP="00000000" w:rsidRDefault="00000000" w:rsidRPr="00000000" w14:paraId="0000001D">
      <w:pPr>
        <w:spacing w:after="240" w:befor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2o78v4ogrujd" w:id="6"/>
      <w:bookmarkEnd w:id="6"/>
      <w:r w:rsidDel="00000000" w:rsidR="00000000" w:rsidRPr="00000000">
        <w:rPr>
          <w:b w:val="1"/>
          <w:color w:val="000000"/>
          <w:sz w:val="26"/>
          <w:szCs w:val="26"/>
          <w:rtl w:val="0"/>
        </w:rPr>
        <w:t xml:space="preserve">Phase 2: Onboarding &amp; Due Diligence (The Foundation)</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construct a complete, accurate, and compliant representation of the client's entire legal and financial structure within the institution's systems.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The formal creation of all associated </w:t>
      </w:r>
      <w:r w:rsidDel="00000000" w:rsidR="00000000" w:rsidRPr="00000000">
        <w:rPr>
          <w:b w:val="1"/>
          <w:rtl w:val="0"/>
        </w:rPr>
        <w:t xml:space="preserve">Client Legal Entities</w:t>
      </w:r>
      <w:r w:rsidDel="00000000" w:rsidR="00000000" w:rsidRPr="00000000">
        <w:rPr>
          <w:rtl w:val="0"/>
        </w:rPr>
        <w:t xml:space="preserve"> (e.g., Trusts, LLCs).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The identification and linking of all </w:t>
      </w:r>
      <w:r w:rsidDel="00000000" w:rsidR="00000000" w:rsidRPr="00000000">
        <w:rPr>
          <w:b w:val="1"/>
          <w:rtl w:val="0"/>
        </w:rPr>
        <w:t xml:space="preserve">Related Parties</w:t>
      </w:r>
      <w:r w:rsidDel="00000000" w:rsidR="00000000" w:rsidRPr="00000000">
        <w:rPr>
          <w:rtl w:val="0"/>
        </w:rPr>
        <w:t xml:space="preserve"> (e.g., beneficiaries, trustees, directors).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The systematic collection and validation of all required </w:t>
      </w:r>
      <w:r w:rsidDel="00000000" w:rsidR="00000000" w:rsidRPr="00000000">
        <w:rPr>
          <w:b w:val="1"/>
          <w:rtl w:val="0"/>
        </w:rPr>
        <w:t xml:space="preserve">Documents</w:t>
      </w:r>
      <w:r w:rsidDel="00000000" w:rsidR="00000000" w:rsidRPr="00000000">
        <w:rPr>
          <w:rtl w:val="0"/>
        </w:rPr>
        <w:t xml:space="preserve"> (e.g., passports, articles of incorporation).</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A rigorous </w:t>
      </w:r>
      <w:r w:rsidDel="00000000" w:rsidR="00000000" w:rsidRPr="00000000">
        <w:rPr>
          <w:b w:val="1"/>
          <w:rtl w:val="0"/>
        </w:rPr>
        <w:t xml:space="preserve">AML (Anti-Money Laundering) and KYC (Know Your Customer) Assessment</w:t>
      </w:r>
      <w:r w:rsidDel="00000000" w:rsidR="00000000" w:rsidRPr="00000000">
        <w:rPr>
          <w:rtl w:val="0"/>
        </w:rPr>
        <w:t xml:space="preserve"> to identify Ultimate Beneficial Owners (UBOs) and perform risk screening.</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The core business context of this phase is not about a future solution, but about fulfilling a fundamental obligation: </w:t>
      </w:r>
      <w:r w:rsidDel="00000000" w:rsidR="00000000" w:rsidRPr="00000000">
        <w:rPr>
          <w:b w:val="1"/>
          <w:rtl w:val="0"/>
        </w:rPr>
        <w:t xml:space="preserve">risk management and regulatory compliance.</w:t>
      </w:r>
      <w:r w:rsidDel="00000000" w:rsidR="00000000" w:rsidRPr="00000000">
        <w:rPr>
          <w:rtl w:val="0"/>
        </w:rPr>
        <w:t xml:space="preserve"> The mindset shifts entirely from the sales-oriented focus of Phase 1 to a deeply operational and compliance-driven one. This phase serves as the institution's primary defense against financial crime and reputational damage. The process is a massive, manual effort involving multiple specialized internal teams (Onboarding, Compliance, Data Management) who must act as detectives. They engage in a constant, often frustrating, back-and-forth with the client's Family Office to collect, validate, and piece together the client's global footprint. This includes creating all legal entities in the system, meticulously mapping every related party (trustees, beneficiaries) to their correct role, and conducting the "great document chase" to collect and validate dozens of legal documents from multiple jurisdictions. The culmination of this effort is the critical AML/KYC assessment, where the institution definitively identifies the Ultimate Beneficial Owner (UBO) and assigns a formal risk rating. The highly manual and sequential nature of this process is a foundational challenge, creating significant operational bottlenecks that directly delay revenue activation and are the primary source of client friction in the entire lifecycle.</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A fully mapped and created client entity structure.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A complete and validated repository of all client due diligence documents.</w:t>
      </w:r>
    </w:p>
    <w:p w:rsidR="00000000" w:rsidDel="00000000" w:rsidP="00000000" w:rsidRDefault="00000000" w:rsidRPr="00000000" w14:paraId="00000029">
      <w:pPr>
        <w:numPr>
          <w:ilvl w:val="1"/>
          <w:numId w:val="3"/>
        </w:numPr>
        <w:spacing w:after="240" w:before="0" w:beforeAutospacing="0" w:lineRule="auto"/>
        <w:ind w:left="1440" w:hanging="360"/>
      </w:pPr>
      <w:r w:rsidDel="00000000" w:rsidR="00000000" w:rsidRPr="00000000">
        <w:rPr>
          <w:rtl w:val="0"/>
        </w:rPr>
        <w:t xml:space="preserve">An approved KYC/AML file with a formal client risk rating.</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2bmaa4ze3b5r" w:id="7"/>
      <w:bookmarkEnd w:id="7"/>
      <w:r w:rsidDel="00000000" w:rsidR="00000000" w:rsidRPr="00000000">
        <w:rPr>
          <w:b w:val="1"/>
          <w:color w:val="000000"/>
          <w:sz w:val="26"/>
          <w:szCs w:val="26"/>
          <w:rtl w:val="0"/>
        </w:rPr>
        <w:t xml:space="preserve">Phase 3: Contracting &amp; Activation (The Activation)</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finalize the legal relationship, activate the client's fee and service structure, and seamlessly transition their assets onto the institution's platform.</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rtl w:val="0"/>
        </w:rPr>
        <w:t xml:space="preserve">The negotiation and formal execution of the Client Contract:</w:t>
      </w:r>
      <w:r w:rsidDel="00000000" w:rsidR="00000000" w:rsidRPr="00000000">
        <w:rPr>
          <w:rtl w:val="0"/>
        </w:rPr>
        <w:t xml:space="preserve"> This multi-step process begins with drafting the Master Service Agreement, tailored with client-specific terms. Legal teams from both the institution and the client then engage in a "redlining" process, negotiating clauses back and forth. The phase concludes with the formal execution, where all authorized parties sign the final agreement, making it legally binding.</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The collection of </w:t>
      </w:r>
      <w:r w:rsidDel="00000000" w:rsidR="00000000" w:rsidRPr="00000000">
        <w:rPr>
          <w:b w:val="1"/>
          <w:rtl w:val="0"/>
        </w:rPr>
        <w:t xml:space="preserve">Client Consent</w:t>
      </w:r>
      <w:r w:rsidDel="00000000" w:rsidR="00000000" w:rsidRPr="00000000">
        <w:rPr>
          <w:rtl w:val="0"/>
        </w:rPr>
        <w:t xml:space="preserve"> for data privacy and communication.</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b w:val="1"/>
          <w:rtl w:val="0"/>
        </w:rPr>
        <w:t xml:space="preserve">The setup and management of the client-specific Fee Template:</w:t>
      </w:r>
      <w:r w:rsidDel="00000000" w:rsidR="00000000" w:rsidRPr="00000000">
        <w:rPr>
          <w:rtl w:val="0"/>
        </w:rPr>
        <w:t xml:space="preserve"> This is a highly complex process of translating the negotiated legal contract into a precise set of billing rules. For UHNWI clients, these templates are multi-layered, often including tiered asset-based fees, charges specific to certain asset types (e.g., private equity), and various transaction fees. This critical step directly links the contract to revenue, and any error in its configuration can lead to significant revenue leakage or client disputes.</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b w:val="1"/>
          <w:rtl w:val="0"/>
        </w:rPr>
        <w:t xml:space="preserve">The operational management of the Fund/Position Transfer:</w:t>
      </w:r>
      <w:r w:rsidDel="00000000" w:rsidR="00000000" w:rsidRPr="00000000">
        <w:rPr>
          <w:rtl w:val="0"/>
        </w:rPr>
        <w:t xml:space="preserve"> This is the high-risk, sensitive process of moving the client's entire portfolio of assets (stocks, bonds, cash) from their prior institutions. The goal is an "in-kind" transfer to avoid creating a taxable event. It requires a meticulous, bank-to-bank reconciliation process to ensure every single share and all cost-basis data is transferred with perfect accuracy, as any error carries significant financial and market risk.</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This is the pivotal phase where the relationship transforms from a verbal agreement into a legally binding, revenue-generating reality. The focus shifts from due diligence to legal formalization and operational "go-live." The process is marked by a critical handoff from the onboarding and compliance teams to the legal, finance, and core operations teams. Legal teams from both sides engage in a meticulous "redlining" of the master agreement, a process that can take weeks as every clause is negotiated. Once the contract is finalized and executed (often via DocuSign), two parallel, high-risk streams are activated:</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b w:val="1"/>
          <w:rtl w:val="0"/>
        </w:rPr>
        <w:t xml:space="preserve">Activating the Billing:</w:t>
      </w:r>
      <w:r w:rsidDel="00000000" w:rsidR="00000000" w:rsidRPr="00000000">
        <w:rPr>
          <w:rtl w:val="0"/>
        </w:rPr>
        <w:t xml:space="preserve"> The </w:t>
      </w:r>
      <w:r w:rsidDel="00000000" w:rsidR="00000000" w:rsidRPr="00000000">
        <w:rPr>
          <w:rtl w:val="0"/>
        </w:rPr>
        <w:t xml:space="preserve">Fee Template</w:t>
      </w:r>
      <w:r w:rsidDel="00000000" w:rsidR="00000000" w:rsidRPr="00000000">
        <w:rPr>
          <w:rtl w:val="0"/>
        </w:rPr>
        <w:t xml:space="preserve"> must be perfectly configured to match the legal contract. Any error here leads directly to revenue leakage or client disputes.</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b w:val="1"/>
          <w:rtl w:val="0"/>
        </w:rPr>
        <w:t xml:space="preserve">Activating the Assets:</w:t>
      </w:r>
      <w:r w:rsidDel="00000000" w:rsidR="00000000" w:rsidRPr="00000000">
        <w:rPr>
          <w:rtl w:val="0"/>
        </w:rPr>
        <w:t xml:space="preserve"> The </w:t>
      </w:r>
      <w:r w:rsidDel="00000000" w:rsidR="00000000" w:rsidRPr="00000000">
        <w:rPr>
          <w:rtl w:val="0"/>
        </w:rPr>
        <w:t xml:space="preserve">Transition Management</w:t>
      </w:r>
      <w:r w:rsidDel="00000000" w:rsidR="00000000" w:rsidRPr="00000000">
        <w:rPr>
          <w:rtl w:val="0"/>
        </w:rPr>
        <w:t xml:space="preserve"> process begins, involving the careful, coordinated movement of potentially billions of dollars. This is a moment of high operational risk, where any error in transferring and reconciling assets can have significant financial and reputational consequences.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A legally executed Master Service Agreement.</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An active and correctly configured client billing profile.</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All client assets successfully and reconcilably transferred and funded.</w:t>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b27cftmunw6c" w:id="8"/>
      <w:bookmarkEnd w:id="8"/>
      <w:r w:rsidDel="00000000" w:rsidR="00000000" w:rsidRPr="00000000">
        <w:rPr>
          <w:b w:val="1"/>
          <w:color w:val="000000"/>
          <w:sz w:val="26"/>
          <w:szCs w:val="26"/>
          <w:rtl w:val="0"/>
        </w:rPr>
        <w:t xml:space="preserve">Phase 4: Ongoing Management &amp; Servicing (The Partnership)</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manage the client relationship over its entire lifecycle, adapt to changes, ensure perpetual compliance, and provide proactive advisory services.</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b w:val="1"/>
          <w:rtl w:val="0"/>
        </w:rPr>
        <w:t xml:space="preserve">Day-to-day lifecycle management:</w:t>
      </w:r>
      <w:r w:rsidDel="00000000" w:rsidR="00000000" w:rsidRPr="00000000">
        <w:rPr>
          <w:rtl w:val="0"/>
        </w:rPr>
        <w:t xml:space="preserve"> This encompasses a broad range of activities including:</w:t>
      </w:r>
    </w:p>
    <w:p w:rsidR="00000000" w:rsidDel="00000000" w:rsidP="00000000" w:rsidRDefault="00000000" w:rsidRPr="00000000" w14:paraId="0000003E">
      <w:pPr>
        <w:numPr>
          <w:ilvl w:val="2"/>
          <w:numId w:val="5"/>
        </w:numPr>
        <w:spacing w:after="0" w:afterAutospacing="0" w:before="0" w:beforeAutospacing="0" w:lineRule="auto"/>
        <w:ind w:left="2160" w:hanging="360"/>
      </w:pPr>
      <w:r w:rsidDel="00000000" w:rsidR="00000000" w:rsidRPr="00000000">
        <w:rPr>
          <w:b w:val="1"/>
          <w:rtl w:val="0"/>
        </w:rPr>
        <w:t xml:space="preserve">Account Servicing:</w:t>
      </w:r>
      <w:r w:rsidDel="00000000" w:rsidR="00000000" w:rsidRPr="00000000">
        <w:rPr>
          <w:rtl w:val="0"/>
        </w:rPr>
        <w:t xml:space="preserve"> This is the core delivery of the institution's services and includes:</w:t>
      </w:r>
    </w:p>
    <w:p w:rsidR="00000000" w:rsidDel="00000000" w:rsidP="00000000" w:rsidRDefault="00000000" w:rsidRPr="00000000" w14:paraId="0000003F">
      <w:pPr>
        <w:numPr>
          <w:ilvl w:val="3"/>
          <w:numId w:val="5"/>
        </w:numPr>
        <w:spacing w:after="0" w:afterAutospacing="0" w:before="0" w:beforeAutospacing="0" w:lineRule="auto"/>
        <w:ind w:left="2880" w:hanging="360"/>
      </w:pPr>
      <w:r w:rsidDel="00000000" w:rsidR="00000000" w:rsidRPr="00000000">
        <w:rPr>
          <w:b w:val="1"/>
          <w:rtl w:val="0"/>
        </w:rPr>
        <w:t xml:space="preserve">Processing Transactions:</w:t>
      </w:r>
      <w:r w:rsidDel="00000000" w:rsidR="00000000" w:rsidRPr="00000000">
        <w:rPr>
          <w:rtl w:val="0"/>
        </w:rPr>
        <w:t xml:space="preserve"> Accurately and timely execution of all client-directed financial instructions, including securities trades, cross-border wire transfers, and complex private equity capital calls.</w:t>
      </w:r>
    </w:p>
    <w:p w:rsidR="00000000" w:rsidDel="00000000" w:rsidP="00000000" w:rsidRDefault="00000000" w:rsidRPr="00000000" w14:paraId="00000040">
      <w:pPr>
        <w:numPr>
          <w:ilvl w:val="3"/>
          <w:numId w:val="5"/>
        </w:numPr>
        <w:spacing w:after="0" w:afterAutospacing="0" w:before="0" w:beforeAutospacing="0" w:lineRule="auto"/>
        <w:ind w:left="2880" w:hanging="360"/>
      </w:pPr>
      <w:r w:rsidDel="00000000" w:rsidR="00000000" w:rsidRPr="00000000">
        <w:rPr>
          <w:b w:val="1"/>
          <w:rtl w:val="0"/>
        </w:rPr>
        <w:t xml:space="preserve">Monitoring Cash Balances:</w:t>
      </w:r>
      <w:r w:rsidDel="00000000" w:rsidR="00000000" w:rsidRPr="00000000">
        <w:rPr>
          <w:rtl w:val="0"/>
        </w:rPr>
        <w:t xml:space="preserve"> Proactively managing cash to prevent overdrafts, optimize returns on idle balances, and manage foreign currency needs.</w:t>
      </w:r>
    </w:p>
    <w:p w:rsidR="00000000" w:rsidDel="00000000" w:rsidP="00000000" w:rsidRDefault="00000000" w:rsidRPr="00000000" w14:paraId="00000041">
      <w:pPr>
        <w:numPr>
          <w:ilvl w:val="3"/>
          <w:numId w:val="5"/>
        </w:numPr>
        <w:spacing w:after="0" w:afterAutospacing="0" w:before="0" w:beforeAutospacing="0" w:lineRule="auto"/>
        <w:ind w:left="2880" w:hanging="360"/>
      </w:pPr>
      <w:r w:rsidDel="00000000" w:rsidR="00000000" w:rsidRPr="00000000">
        <w:rPr>
          <w:b w:val="1"/>
          <w:rtl w:val="0"/>
        </w:rPr>
        <w:t xml:space="preserve">Handling Client Inquiries:</w:t>
      </w:r>
      <w:r w:rsidDel="00000000" w:rsidR="00000000" w:rsidRPr="00000000">
        <w:rPr>
          <w:rtl w:val="0"/>
        </w:rPr>
        <w:t xml:space="preserve"> Acting as a single point of contact for expert answers on a wide range of topics, from transaction statuses to tax information requests.</w:t>
      </w:r>
    </w:p>
    <w:p w:rsidR="00000000" w:rsidDel="00000000" w:rsidP="00000000" w:rsidRDefault="00000000" w:rsidRPr="00000000" w14:paraId="00000042">
      <w:pPr>
        <w:numPr>
          <w:ilvl w:val="3"/>
          <w:numId w:val="5"/>
        </w:numPr>
        <w:spacing w:after="0" w:afterAutospacing="0" w:before="0" w:beforeAutospacing="0" w:lineRule="auto"/>
        <w:ind w:left="2880" w:hanging="360"/>
      </w:pPr>
      <w:r w:rsidDel="00000000" w:rsidR="00000000" w:rsidRPr="00000000">
        <w:rPr>
          <w:b w:val="1"/>
          <w:rtl w:val="0"/>
        </w:rPr>
        <w:t xml:space="preserve">Generating Statements:</w:t>
      </w:r>
      <w:r w:rsidDel="00000000" w:rsidR="00000000" w:rsidRPr="00000000">
        <w:rPr>
          <w:rtl w:val="0"/>
        </w:rPr>
        <w:t xml:space="preserve"> Producing comprehensive, consolidated reports that provide a holistic view of the client's wealth, performance, and fees.</w:t>
      </w:r>
    </w:p>
    <w:p w:rsidR="00000000" w:rsidDel="00000000" w:rsidP="00000000" w:rsidRDefault="00000000" w:rsidRPr="00000000" w14:paraId="00000043">
      <w:pPr>
        <w:numPr>
          <w:ilvl w:val="2"/>
          <w:numId w:val="5"/>
        </w:numPr>
        <w:spacing w:after="0" w:afterAutospacing="0" w:before="0" w:beforeAutospacing="0" w:lineRule="auto"/>
        <w:ind w:left="2160" w:hanging="360"/>
      </w:pPr>
      <w:r w:rsidDel="00000000" w:rsidR="00000000" w:rsidRPr="00000000">
        <w:rPr>
          <w:b w:val="1"/>
          <w:rtl w:val="0"/>
        </w:rPr>
        <w:t xml:space="preserve">Data Maintenance:</w:t>
      </w:r>
      <w:r w:rsidDel="00000000" w:rsidR="00000000" w:rsidRPr="00000000">
        <w:rPr>
          <w:rtl w:val="0"/>
        </w:rPr>
        <w:t xml:space="preserve"> This critical function involves updating the client's static data. While seemingly simple, a change of address, contact detail, or communication preference triggers a complex "Change in Circumstance" event. This requires formal validation and, crucially, must be propagated accurately across numerous disconnected systems (CRMs, AML, legal, etc.) to prevent data decay and compliance breaches.</w:t>
      </w:r>
    </w:p>
    <w:p w:rsidR="00000000" w:rsidDel="00000000" w:rsidP="00000000" w:rsidRDefault="00000000" w:rsidRPr="00000000" w14:paraId="00000044">
      <w:pPr>
        <w:numPr>
          <w:ilvl w:val="2"/>
          <w:numId w:val="5"/>
        </w:numPr>
        <w:spacing w:after="0" w:afterAutospacing="0" w:before="0" w:beforeAutospacing="0" w:lineRule="auto"/>
        <w:ind w:left="2160" w:hanging="360"/>
      </w:pPr>
      <w:r w:rsidDel="00000000" w:rsidR="00000000" w:rsidRPr="00000000">
        <w:rPr>
          <w:b w:val="1"/>
          <w:rtl w:val="0"/>
        </w:rPr>
        <w:t xml:space="preserve">Legal Entity Management:</w:t>
      </w:r>
      <w:r w:rsidDel="00000000" w:rsidR="00000000" w:rsidRPr="00000000">
        <w:rPr>
          <w:rtl w:val="0"/>
        </w:rPr>
        <w:t xml:space="preserve"> This is the ongoing administration of the complex web of legal structures a client uses to hold assets. This function is exceptionally complex due to several factors: the </w:t>
      </w:r>
      <w:r w:rsidDel="00000000" w:rsidR="00000000" w:rsidRPr="00000000">
        <w:rPr>
          <w:b w:val="1"/>
          <w:rtl w:val="0"/>
        </w:rPr>
        <w:t xml:space="preserve">Distinct Legal Personalities</w:t>
      </w:r>
      <w:r w:rsidDel="00000000" w:rsidR="00000000" w:rsidRPr="00000000">
        <w:rPr>
          <w:rtl w:val="0"/>
        </w:rPr>
        <w:t xml:space="preserve"> of each entity (Trusts, LLCs), which have their own rules and authority; the </w:t>
      </w:r>
      <w:r w:rsidDel="00000000" w:rsidR="00000000" w:rsidRPr="00000000">
        <w:rPr>
          <w:b w:val="1"/>
          <w:rtl w:val="0"/>
        </w:rPr>
        <w:t xml:space="preserve">Jurisdictional Complexity</w:t>
      </w:r>
      <w:r w:rsidDel="00000000" w:rsidR="00000000" w:rsidRPr="00000000">
        <w:rPr>
          <w:rtl w:val="0"/>
        </w:rPr>
        <w:t xml:space="preserve"> arising from entities registered in different countries with unique laws; and the web of </w:t>
      </w:r>
      <w:r w:rsidDel="00000000" w:rsidR="00000000" w:rsidRPr="00000000">
        <w:rPr>
          <w:b w:val="1"/>
          <w:rtl w:val="0"/>
        </w:rPr>
        <w:t xml:space="preserve">Interconnected Relationships</w:t>
      </w:r>
      <w:r w:rsidDel="00000000" w:rsidR="00000000" w:rsidRPr="00000000">
        <w:rPr>
          <w:rtl w:val="0"/>
        </w:rPr>
        <w:t xml:space="preserve"> between these entities. The institution must perfectly mirror this real-world legal structure. Key activities include:</w:t>
      </w:r>
    </w:p>
    <w:p w:rsidR="00000000" w:rsidDel="00000000" w:rsidP="00000000" w:rsidRDefault="00000000" w:rsidRPr="00000000" w14:paraId="00000045">
      <w:pPr>
        <w:numPr>
          <w:ilvl w:val="3"/>
          <w:numId w:val="5"/>
        </w:numPr>
        <w:spacing w:after="0" w:afterAutospacing="0" w:before="0" w:beforeAutospacing="0" w:lineRule="auto"/>
        <w:ind w:left="2880" w:hanging="360"/>
      </w:pPr>
      <w:r w:rsidDel="00000000" w:rsidR="00000000" w:rsidRPr="00000000">
        <w:rPr>
          <w:b w:val="1"/>
          <w:rtl w:val="0"/>
        </w:rPr>
        <w:t xml:space="preserve">Creation of New Entities:</w:t>
      </w:r>
      <w:r w:rsidDel="00000000" w:rsidR="00000000" w:rsidRPr="00000000">
        <w:rPr>
          <w:rtl w:val="0"/>
        </w:rPr>
        <w:t xml:space="preserve"> Initiating a "mini-onboarding" when a client forms a new entity, including collecting founding documents and linking it to the overall client structure.</w:t>
      </w:r>
    </w:p>
    <w:p w:rsidR="00000000" w:rsidDel="00000000" w:rsidP="00000000" w:rsidRDefault="00000000" w:rsidRPr="00000000" w14:paraId="00000046">
      <w:pPr>
        <w:numPr>
          <w:ilvl w:val="3"/>
          <w:numId w:val="5"/>
        </w:numPr>
        <w:spacing w:after="0" w:afterAutospacing="0" w:before="0" w:beforeAutospacing="0" w:lineRule="auto"/>
        <w:ind w:left="2880" w:hanging="360"/>
      </w:pPr>
      <w:r w:rsidDel="00000000" w:rsidR="00000000" w:rsidRPr="00000000">
        <w:rPr>
          <w:b w:val="1"/>
          <w:rtl w:val="0"/>
        </w:rPr>
        <w:t xml:space="preserve">Changes in Governance:</w:t>
      </w:r>
      <w:r w:rsidDel="00000000" w:rsidR="00000000" w:rsidRPr="00000000">
        <w:rPr>
          <w:rtl w:val="0"/>
        </w:rPr>
        <w:t xml:space="preserve"> Managing updates when directors or trustees change, which involves collecting legal proof (e.g., a board resolution) and performing KYC on new individuals before granting them authority.</w:t>
      </w:r>
    </w:p>
    <w:p w:rsidR="00000000" w:rsidDel="00000000" w:rsidP="00000000" w:rsidRDefault="00000000" w:rsidRPr="00000000" w14:paraId="00000047">
      <w:pPr>
        <w:numPr>
          <w:ilvl w:val="3"/>
          <w:numId w:val="5"/>
        </w:numPr>
        <w:spacing w:after="0" w:afterAutospacing="0" w:before="0" w:beforeAutospacing="0" w:lineRule="auto"/>
        <w:ind w:left="2880" w:hanging="360"/>
      </w:pPr>
      <w:r w:rsidDel="00000000" w:rsidR="00000000" w:rsidRPr="00000000">
        <w:rPr>
          <w:b w:val="1"/>
          <w:rtl w:val="0"/>
        </w:rPr>
        <w:t xml:space="preserve">Maintenance of Corporate Standing:</w:t>
      </w:r>
      <w:r w:rsidDel="00000000" w:rsidR="00000000" w:rsidRPr="00000000">
        <w:rPr>
          <w:rtl w:val="0"/>
        </w:rPr>
        <w:t xml:space="preserve"> Collecting and storing annual reports or filings to ensure the entity remains legally valid in its registered jurisdiction.</w:t>
      </w:r>
    </w:p>
    <w:p w:rsidR="00000000" w:rsidDel="00000000" w:rsidP="00000000" w:rsidRDefault="00000000" w:rsidRPr="00000000" w14:paraId="00000048">
      <w:pPr>
        <w:numPr>
          <w:ilvl w:val="3"/>
          <w:numId w:val="5"/>
        </w:numPr>
        <w:spacing w:after="0" w:afterAutospacing="0" w:before="0" w:beforeAutospacing="0" w:lineRule="auto"/>
        <w:ind w:left="2880" w:hanging="360"/>
      </w:pPr>
      <w:r w:rsidDel="00000000" w:rsidR="00000000" w:rsidRPr="00000000">
        <w:rPr>
          <w:b w:val="1"/>
          <w:rtl w:val="0"/>
        </w:rPr>
        <w:t xml:space="preserve">Dissolution of Entities:</w:t>
      </w:r>
      <w:r w:rsidDel="00000000" w:rsidR="00000000" w:rsidRPr="00000000">
        <w:rPr>
          <w:rtl w:val="0"/>
        </w:rPr>
        <w:t xml:space="preserve"> Processing the formal closure of an entity, which involves seeing legal dissolution paperwork and closing all associated accounts.</w:t>
      </w:r>
    </w:p>
    <w:p w:rsidR="00000000" w:rsidDel="00000000" w:rsidP="00000000" w:rsidRDefault="00000000" w:rsidRPr="00000000" w14:paraId="00000049">
      <w:pPr>
        <w:numPr>
          <w:ilvl w:val="2"/>
          <w:numId w:val="5"/>
        </w:numPr>
        <w:spacing w:after="0" w:afterAutospacing="0" w:before="0" w:beforeAutospacing="0" w:lineRule="auto"/>
        <w:ind w:left="2160" w:hanging="360"/>
      </w:pPr>
      <w:r w:rsidDel="00000000" w:rsidR="00000000" w:rsidRPr="00000000">
        <w:rPr>
          <w:b w:val="1"/>
          <w:rtl w:val="0"/>
        </w:rPr>
        <w:t xml:space="preserve">Related Party Management:</w:t>
      </w:r>
      <w:r w:rsidDel="00000000" w:rsidR="00000000" w:rsidRPr="00000000">
        <w:rPr>
          <w:rtl w:val="0"/>
        </w:rPr>
        <w:t xml:space="preserve"> This function focuses on the people and other entities connected to the client's structures. It is a critical risk and fraud prevention control. It involves identifying, verifying, and monitoring every individual who has a significant relationship to an account, such as Beneficiaries, Trustees, Authorized Signatories, Directors, and individuals with Power of Attorney. Key activities include:</w:t>
      </w:r>
    </w:p>
    <w:p w:rsidR="00000000" w:rsidDel="00000000" w:rsidP="00000000" w:rsidRDefault="00000000" w:rsidRPr="00000000" w14:paraId="0000004A">
      <w:pPr>
        <w:numPr>
          <w:ilvl w:val="3"/>
          <w:numId w:val="5"/>
        </w:numPr>
        <w:spacing w:after="0" w:afterAutospacing="0" w:before="0" w:beforeAutospacing="0" w:lineRule="auto"/>
        <w:ind w:left="2880" w:hanging="360"/>
      </w:pPr>
      <w:r w:rsidDel="00000000" w:rsidR="00000000" w:rsidRPr="00000000">
        <w:rPr>
          <w:b w:val="1"/>
          <w:rtl w:val="0"/>
        </w:rPr>
        <w:t xml:space="preserve">Identification and Role Definition:</w:t>
      </w:r>
      <w:r w:rsidDel="00000000" w:rsidR="00000000" w:rsidRPr="00000000">
        <w:rPr>
          <w:rtl w:val="0"/>
        </w:rPr>
        <w:t xml:space="preserve"> Documenting the specific role and authority of every related party.</w:t>
      </w:r>
    </w:p>
    <w:p w:rsidR="00000000" w:rsidDel="00000000" w:rsidP="00000000" w:rsidRDefault="00000000" w:rsidRPr="00000000" w14:paraId="0000004B">
      <w:pPr>
        <w:numPr>
          <w:ilvl w:val="3"/>
          <w:numId w:val="5"/>
        </w:numPr>
        <w:spacing w:after="0" w:afterAutospacing="0" w:before="0" w:beforeAutospacing="0" w:lineRule="auto"/>
        <w:ind w:left="2880" w:hanging="360"/>
      </w:pPr>
      <w:r w:rsidDel="00000000" w:rsidR="00000000" w:rsidRPr="00000000">
        <w:rPr>
          <w:b w:val="1"/>
          <w:rtl w:val="0"/>
        </w:rPr>
        <w:t xml:space="preserve">Due Diligence (KYC):</w:t>
      </w:r>
      <w:r w:rsidDel="00000000" w:rsidR="00000000" w:rsidRPr="00000000">
        <w:rPr>
          <w:rtl w:val="0"/>
        </w:rPr>
        <w:t xml:space="preserve"> Performing the appropriate level of KYC for each party based on their level of control and influence.</w:t>
      </w:r>
    </w:p>
    <w:p w:rsidR="00000000" w:rsidDel="00000000" w:rsidP="00000000" w:rsidRDefault="00000000" w:rsidRPr="00000000" w14:paraId="0000004C">
      <w:pPr>
        <w:numPr>
          <w:ilvl w:val="3"/>
          <w:numId w:val="5"/>
        </w:numPr>
        <w:spacing w:after="0" w:afterAutospacing="0" w:before="0" w:beforeAutospacing="0" w:lineRule="auto"/>
        <w:ind w:left="2880" w:hanging="360"/>
      </w:pPr>
      <w:r w:rsidDel="00000000" w:rsidR="00000000" w:rsidRPr="00000000">
        <w:rPr>
          <w:b w:val="1"/>
          <w:rtl w:val="0"/>
        </w:rPr>
        <w:t xml:space="preserve">Updating and Monitoring:</w:t>
      </w:r>
      <w:r w:rsidDel="00000000" w:rsidR="00000000" w:rsidRPr="00000000">
        <w:rPr>
          <w:rtl w:val="0"/>
        </w:rPr>
        <w:t xml:space="preserve"> Managing life events that change the roster of related parties. For example, when a client grants their accountant a new power of attorney, this event requires the client to provide legal documentation of the change. The institution must then update its systems to reflect this new reality. This is a significant part of the ongoing "Data Maintenance" function.</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Processing of client-initiated changes to their financial and legal structures.</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Periodic, mandated </w:t>
      </w:r>
      <w:r w:rsidDel="00000000" w:rsidR="00000000" w:rsidRPr="00000000">
        <w:rPr>
          <w:b w:val="1"/>
          <w:rtl w:val="0"/>
        </w:rPr>
        <w:t xml:space="preserve">KYC Refreshes</w:t>
      </w:r>
      <w:r w:rsidDel="00000000" w:rsidR="00000000" w:rsidRPr="00000000">
        <w:rPr>
          <w:rtl w:val="0"/>
        </w:rPr>
        <w:t xml:space="preserve"> to ensure all client due diligence information is current and accurate.</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This is the long-term "steady state" where the relationship matures from an operational setup to a strategic partnership. The nature of the work shifts from data collection to proactive advisory and risk management. This phase is defined by three key drivers of </w:t>
      </w:r>
      <w:r w:rsidDel="00000000" w:rsidR="00000000" w:rsidRPr="00000000">
        <w:rPr>
          <w:b w:val="1"/>
          <w:rtl w:val="0"/>
        </w:rPr>
        <w:t xml:space="preserve">constant change</w:t>
      </w:r>
      <w:r w:rsidDel="00000000" w:rsidR="00000000" w:rsidRPr="00000000">
        <w:rPr>
          <w:rtl w:val="0"/>
        </w:rPr>
        <w:t xml:space="preserve">:</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b w:val="1"/>
          <w:rtl w:val="0"/>
        </w:rPr>
        <w:t xml:space="preserve">Client-Driven Change:</w:t>
      </w:r>
      <w:r w:rsidDel="00000000" w:rsidR="00000000" w:rsidRPr="00000000">
        <w:rPr>
          <w:rtl w:val="0"/>
        </w:rPr>
        <w:t xml:space="preserve"> The client's life and business evolve. They may add a new trust for a grandchild, sell a business (creating a major liquidity event), or change trustees. Each of these events triggers a "Change in Circumstance" that requires a formal, mini-onboarding process to update data across multiple siloed systems.</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b w:val="1"/>
          <w:rtl w:val="0"/>
        </w:rPr>
        <w:t xml:space="preserve">Market-Driven Change:</w:t>
      </w:r>
      <w:r w:rsidDel="00000000" w:rsidR="00000000" w:rsidRPr="00000000">
        <w:rPr>
          <w:rtl w:val="0"/>
        </w:rPr>
        <w:t xml:space="preserve"> Significant market shifts may require adjustments to the client's Investment Policy Statement or overall strategy.</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b w:val="1"/>
          <w:rtl w:val="0"/>
        </w:rPr>
        <w:t xml:space="preserve">Regulatory-Driven Change:</w:t>
      </w:r>
      <w:r w:rsidDel="00000000" w:rsidR="00000000" w:rsidRPr="00000000">
        <w:rPr>
          <w:rtl w:val="0"/>
        </w:rPr>
        <w:t xml:space="preserve"> Governments and regulators constantly update their rules. A country might be added to a high-risk list, or new tax laws might be introduced, requiring the institution to re-assess the client's entire structure. The </w:t>
      </w:r>
      <w:r w:rsidDel="00000000" w:rsidR="00000000" w:rsidRPr="00000000">
        <w:rPr>
          <w:rFonts w:ascii="Roboto Mono" w:cs="Roboto Mono" w:eastAsia="Roboto Mono" w:hAnsi="Roboto Mono"/>
          <w:color w:val="188038"/>
          <w:rtl w:val="0"/>
        </w:rPr>
        <w:t xml:space="preserve">KYC Refresh</w:t>
      </w:r>
      <w:r w:rsidDel="00000000" w:rsidR="00000000" w:rsidRPr="00000000">
        <w:rPr>
          <w:rtl w:val="0"/>
        </w:rPr>
        <w:t xml:space="preserve"> is a major periodic event that encapsulates this challenge. It is a mandated, full re-validation of the client's identity, structure, and risk profile, often creating significant disruption for both the client (who must provide updated documents) and the institution (which dedicates enormous operational resources to the task).</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b w:val="1"/>
          <w:rtl w:val="0"/>
        </w:rPr>
        <w:t xml:space="preserve">Actionable Reporting:</w:t>
      </w:r>
      <w:r w:rsidDel="00000000" w:rsidR="00000000" w:rsidRPr="00000000">
        <w:rPr>
          <w:rtl w:val="0"/>
        </w:rPr>
        <w:t xml:space="preserve"> Generation of accurate, timely, and insightful client-facing documents, including consolidated performance statements, detailed fee summaries, and tax-ready reports for their accountants.</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b w:val="1"/>
          <w:rtl w:val="0"/>
        </w:rPr>
        <w:t xml:space="preserve">A "Golden Record" of Client Data:</w:t>
      </w:r>
      <w:r w:rsidDel="00000000" w:rsidR="00000000" w:rsidRPr="00000000">
        <w:rPr>
          <w:rtl w:val="0"/>
        </w:rPr>
        <w:t xml:space="preserve"> The maintenance of a single, unified, and always-current representation of the client's data, structure, and relationships, serving as the trusted source of truth across the institution.</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b w:val="1"/>
          <w:rtl w:val="0"/>
        </w:rPr>
        <w:t xml:space="preserve">An Audit-Ready Compliance File:</w:t>
      </w:r>
      <w:r w:rsidDel="00000000" w:rsidR="00000000" w:rsidRPr="00000000">
        <w:rPr>
          <w:rtl w:val="0"/>
        </w:rPr>
        <w:t xml:space="preserve"> A complete and periodically refreshed client file that contains all up-to-date KYC documentation, risk assessments, and change-in-circumstance history, ready for regulatory review at any time.</w:t>
      </w:r>
    </w:p>
    <w:p w:rsidR="00000000" w:rsidDel="00000000" w:rsidP="00000000" w:rsidRDefault="00000000" w:rsidRPr="00000000" w14:paraId="00000057">
      <w:pPr>
        <w:numPr>
          <w:ilvl w:val="1"/>
          <w:numId w:val="5"/>
        </w:numPr>
        <w:spacing w:after="240" w:before="0" w:beforeAutospacing="0" w:lineRule="auto"/>
        <w:ind w:left="1440" w:hanging="360"/>
      </w:pPr>
      <w:r w:rsidDel="00000000" w:rsidR="00000000" w:rsidRPr="00000000">
        <w:rPr>
          <w:b w:val="1"/>
          <w:rtl w:val="0"/>
        </w:rPr>
        <w:t xml:space="preserve">Strengthened Client Trust:</w:t>
      </w:r>
      <w:r w:rsidDel="00000000" w:rsidR="00000000" w:rsidRPr="00000000">
        <w:rPr>
          <w:rtl w:val="0"/>
        </w:rPr>
        <w:t xml:space="preserve"> The consistent and proactive delivery of all the above, which deepens the relationship and solidifies the institution's role as a trusted advisor.</w:t>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yfgk7et93yoc" w:id="9"/>
      <w:bookmarkEnd w:id="9"/>
      <w:r w:rsidDel="00000000" w:rsidR="00000000" w:rsidRPr="00000000">
        <w:rPr>
          <w:b w:val="1"/>
          <w:color w:val="000000"/>
          <w:sz w:val="26"/>
          <w:szCs w:val="26"/>
          <w:rtl w:val="0"/>
        </w:rPr>
        <w:t xml:space="preserve">Phase 5: Offboarding &amp; Data Archival (The Sunset)</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conclude a client relationship in a secure, compliant, and orderly manner, while ensuring all data is properly archived according to strict legal and regulatory timelines.</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Formal Account Closure Process</w:t>
      </w:r>
      <w:r w:rsidDel="00000000" w:rsidR="00000000" w:rsidRPr="00000000">
        <w:rPr>
          <w:rtl w:val="0"/>
        </w:rPr>
        <w:t xml:space="preserve">, which includes the final settlement of all transactions, pro-rated fee calculations, and the managed transfer of all assets to a new institution.</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Closure of the Main Client Record</w:t>
      </w:r>
      <w:r w:rsidDel="00000000" w:rsidR="00000000" w:rsidRPr="00000000">
        <w:rPr>
          <w:rtl w:val="0"/>
        </w:rPr>
        <w:t xml:space="preserve">, which involves updating the status of the client to "Closed" in all active operational systems and revoking all system access for the client and their related parties.</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Offboarding Data Retention and Archival Process</w:t>
      </w:r>
      <w:r w:rsidDel="00000000" w:rsidR="00000000" w:rsidRPr="00000000">
        <w:rPr>
          <w:rtl w:val="0"/>
        </w:rPr>
        <w:t xml:space="preserve">, where the complete and unaltered client file (including all documents, transactions, and communications) is moved to a secure, long-term, immutable archive.</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Ending a relationship is as important as starting one, and this final phase is critical for managing long-term regulatory risk. It ensures a professional and clean exit by transferring all assets out and calculating final fees. The most critical component is </w:t>
      </w:r>
      <w:r w:rsidDel="00000000" w:rsidR="00000000" w:rsidRPr="00000000">
        <w:rPr>
          <w:rFonts w:ascii="Roboto Mono" w:cs="Roboto Mono" w:eastAsia="Roboto Mono" w:hAnsi="Roboto Mono"/>
          <w:color w:val="188038"/>
          <w:rtl w:val="0"/>
        </w:rPr>
        <w:t xml:space="preserve">Data Retention</w:t>
      </w:r>
      <w:r w:rsidDel="00000000" w:rsidR="00000000" w:rsidRPr="00000000">
        <w:rPr>
          <w:rtl w:val="0"/>
        </w:rPr>
        <w:t xml:space="preserve">. Global regulations legally require the institution to maintain all client-related records for a specific period (often 7-10 years) </w:t>
      </w:r>
      <w:r w:rsidDel="00000000" w:rsidR="00000000" w:rsidRPr="00000000">
        <w:rPr>
          <w:i w:val="1"/>
          <w:rtl w:val="0"/>
        </w:rPr>
        <w:t xml:space="preserve">after</w:t>
      </w:r>
      <w:r w:rsidDel="00000000" w:rsidR="00000000" w:rsidRPr="00000000">
        <w:rPr>
          <w:rtl w:val="0"/>
        </w:rPr>
        <w:t xml:space="preserve"> the relationship has ended. The institution must be able to retrieve this complete, unaltered file years later to respond to regulatory audits or legal challenges. Failure to do so can result in severe financial penalties and reputational damage.</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Fully reconciled accounts with a zero balance.</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A final statement of account for the client.</w:t>
      </w:r>
    </w:p>
    <w:p w:rsidR="00000000" w:rsidDel="00000000" w:rsidP="00000000" w:rsidRDefault="00000000" w:rsidRPr="00000000" w14:paraId="00000063">
      <w:pPr>
        <w:numPr>
          <w:ilvl w:val="1"/>
          <w:numId w:val="2"/>
        </w:numPr>
        <w:spacing w:after="240" w:before="0" w:beforeAutospacing="0" w:lineRule="auto"/>
        <w:ind w:left="1440" w:hanging="360"/>
      </w:pPr>
      <w:r w:rsidDel="00000000" w:rsidR="00000000" w:rsidRPr="00000000">
        <w:rPr>
          <w:rtl w:val="0"/>
        </w:rPr>
        <w:t xml:space="preserve">A securely archived, complete client record with a defined retention schedule.</w:t>
      </w:r>
    </w:p>
    <w:p w:rsidR="00000000" w:rsidDel="00000000" w:rsidP="00000000" w:rsidRDefault="00000000" w:rsidRPr="00000000" w14:paraId="00000064">
      <w:pPr>
        <w:spacing w:after="240" w:before="240" w:lineRule="auto"/>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