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5B650" w14:textId="77777777" w:rsidR="004277A2" w:rsidRDefault="00000000">
      <w:pPr>
        <w:spacing w:after="40"/>
      </w:pPr>
      <w:r>
        <w:rPr>
          <w:b/>
          <w:bCs/>
          <w:color w:val="1F3864"/>
          <w:sz w:val="40"/>
          <w:szCs w:val="40"/>
        </w:rPr>
        <w:t>IT ASSET SUBMISSION ACKNOWLEDGEMENT APPLICATION</w:t>
      </w:r>
    </w:p>
    <w:p w14:paraId="56FFFBF2" w14:textId="77777777" w:rsidR="004277A2" w:rsidRDefault="00000000">
      <w:pPr>
        <w:spacing w:after="60"/>
      </w:pPr>
      <w:r>
        <w:rPr>
          <w:i/>
          <w:iCs/>
          <w:color w:val="2E75B6"/>
          <w:sz w:val="26"/>
          <w:szCs w:val="26"/>
        </w:rPr>
        <w:t>Technical Overview &amp; Development Summary</w:t>
      </w:r>
    </w:p>
    <w:p w14:paraId="3571476F" w14:textId="77777777" w:rsidR="004277A2" w:rsidRDefault="00000000">
      <w:pPr>
        <w:spacing w:after="320"/>
      </w:pPr>
      <w:r>
        <w:rPr>
          <w:color w:val="595959"/>
        </w:rPr>
        <w:t xml:space="preserve">Prepared by </w:t>
      </w:r>
      <w:proofErr w:type="gramStart"/>
      <w:r>
        <w:rPr>
          <w:color w:val="595959"/>
        </w:rPr>
        <w:t>Sriram  •</w:t>
      </w:r>
      <w:proofErr w:type="gramEnd"/>
      <w:r>
        <w:rPr>
          <w:color w:val="595959"/>
        </w:rPr>
        <w:t xml:space="preserve">  September 2026</w:t>
      </w:r>
    </w:p>
    <w:p w14:paraId="55CE42F7" w14:textId="77777777" w:rsidR="004277A2" w:rsidRDefault="00000000">
      <w:pPr>
        <w:pStyle w:val="Heading1"/>
        <w:pBdr>
          <w:bottom w:val="single" w:sz="8" w:space="4" w:color="2E75B6"/>
        </w:pBdr>
        <w:spacing w:before="360" w:after="160"/>
      </w:pPr>
      <w:r>
        <w:rPr>
          <w:b/>
          <w:bCs/>
          <w:color w:val="1F3864"/>
          <w:sz w:val="30"/>
          <w:szCs w:val="30"/>
        </w:rPr>
        <w:t>1. Overview</w:t>
      </w:r>
    </w:p>
    <w:p w14:paraId="64EBEF2C" w14:textId="77777777" w:rsidR="004277A2" w:rsidRDefault="00000000">
      <w:pPr>
        <w:spacing w:after="160" w:line="300" w:lineRule="auto"/>
      </w:pPr>
      <w:r>
        <w:rPr>
          <w:color w:val="202020"/>
          <w:sz w:val="22"/>
          <w:szCs w:val="22"/>
        </w:rPr>
        <w:t>This application replaces the manual, paper-and-Adobe-Acrobat process the team previously used for IT Asset Submission Acknowledgements. It is a single Windows desktop program that captures an employee's signature, pulls their identity and asset details automatically instead of retyping them, fills out the acknowledgement form, converts it to a signed PDF, and keeps a record of everything — for one person at a time or for a whole batch of new hires at once.</w:t>
      </w:r>
    </w:p>
    <w:p w14:paraId="4A4344F9" w14:textId="77777777" w:rsidR="004277A2" w:rsidRDefault="00000000">
      <w:pPr>
        <w:spacing w:after="160" w:line="300" w:lineRule="auto"/>
      </w:pPr>
      <w:r>
        <w:rPr>
          <w:color w:val="202020"/>
          <w:sz w:val="22"/>
          <w:szCs w:val="22"/>
        </w:rPr>
        <w:t>The goal from the start was to remove every manual, error-prone step in the old workflow — typing details by hand, printing to sign, scanning back in, and manually renaming and filing each PDF — while still producing a document that looks and behaves exactly like the original template the business already uses.</w:t>
      </w:r>
    </w:p>
    <w:p w14:paraId="11B9E412" w14:textId="77777777" w:rsidR="004277A2" w:rsidRDefault="00000000">
      <w:pPr>
        <w:pStyle w:val="Heading1"/>
        <w:pBdr>
          <w:bottom w:val="single" w:sz="8" w:space="4" w:color="2E75B6"/>
        </w:pBdr>
        <w:spacing w:before="360" w:after="160"/>
      </w:pPr>
      <w:r>
        <w:rPr>
          <w:b/>
          <w:bCs/>
          <w:color w:val="1F3864"/>
          <w:sz w:val="30"/>
          <w:szCs w:val="30"/>
        </w:rPr>
        <w:t>2. Core Features</w:t>
      </w:r>
    </w:p>
    <w:p w14:paraId="236F3153" w14:textId="77777777" w:rsidR="004277A2" w:rsidRDefault="00000000">
      <w:pPr>
        <w:pStyle w:val="Heading2"/>
        <w:spacing w:before="260" w:after="120"/>
      </w:pPr>
      <w:r>
        <w:rPr>
          <w:b/>
          <w:bCs/>
          <w:color w:val="1F3864"/>
          <w:sz w:val="24"/>
          <w:szCs w:val="24"/>
        </w:rPr>
        <w:t>2.1 Signature capture</w:t>
      </w:r>
    </w:p>
    <w:p w14:paraId="7BC40C20" w14:textId="77777777" w:rsidR="004277A2" w:rsidRDefault="00000000">
      <w:pPr>
        <w:spacing w:after="160" w:line="300" w:lineRule="auto"/>
      </w:pPr>
      <w:r>
        <w:rPr>
          <w:color w:val="202020"/>
          <w:sz w:val="22"/>
          <w:szCs w:val="22"/>
        </w:rPr>
        <w:t xml:space="preserve">Signatures are captured from a physical Topaz </w:t>
      </w:r>
      <w:proofErr w:type="spellStart"/>
      <w:r>
        <w:rPr>
          <w:color w:val="202020"/>
          <w:sz w:val="22"/>
          <w:szCs w:val="22"/>
        </w:rPr>
        <w:t>SigPlus</w:t>
      </w:r>
      <w:proofErr w:type="spellEnd"/>
      <w:r>
        <w:rPr>
          <w:color w:val="202020"/>
          <w:sz w:val="22"/>
          <w:szCs w:val="22"/>
        </w:rPr>
        <w:t xml:space="preserve"> pad when one is connected, using the pad's own official driver — the application arms the pad, waits for the signature, reads it back as an image, and disarms the pad again. If no pad is connected, or the pad is switched off in settings, the app automatically falls back to an on-screen signature pad drawn with mouse or touch input, so the process never stalls for lack of hardware.</w:t>
      </w:r>
    </w:p>
    <w:p w14:paraId="2B1212B3" w14:textId="77777777" w:rsidR="004277A2" w:rsidRDefault="00000000">
      <w:pPr>
        <w:pStyle w:val="Heading2"/>
        <w:spacing w:before="260" w:after="120"/>
      </w:pPr>
      <w:r>
        <w:rPr>
          <w:b/>
          <w:bCs/>
          <w:color w:val="1F3864"/>
          <w:sz w:val="24"/>
          <w:szCs w:val="24"/>
        </w:rPr>
        <w:t>2.2 Automatic data population from SSRS</w:t>
      </w:r>
    </w:p>
    <w:p w14:paraId="6F64263B" w14:textId="77777777" w:rsidR="004277A2" w:rsidRDefault="00000000">
      <w:pPr>
        <w:spacing w:after="160" w:line="300" w:lineRule="auto"/>
      </w:pPr>
      <w:r>
        <w:rPr>
          <w:color w:val="202020"/>
          <w:sz w:val="22"/>
          <w:szCs w:val="22"/>
        </w:rPr>
        <w:t xml:space="preserve">The asset report that used to be pulled manually from the SSRS reporting portal is now downloaded by the app itself on a refresh schedule, using the operator's own Windows login. Once downloaded, the report is parsed — its header row is matched against the expected columns and every row is indexed by Employee ID (stored both as typed and as a </w:t>
      </w:r>
      <w:proofErr w:type="gramStart"/>
      <w:r>
        <w:rPr>
          <w:color w:val="202020"/>
          <w:sz w:val="22"/>
          <w:szCs w:val="22"/>
        </w:rPr>
        <w:t>digits</w:t>
      </w:r>
      <w:proofErr w:type="gramEnd"/>
      <w:r>
        <w:rPr>
          <w:color w:val="202020"/>
          <w:sz w:val="22"/>
          <w:szCs w:val="22"/>
        </w:rPr>
        <w:t>-only variant, so ID formatting differences don't cause a missed match). From then on, typing an Employee ID into the form instantly looks up and fills in that person's details and asset information.</w:t>
      </w:r>
    </w:p>
    <w:p w14:paraId="701B9107" w14:textId="77777777" w:rsidR="004277A2" w:rsidRDefault="00000000">
      <w:pPr>
        <w:pStyle w:val="Heading2"/>
        <w:spacing w:before="260" w:after="120"/>
      </w:pPr>
      <w:r>
        <w:rPr>
          <w:b/>
          <w:bCs/>
          <w:color w:val="1F3864"/>
          <w:sz w:val="24"/>
          <w:szCs w:val="24"/>
        </w:rPr>
        <w:t>2.3 Active Directory (AD) lookup</w:t>
      </w:r>
    </w:p>
    <w:p w14:paraId="6C97B373" w14:textId="77777777" w:rsidR="004277A2" w:rsidRDefault="00000000">
      <w:pPr>
        <w:spacing w:after="160" w:line="300" w:lineRule="auto"/>
      </w:pPr>
      <w:r>
        <w:rPr>
          <w:color w:val="202020"/>
          <w:sz w:val="22"/>
          <w:szCs w:val="22"/>
        </w:rPr>
        <w:t>As a second, complementary identity source, the app drives an embedded browser session against the company's existing AD lookup page, signed in with the operator's Windows credentials (no password typed or stored). It searches by Employee ID and reads back fields such as name, manager, department and contact number, filling in anything the SSRS report doesn't already carry.</w:t>
      </w:r>
    </w:p>
    <w:p w14:paraId="12CC3100" w14:textId="77777777" w:rsidR="004277A2" w:rsidRDefault="00000000">
      <w:pPr>
        <w:pStyle w:val="Heading2"/>
        <w:spacing w:before="260" w:after="120"/>
      </w:pPr>
      <w:r>
        <w:rPr>
          <w:b/>
          <w:bCs/>
          <w:color w:val="1F3864"/>
          <w:sz w:val="24"/>
          <w:szCs w:val="24"/>
        </w:rPr>
        <w:t>2.4 Business Unit (BU) templates</w:t>
      </w:r>
    </w:p>
    <w:p w14:paraId="3E8087F8" w14:textId="77777777" w:rsidR="004277A2" w:rsidRDefault="00000000">
      <w:pPr>
        <w:spacing w:after="160" w:line="300" w:lineRule="auto"/>
      </w:pPr>
      <w:r>
        <w:rPr>
          <w:color w:val="202020"/>
          <w:sz w:val="22"/>
          <w:szCs w:val="22"/>
        </w:rPr>
        <w:t xml:space="preserve">Each Business Unit has its own acknowledgement form layout, stored as a Word template in a shared templates folder. Selecting a Business Unit in the app simply points the generator at that BU's template, so wording and </w:t>
      </w:r>
      <w:r>
        <w:rPr>
          <w:color w:val="202020"/>
          <w:sz w:val="22"/>
          <w:szCs w:val="22"/>
        </w:rPr>
        <w:lastRenderedPageBreak/>
        <w:t>branding always match without any code change — a new BU template can be added just by dropping a new Word file into the folder.</w:t>
      </w:r>
    </w:p>
    <w:p w14:paraId="63ED0D0F" w14:textId="77777777" w:rsidR="004277A2" w:rsidRDefault="00000000">
      <w:pPr>
        <w:pStyle w:val="Heading2"/>
        <w:spacing w:before="260" w:after="120"/>
      </w:pPr>
      <w:r>
        <w:rPr>
          <w:b/>
          <w:bCs/>
          <w:color w:val="1F3864"/>
          <w:sz w:val="24"/>
          <w:szCs w:val="24"/>
        </w:rPr>
        <w:t>2.5 Bulk batch processing</w:t>
      </w:r>
    </w:p>
    <w:p w14:paraId="181ADBBB" w14:textId="77777777" w:rsidR="004277A2" w:rsidRDefault="00000000">
      <w:pPr>
        <w:spacing w:after="160" w:line="300" w:lineRule="auto"/>
      </w:pPr>
      <w:r>
        <w:rPr>
          <w:color w:val="202020"/>
          <w:sz w:val="22"/>
          <w:szCs w:val="22"/>
        </w:rPr>
        <w:t>A dedicated Bulk tab accepts a single Excel file listing many employees and turns it into a queue, each row tracked as Pending, Completed or Skipped. Rows can be stepped through one at a time (auto-running the same lookups as the single-employee flow) or processed automatically end-to-end with a “Process All” option — letting one person handle dozens of submissions in one sitting.</w:t>
      </w:r>
    </w:p>
    <w:p w14:paraId="596C6242" w14:textId="77777777" w:rsidR="004277A2" w:rsidRDefault="00000000">
      <w:pPr>
        <w:pStyle w:val="Heading2"/>
        <w:spacing w:before="260" w:after="120"/>
      </w:pPr>
      <w:r>
        <w:rPr>
          <w:b/>
          <w:bCs/>
          <w:color w:val="1F3864"/>
          <w:sz w:val="24"/>
          <w:szCs w:val="24"/>
        </w:rPr>
        <w:t>2.6 Document generation and digital signing</w:t>
      </w:r>
    </w:p>
    <w:p w14:paraId="2E026933" w14:textId="77777777" w:rsidR="004277A2" w:rsidRDefault="00000000">
      <w:pPr>
        <w:spacing w:after="160" w:line="300" w:lineRule="auto"/>
      </w:pPr>
      <w:r>
        <w:rPr>
          <w:color w:val="202020"/>
          <w:sz w:val="22"/>
          <w:szCs w:val="22"/>
        </w:rPr>
        <w:t>Once a form is complete, the app fills the selected Word template, converts it to PDF, stamps a visible “Signed On” timestamp onto it, and applies a certificate-backed cryptographic digital signature so the final document is tamper-evident — matching the trust and integrity guarantees the old Adobe Acrobat signing process provided.</w:t>
      </w:r>
    </w:p>
    <w:p w14:paraId="2D8AA098" w14:textId="77777777" w:rsidR="004277A2" w:rsidRDefault="00000000">
      <w:pPr>
        <w:pStyle w:val="Heading2"/>
        <w:spacing w:before="260" w:after="120"/>
      </w:pPr>
      <w:r>
        <w:rPr>
          <w:b/>
          <w:bCs/>
          <w:color w:val="1F3864"/>
          <w:sz w:val="24"/>
          <w:szCs w:val="24"/>
        </w:rPr>
        <w:t>2.7 Audit trail and document history</w:t>
      </w:r>
    </w:p>
    <w:p w14:paraId="3A3FC39B" w14:textId="77777777" w:rsidR="004277A2" w:rsidRDefault="00000000">
      <w:pPr>
        <w:spacing w:after="160" w:line="300" w:lineRule="auto"/>
      </w:pPr>
      <w:r>
        <w:rPr>
          <w:color w:val="202020"/>
          <w:sz w:val="22"/>
          <w:szCs w:val="22"/>
        </w:rPr>
        <w:t>Every lookup, signature and generated document is written to a rotating audit log — recording which source matched (SSRS, AD, or manual entry), when the document was signed, and where it was saved. A Generated Documents tab surfaces recent documents for quick reopening without hunting through folders.</w:t>
      </w:r>
    </w:p>
    <w:p w14:paraId="3B3FE9B9" w14:textId="77777777" w:rsidR="004277A2" w:rsidRDefault="00000000">
      <w:pPr>
        <w:pStyle w:val="Heading1"/>
        <w:pBdr>
          <w:bottom w:val="single" w:sz="8" w:space="4" w:color="2E75B6"/>
        </w:pBdr>
        <w:spacing w:before="360" w:after="160"/>
      </w:pPr>
      <w:r>
        <w:rPr>
          <w:b/>
          <w:bCs/>
          <w:color w:val="1F3864"/>
          <w:sz w:val="30"/>
          <w:szCs w:val="30"/>
        </w:rPr>
        <w:t>3. How the Application Was Built</w:t>
      </w:r>
    </w:p>
    <w:p w14:paraId="1DF644F0" w14:textId="77777777" w:rsidR="004277A2" w:rsidRDefault="00000000">
      <w:pPr>
        <w:spacing w:after="160" w:line="300" w:lineRule="auto"/>
      </w:pPr>
      <w:r>
        <w:rPr>
          <w:color w:val="202020"/>
          <w:sz w:val="22"/>
          <w:szCs w:val="22"/>
        </w:rPr>
        <w:t>The application is written entirely in Python and built as a single source file, organized into clearly separated sections — configuration, data lookups, signature capture, document generation, and the GUI layer — so each part of the workflow can be understood, tested and modified independently even though it ships as one file.</w:t>
      </w:r>
    </w:p>
    <w:p w14:paraId="0BBF5FCA" w14:textId="77777777" w:rsidR="004277A2" w:rsidRDefault="00000000">
      <w:pPr>
        <w:spacing w:after="160" w:line="300" w:lineRule="auto"/>
      </w:pPr>
      <w:r>
        <w:rPr>
          <w:color w:val="202020"/>
          <w:sz w:val="22"/>
          <w:szCs w:val="22"/>
        </w:rPr>
        <w:t>A config-driven design was used deliberately: URLs, folder paths, column mappings and feature toggles all live in a settings file rather than being hard-coded, so the app can be pointed at a different SSRS report, AD lookup page, or template folder without touching a single line of code. This was important because the exact report layout, lookup page format and template wording were only discovered by testing against the real systems, and were expected to keep evolving.</w:t>
      </w:r>
    </w:p>
    <w:p w14:paraId="47CA8F7D" w14:textId="77777777" w:rsidR="004277A2" w:rsidRDefault="00000000">
      <w:pPr>
        <w:spacing w:after="160" w:line="300" w:lineRule="auto"/>
      </w:pPr>
      <w:r>
        <w:rPr>
          <w:color w:val="202020"/>
          <w:sz w:val="22"/>
          <w:szCs w:val="22"/>
        </w:rPr>
        <w:t xml:space="preserve">Error handling was treated as a first-class feature rather than an afterthought: every external dependency — the signature pad, the network lookups, the Word automation — is wrapped so that a failure in one of them never crashes the app or blocks the operator. </w:t>
      </w:r>
      <w:proofErr w:type="gramStart"/>
      <w:r>
        <w:rPr>
          <w:color w:val="202020"/>
          <w:sz w:val="22"/>
          <w:szCs w:val="22"/>
        </w:rPr>
        <w:t>Instead</w:t>
      </w:r>
      <w:proofErr w:type="gramEnd"/>
      <w:r>
        <w:rPr>
          <w:color w:val="202020"/>
          <w:sz w:val="22"/>
          <w:szCs w:val="22"/>
        </w:rPr>
        <w:t xml:space="preserve"> it degrades gracefully (falling back to on-screen signing, or letting the operator fill a field manually) and logs the real error for later troubleshooting, while showing the operator a plain-English message instead of a technical stack trace.</w:t>
      </w:r>
    </w:p>
    <w:p w14:paraId="40EF96B6" w14:textId="77777777" w:rsidR="004277A2" w:rsidRDefault="00000000">
      <w:pPr>
        <w:pStyle w:val="Heading1"/>
        <w:pBdr>
          <w:bottom w:val="single" w:sz="8" w:space="4" w:color="2E75B6"/>
        </w:pBdr>
        <w:spacing w:before="360" w:after="160"/>
      </w:pPr>
      <w:r>
        <w:rPr>
          <w:b/>
          <w:bCs/>
          <w:color w:val="1F3864"/>
          <w:sz w:val="30"/>
          <w:szCs w:val="30"/>
        </w:rPr>
        <w:t>4. Testing and Development Process</w:t>
      </w:r>
    </w:p>
    <w:p w14:paraId="427597F6" w14:textId="77777777" w:rsidR="004277A2" w:rsidRDefault="00000000">
      <w:pPr>
        <w:spacing w:after="160" w:line="300" w:lineRule="auto"/>
      </w:pPr>
      <w:r>
        <w:rPr>
          <w:color w:val="202020"/>
          <w:sz w:val="22"/>
          <w:szCs w:val="22"/>
        </w:rPr>
        <w:t xml:space="preserve">Development was iterative and driven by testing against the actual office hardware and systems rather than assumptions — in particular, the Topaz signature pad's SDK behaved differently across driver builds encountered during testing, so the signature-capture code was written to detect which methods a given </w:t>
      </w:r>
      <w:proofErr w:type="spellStart"/>
      <w:r>
        <w:rPr>
          <w:color w:val="202020"/>
          <w:sz w:val="22"/>
          <w:szCs w:val="22"/>
        </w:rPr>
        <w:t>SigPlus</w:t>
      </w:r>
      <w:proofErr w:type="spellEnd"/>
      <w:r>
        <w:rPr>
          <w:color w:val="202020"/>
          <w:sz w:val="22"/>
          <w:szCs w:val="22"/>
        </w:rPr>
        <w:t xml:space="preserve"> installation actually supports and adapt to it, rather than assuming one fixed API.</w:t>
      </w:r>
    </w:p>
    <w:p w14:paraId="34539C06" w14:textId="77777777" w:rsidR="004277A2" w:rsidRDefault="00000000">
      <w:pPr>
        <w:spacing w:after="160" w:line="300" w:lineRule="auto"/>
      </w:pPr>
      <w:r>
        <w:rPr>
          <w:color w:val="202020"/>
          <w:sz w:val="22"/>
          <w:szCs w:val="22"/>
        </w:rPr>
        <w:lastRenderedPageBreak/>
        <w:t>Each major feature — SSRS parsing, AD lookup, Word template filling, PDF export, digital signing and bulk processing — was tested independently with real sample data before being wired into the full workflow, and again together end-to-end once integrated. A dedicated diagnostic script approach was also used for the newest, still-in-progress integration (a live ServiceNow lookup) — small standalone scripts that could be run safely against the real system to confirm table and field names before writing any of that logic into the main application.</w:t>
      </w:r>
    </w:p>
    <w:p w14:paraId="06955BFD" w14:textId="77777777" w:rsidR="004277A2" w:rsidRDefault="00000000">
      <w:pPr>
        <w:spacing w:after="160" w:line="300" w:lineRule="auto"/>
      </w:pPr>
      <w:r>
        <w:rPr>
          <w:color w:val="202020"/>
          <w:sz w:val="22"/>
          <w:szCs w:val="22"/>
        </w:rPr>
        <w:t>The interface itself went through several rounds of refinement based on how it was actually used day to day: tooltips were added to less obvious fields, background lookups were given status indicators instead of freezing the screen, and repetitive manual steps (saving to a folder, retyping identity fields, reopening recent documents) were automated away one at a time.</w:t>
      </w:r>
    </w:p>
    <w:p w14:paraId="2AF6A92A" w14:textId="77777777" w:rsidR="004277A2" w:rsidRDefault="00000000">
      <w:pPr>
        <w:pStyle w:val="Heading1"/>
        <w:pBdr>
          <w:bottom w:val="single" w:sz="8" w:space="4" w:color="2E75B6"/>
        </w:pBdr>
        <w:spacing w:before="360" w:after="160"/>
      </w:pPr>
      <w:r>
        <w:rPr>
          <w:b/>
          <w:bCs/>
          <w:color w:val="1F3864"/>
          <w:sz w:val="30"/>
          <w:szCs w:val="30"/>
        </w:rPr>
        <w:t>5. Python Libraries and Modules Used</w:t>
      </w:r>
    </w:p>
    <w:p w14:paraId="53C48932" w14:textId="77777777" w:rsidR="004277A2" w:rsidRDefault="00000000">
      <w:pPr>
        <w:spacing w:after="160" w:line="300" w:lineRule="auto"/>
      </w:pPr>
      <w:r>
        <w:rPr>
          <w:color w:val="202020"/>
          <w:sz w:val="22"/>
          <w:szCs w:val="22"/>
        </w:rPr>
        <w:t>The table below lists every third-party and standard-library module the application depends on, and what it is responsible for.</w:t>
      </w: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10"/>
      </w:tblGrid>
      <w:tr w:rsidR="004277A2" w14:paraId="5BEEB3A7" w14:textId="77777777">
        <w:tblPrEx>
          <w:tblCellMar>
            <w:top w:w="0" w:type="dxa"/>
            <w:bottom w:w="0" w:type="dxa"/>
          </w:tblCellMar>
        </w:tblPrEx>
        <w:tc>
          <w:tcPr>
            <w:tcW w:w="3600" w:type="dxa"/>
            <w:shd w:val="clear" w:color="auto" w:fill="1F3864"/>
            <w:tcMar>
              <w:top w:w="80" w:type="dxa"/>
              <w:left w:w="120" w:type="dxa"/>
              <w:bottom w:w="80" w:type="dxa"/>
              <w:right w:w="120" w:type="dxa"/>
            </w:tcMar>
          </w:tcPr>
          <w:p w14:paraId="35D0344F" w14:textId="77777777" w:rsidR="004277A2" w:rsidRDefault="00000000">
            <w:r>
              <w:rPr>
                <w:b/>
                <w:bCs/>
                <w:color w:val="FFFFFF"/>
              </w:rPr>
              <w:t>Library / Module</w:t>
            </w:r>
          </w:p>
        </w:tc>
        <w:tc>
          <w:tcPr>
            <w:tcW w:w="6210" w:type="dxa"/>
            <w:shd w:val="clear" w:color="auto" w:fill="1F3864"/>
            <w:tcMar>
              <w:top w:w="80" w:type="dxa"/>
              <w:left w:w="120" w:type="dxa"/>
              <w:bottom w:w="80" w:type="dxa"/>
              <w:right w:w="120" w:type="dxa"/>
            </w:tcMar>
          </w:tcPr>
          <w:p w14:paraId="0F7378D1" w14:textId="77777777" w:rsidR="004277A2" w:rsidRDefault="00000000">
            <w:r>
              <w:rPr>
                <w:b/>
                <w:bCs/>
                <w:color w:val="FFFFFF"/>
              </w:rPr>
              <w:t>Role in the application</w:t>
            </w:r>
          </w:p>
        </w:tc>
      </w:tr>
      <w:tr w:rsidR="004277A2" w14:paraId="703CD2FB" w14:textId="77777777">
        <w:tblPrEx>
          <w:tblCellMar>
            <w:top w:w="0" w:type="dxa"/>
            <w:bottom w:w="0" w:type="dxa"/>
          </w:tblCellMar>
        </w:tblPrEx>
        <w:tc>
          <w:tcPr>
            <w:tcW w:w="3600" w:type="dxa"/>
            <w:tcMar>
              <w:top w:w="80" w:type="dxa"/>
              <w:left w:w="120" w:type="dxa"/>
              <w:bottom w:w="80" w:type="dxa"/>
              <w:right w:w="120" w:type="dxa"/>
            </w:tcMar>
          </w:tcPr>
          <w:p w14:paraId="6F6F03AD" w14:textId="77777777" w:rsidR="004277A2" w:rsidRDefault="00000000">
            <w:proofErr w:type="spellStart"/>
            <w:r>
              <w:rPr>
                <w:color w:val="202020"/>
              </w:rPr>
              <w:t>tkinter</w:t>
            </w:r>
            <w:proofErr w:type="spellEnd"/>
            <w:r>
              <w:rPr>
                <w:color w:val="202020"/>
              </w:rPr>
              <w:t xml:space="preserve"> / </w:t>
            </w:r>
            <w:proofErr w:type="spellStart"/>
            <w:r>
              <w:rPr>
                <w:color w:val="202020"/>
              </w:rPr>
              <w:t>ttk</w:t>
            </w:r>
            <w:proofErr w:type="spellEnd"/>
            <w:r>
              <w:rPr>
                <w:color w:val="202020"/>
              </w:rPr>
              <w:t xml:space="preserve"> (standard library)</w:t>
            </w:r>
          </w:p>
        </w:tc>
        <w:tc>
          <w:tcPr>
            <w:tcW w:w="6210" w:type="dxa"/>
            <w:tcMar>
              <w:top w:w="80" w:type="dxa"/>
              <w:left w:w="120" w:type="dxa"/>
              <w:bottom w:w="80" w:type="dxa"/>
              <w:right w:w="120" w:type="dxa"/>
            </w:tcMar>
          </w:tcPr>
          <w:p w14:paraId="10ED0746" w14:textId="77777777" w:rsidR="004277A2" w:rsidRDefault="00000000">
            <w:r>
              <w:rPr>
                <w:color w:val="202020"/>
              </w:rPr>
              <w:t xml:space="preserve">The desktop GUI itself — every window, tab, form field, button and dialog is built with </w:t>
            </w:r>
            <w:proofErr w:type="spellStart"/>
            <w:r>
              <w:rPr>
                <w:color w:val="202020"/>
              </w:rPr>
              <w:t>Tkinter</w:t>
            </w:r>
            <w:proofErr w:type="spellEnd"/>
            <w:r>
              <w:rPr>
                <w:color w:val="202020"/>
              </w:rPr>
              <w:t xml:space="preserve">, styled through </w:t>
            </w:r>
            <w:proofErr w:type="spellStart"/>
            <w:r>
              <w:rPr>
                <w:color w:val="202020"/>
              </w:rPr>
              <w:t>ttk</w:t>
            </w:r>
            <w:proofErr w:type="spellEnd"/>
            <w:r>
              <w:rPr>
                <w:color w:val="202020"/>
              </w:rPr>
              <w:t xml:space="preserve"> for a consistent, modern look.</w:t>
            </w:r>
          </w:p>
        </w:tc>
      </w:tr>
      <w:tr w:rsidR="004277A2" w14:paraId="32386553" w14:textId="77777777">
        <w:tblPrEx>
          <w:tblCellMar>
            <w:top w:w="0" w:type="dxa"/>
            <w:bottom w:w="0" w:type="dxa"/>
          </w:tblCellMar>
        </w:tblPrEx>
        <w:tc>
          <w:tcPr>
            <w:tcW w:w="3600" w:type="dxa"/>
            <w:shd w:val="clear" w:color="auto" w:fill="F2F6FA"/>
            <w:tcMar>
              <w:top w:w="80" w:type="dxa"/>
              <w:left w:w="120" w:type="dxa"/>
              <w:bottom w:w="80" w:type="dxa"/>
              <w:right w:w="120" w:type="dxa"/>
            </w:tcMar>
          </w:tcPr>
          <w:p w14:paraId="6876DD1E" w14:textId="77777777" w:rsidR="004277A2" w:rsidRDefault="00000000">
            <w:proofErr w:type="spellStart"/>
            <w:r>
              <w:rPr>
                <w:color w:val="202020"/>
              </w:rPr>
              <w:t>openpyxl</w:t>
            </w:r>
            <w:proofErr w:type="spellEnd"/>
          </w:p>
        </w:tc>
        <w:tc>
          <w:tcPr>
            <w:tcW w:w="6210" w:type="dxa"/>
            <w:shd w:val="clear" w:color="auto" w:fill="F2F6FA"/>
            <w:tcMar>
              <w:top w:w="80" w:type="dxa"/>
              <w:left w:w="120" w:type="dxa"/>
              <w:bottom w:w="80" w:type="dxa"/>
              <w:right w:w="120" w:type="dxa"/>
            </w:tcMar>
          </w:tcPr>
          <w:p w14:paraId="330DC481" w14:textId="77777777" w:rsidR="004277A2" w:rsidRDefault="00000000">
            <w:r>
              <w:rPr>
                <w:color w:val="202020"/>
              </w:rPr>
              <w:t xml:space="preserve">Reads the SSRS asset report Excel export and the bulk-batch import file; scans headers, indexes </w:t>
            </w:r>
            <w:proofErr w:type="spellStart"/>
            <w:r>
              <w:rPr>
                <w:color w:val="202020"/>
              </w:rPr>
              <w:t>rows</w:t>
            </w:r>
            <w:proofErr w:type="spellEnd"/>
            <w:r>
              <w:rPr>
                <w:color w:val="202020"/>
              </w:rPr>
              <w:t xml:space="preserve"> by Employee ID, and streams data back into the form.</w:t>
            </w:r>
          </w:p>
        </w:tc>
      </w:tr>
      <w:tr w:rsidR="004277A2" w14:paraId="1C2EC037" w14:textId="77777777">
        <w:tblPrEx>
          <w:tblCellMar>
            <w:top w:w="0" w:type="dxa"/>
            <w:bottom w:w="0" w:type="dxa"/>
          </w:tblCellMar>
        </w:tblPrEx>
        <w:tc>
          <w:tcPr>
            <w:tcW w:w="3600" w:type="dxa"/>
            <w:tcMar>
              <w:top w:w="80" w:type="dxa"/>
              <w:left w:w="120" w:type="dxa"/>
              <w:bottom w:w="80" w:type="dxa"/>
              <w:right w:w="120" w:type="dxa"/>
            </w:tcMar>
          </w:tcPr>
          <w:p w14:paraId="38940089" w14:textId="77777777" w:rsidR="004277A2" w:rsidRDefault="00000000">
            <w:r>
              <w:rPr>
                <w:color w:val="202020"/>
              </w:rPr>
              <w:t xml:space="preserve">Pillow (PIL: Image, </w:t>
            </w:r>
            <w:proofErr w:type="spellStart"/>
            <w:r>
              <w:rPr>
                <w:color w:val="202020"/>
              </w:rPr>
              <w:t>ImageDraw</w:t>
            </w:r>
            <w:proofErr w:type="spellEnd"/>
            <w:r>
              <w:rPr>
                <w:color w:val="202020"/>
              </w:rPr>
              <w:t xml:space="preserve">, </w:t>
            </w:r>
            <w:proofErr w:type="spellStart"/>
            <w:r>
              <w:rPr>
                <w:color w:val="202020"/>
              </w:rPr>
              <w:t>ImageFont</w:t>
            </w:r>
            <w:proofErr w:type="spellEnd"/>
            <w:r>
              <w:rPr>
                <w:color w:val="202020"/>
              </w:rPr>
              <w:t xml:space="preserve">, </w:t>
            </w:r>
            <w:proofErr w:type="spellStart"/>
            <w:r>
              <w:rPr>
                <w:color w:val="202020"/>
              </w:rPr>
              <w:t>ImageTk</w:t>
            </w:r>
            <w:proofErr w:type="spellEnd"/>
            <w:r>
              <w:rPr>
                <w:color w:val="202020"/>
              </w:rPr>
              <w:t>)</w:t>
            </w:r>
          </w:p>
        </w:tc>
        <w:tc>
          <w:tcPr>
            <w:tcW w:w="6210" w:type="dxa"/>
            <w:tcMar>
              <w:top w:w="80" w:type="dxa"/>
              <w:left w:w="120" w:type="dxa"/>
              <w:bottom w:w="80" w:type="dxa"/>
              <w:right w:w="120" w:type="dxa"/>
            </w:tcMar>
          </w:tcPr>
          <w:p w14:paraId="20E56A61" w14:textId="77777777" w:rsidR="004277A2" w:rsidRDefault="00000000">
            <w:r>
              <w:rPr>
                <w:color w:val="202020"/>
              </w:rPr>
              <w:t>Handles signature images — converting the pad's raw output into a clean bitmap, drawing the on-screen fallback signature pad, and rendering image previews inside the UI.</w:t>
            </w:r>
          </w:p>
        </w:tc>
      </w:tr>
      <w:tr w:rsidR="004277A2" w14:paraId="6EE1313A" w14:textId="77777777">
        <w:tblPrEx>
          <w:tblCellMar>
            <w:top w:w="0" w:type="dxa"/>
            <w:bottom w:w="0" w:type="dxa"/>
          </w:tblCellMar>
        </w:tblPrEx>
        <w:tc>
          <w:tcPr>
            <w:tcW w:w="3600" w:type="dxa"/>
            <w:shd w:val="clear" w:color="auto" w:fill="F2F6FA"/>
            <w:tcMar>
              <w:top w:w="80" w:type="dxa"/>
              <w:left w:w="120" w:type="dxa"/>
              <w:bottom w:w="80" w:type="dxa"/>
              <w:right w:w="120" w:type="dxa"/>
            </w:tcMar>
          </w:tcPr>
          <w:p w14:paraId="4890C191" w14:textId="77777777" w:rsidR="004277A2" w:rsidRDefault="00000000">
            <w:r>
              <w:rPr>
                <w:color w:val="202020"/>
              </w:rPr>
              <w:t>pywin32 (win32com.client)</w:t>
            </w:r>
          </w:p>
        </w:tc>
        <w:tc>
          <w:tcPr>
            <w:tcW w:w="6210" w:type="dxa"/>
            <w:shd w:val="clear" w:color="auto" w:fill="F2F6FA"/>
            <w:tcMar>
              <w:top w:w="80" w:type="dxa"/>
              <w:left w:w="120" w:type="dxa"/>
              <w:bottom w:w="80" w:type="dxa"/>
              <w:right w:w="120" w:type="dxa"/>
            </w:tcMar>
          </w:tcPr>
          <w:p w14:paraId="745EAB5E" w14:textId="77777777" w:rsidR="004277A2" w:rsidRDefault="00000000">
            <w:r>
              <w:rPr>
                <w:color w:val="202020"/>
              </w:rPr>
              <w:t>Drives Microsoft Word directly through COM automation to fill the acknowledgement template and export it to PDF, and talks to the Topaz signature pad's ActiveX control.</w:t>
            </w:r>
          </w:p>
        </w:tc>
      </w:tr>
      <w:tr w:rsidR="004277A2" w14:paraId="6E0D3B13" w14:textId="77777777">
        <w:tblPrEx>
          <w:tblCellMar>
            <w:top w:w="0" w:type="dxa"/>
            <w:bottom w:w="0" w:type="dxa"/>
          </w:tblCellMar>
        </w:tblPrEx>
        <w:tc>
          <w:tcPr>
            <w:tcW w:w="3600" w:type="dxa"/>
            <w:tcMar>
              <w:top w:w="80" w:type="dxa"/>
              <w:left w:w="120" w:type="dxa"/>
              <w:bottom w:w="80" w:type="dxa"/>
              <w:right w:w="120" w:type="dxa"/>
            </w:tcMar>
          </w:tcPr>
          <w:p w14:paraId="502A767B" w14:textId="77777777" w:rsidR="004277A2" w:rsidRDefault="00000000">
            <w:proofErr w:type="spellStart"/>
            <w:r>
              <w:rPr>
                <w:color w:val="202020"/>
              </w:rPr>
              <w:t>pywebview</w:t>
            </w:r>
            <w:proofErr w:type="spellEnd"/>
          </w:p>
        </w:tc>
        <w:tc>
          <w:tcPr>
            <w:tcW w:w="6210" w:type="dxa"/>
            <w:tcMar>
              <w:top w:w="80" w:type="dxa"/>
              <w:left w:w="120" w:type="dxa"/>
              <w:bottom w:w="80" w:type="dxa"/>
              <w:right w:w="120" w:type="dxa"/>
            </w:tcMar>
          </w:tcPr>
          <w:p w14:paraId="081022A1" w14:textId="77777777" w:rsidR="004277A2" w:rsidRDefault="00000000">
            <w:r>
              <w:rPr>
                <w:color w:val="202020"/>
              </w:rPr>
              <w:t>Provides the embedded browser session used for the AD Lookup / SSRS sign-in flow, so the corporate single sign-on session can be reused instead of asking for a password.</w:t>
            </w:r>
          </w:p>
        </w:tc>
      </w:tr>
      <w:tr w:rsidR="004277A2" w14:paraId="001ACCC9" w14:textId="77777777">
        <w:tblPrEx>
          <w:tblCellMar>
            <w:top w:w="0" w:type="dxa"/>
            <w:bottom w:w="0" w:type="dxa"/>
          </w:tblCellMar>
        </w:tblPrEx>
        <w:tc>
          <w:tcPr>
            <w:tcW w:w="3600" w:type="dxa"/>
            <w:shd w:val="clear" w:color="auto" w:fill="F2F6FA"/>
            <w:tcMar>
              <w:top w:w="80" w:type="dxa"/>
              <w:left w:w="120" w:type="dxa"/>
              <w:bottom w:w="80" w:type="dxa"/>
              <w:right w:w="120" w:type="dxa"/>
            </w:tcMar>
          </w:tcPr>
          <w:p w14:paraId="0CA037C6" w14:textId="77777777" w:rsidR="004277A2" w:rsidRDefault="00000000">
            <w:r>
              <w:rPr>
                <w:color w:val="202020"/>
              </w:rPr>
              <w:t>requests + requests-negotiate-</w:t>
            </w:r>
            <w:proofErr w:type="spellStart"/>
            <w:r>
              <w:rPr>
                <w:color w:val="202020"/>
              </w:rPr>
              <w:t>sspi</w:t>
            </w:r>
            <w:proofErr w:type="spellEnd"/>
          </w:p>
        </w:tc>
        <w:tc>
          <w:tcPr>
            <w:tcW w:w="6210" w:type="dxa"/>
            <w:shd w:val="clear" w:color="auto" w:fill="F2F6FA"/>
            <w:tcMar>
              <w:top w:w="80" w:type="dxa"/>
              <w:left w:w="120" w:type="dxa"/>
              <w:bottom w:w="80" w:type="dxa"/>
              <w:right w:w="120" w:type="dxa"/>
            </w:tcMar>
          </w:tcPr>
          <w:p w14:paraId="798861BF" w14:textId="77777777" w:rsidR="004277A2" w:rsidRDefault="00000000">
            <w:r>
              <w:rPr>
                <w:color w:val="202020"/>
              </w:rPr>
              <w:t>Makes the HTTP calls for AD Lookup and the SSRS report download, authenticated with the operator's own Windows login (SSPI) — no credentials are typed or stored.</w:t>
            </w:r>
          </w:p>
        </w:tc>
      </w:tr>
      <w:tr w:rsidR="004277A2" w14:paraId="7F987626" w14:textId="77777777">
        <w:tblPrEx>
          <w:tblCellMar>
            <w:top w:w="0" w:type="dxa"/>
            <w:bottom w:w="0" w:type="dxa"/>
          </w:tblCellMar>
        </w:tblPrEx>
        <w:tc>
          <w:tcPr>
            <w:tcW w:w="3600" w:type="dxa"/>
            <w:tcMar>
              <w:top w:w="80" w:type="dxa"/>
              <w:left w:w="120" w:type="dxa"/>
              <w:bottom w:w="80" w:type="dxa"/>
              <w:right w:w="120" w:type="dxa"/>
            </w:tcMar>
          </w:tcPr>
          <w:p w14:paraId="1F2ED9D1" w14:textId="77777777" w:rsidR="004277A2" w:rsidRDefault="00000000">
            <w:proofErr w:type="spellStart"/>
            <w:r>
              <w:rPr>
                <w:color w:val="202020"/>
              </w:rPr>
              <w:t>reportlab</w:t>
            </w:r>
            <w:proofErr w:type="spellEnd"/>
          </w:p>
        </w:tc>
        <w:tc>
          <w:tcPr>
            <w:tcW w:w="6210" w:type="dxa"/>
            <w:tcMar>
              <w:top w:w="80" w:type="dxa"/>
              <w:left w:w="120" w:type="dxa"/>
              <w:bottom w:w="80" w:type="dxa"/>
              <w:right w:w="120" w:type="dxa"/>
            </w:tcMar>
          </w:tcPr>
          <w:p w14:paraId="6366F381" w14:textId="77777777" w:rsidR="004277A2" w:rsidRDefault="00000000">
            <w:r>
              <w:rPr>
                <w:color w:val="202020"/>
              </w:rPr>
              <w:t>Stamps the visible “Signed On” timestamp caption onto the generated PDF.</w:t>
            </w:r>
          </w:p>
        </w:tc>
      </w:tr>
      <w:tr w:rsidR="004277A2" w14:paraId="77420954" w14:textId="77777777">
        <w:tblPrEx>
          <w:tblCellMar>
            <w:top w:w="0" w:type="dxa"/>
            <w:bottom w:w="0" w:type="dxa"/>
          </w:tblCellMar>
        </w:tblPrEx>
        <w:tc>
          <w:tcPr>
            <w:tcW w:w="3600" w:type="dxa"/>
            <w:shd w:val="clear" w:color="auto" w:fill="F2F6FA"/>
            <w:tcMar>
              <w:top w:w="80" w:type="dxa"/>
              <w:left w:w="120" w:type="dxa"/>
              <w:bottom w:w="80" w:type="dxa"/>
              <w:right w:w="120" w:type="dxa"/>
            </w:tcMar>
          </w:tcPr>
          <w:p w14:paraId="16F98B4A" w14:textId="77777777" w:rsidR="004277A2" w:rsidRDefault="00000000">
            <w:proofErr w:type="spellStart"/>
            <w:r>
              <w:rPr>
                <w:color w:val="202020"/>
              </w:rPr>
              <w:t>pyhanko</w:t>
            </w:r>
            <w:proofErr w:type="spellEnd"/>
            <w:r>
              <w:rPr>
                <w:color w:val="202020"/>
              </w:rPr>
              <w:t xml:space="preserve"> + cryptography</w:t>
            </w:r>
          </w:p>
        </w:tc>
        <w:tc>
          <w:tcPr>
            <w:tcW w:w="6210" w:type="dxa"/>
            <w:shd w:val="clear" w:color="auto" w:fill="F2F6FA"/>
            <w:tcMar>
              <w:top w:w="80" w:type="dxa"/>
              <w:left w:w="120" w:type="dxa"/>
              <w:bottom w:w="80" w:type="dxa"/>
              <w:right w:w="120" w:type="dxa"/>
            </w:tcMar>
          </w:tcPr>
          <w:p w14:paraId="7E61568B" w14:textId="77777777" w:rsidR="004277A2" w:rsidRDefault="00000000">
            <w:r>
              <w:rPr>
                <w:color w:val="202020"/>
              </w:rPr>
              <w:t>Applies the cryptographic digital signature to the final PDF, using a certificate-backed signing identity so the document is tamper-evident.</w:t>
            </w:r>
          </w:p>
        </w:tc>
      </w:tr>
      <w:tr w:rsidR="004277A2" w14:paraId="56E8FB67" w14:textId="77777777">
        <w:tblPrEx>
          <w:tblCellMar>
            <w:top w:w="0" w:type="dxa"/>
            <w:bottom w:w="0" w:type="dxa"/>
          </w:tblCellMar>
        </w:tblPrEx>
        <w:tc>
          <w:tcPr>
            <w:tcW w:w="3600" w:type="dxa"/>
            <w:tcMar>
              <w:top w:w="80" w:type="dxa"/>
              <w:left w:w="120" w:type="dxa"/>
              <w:bottom w:w="80" w:type="dxa"/>
              <w:right w:w="120" w:type="dxa"/>
            </w:tcMar>
          </w:tcPr>
          <w:p w14:paraId="3B6CDF04" w14:textId="77777777" w:rsidR="004277A2" w:rsidRDefault="00000000">
            <w:proofErr w:type="spellStart"/>
            <w:r>
              <w:rPr>
                <w:color w:val="202020"/>
              </w:rPr>
              <w:t>pypdf</w:t>
            </w:r>
            <w:proofErr w:type="spellEnd"/>
          </w:p>
        </w:tc>
        <w:tc>
          <w:tcPr>
            <w:tcW w:w="6210" w:type="dxa"/>
            <w:tcMar>
              <w:top w:w="80" w:type="dxa"/>
              <w:left w:w="120" w:type="dxa"/>
              <w:bottom w:w="80" w:type="dxa"/>
              <w:right w:w="120" w:type="dxa"/>
            </w:tcMar>
          </w:tcPr>
          <w:p w14:paraId="5AB46DE6" w14:textId="77777777" w:rsidR="004277A2" w:rsidRDefault="00000000">
            <w:r>
              <w:rPr>
                <w:color w:val="202020"/>
              </w:rPr>
              <w:t>Light-weight PDF inspection and post-processing once the signed document has been produced.</w:t>
            </w:r>
          </w:p>
        </w:tc>
      </w:tr>
      <w:tr w:rsidR="004277A2" w14:paraId="59C2D599" w14:textId="77777777">
        <w:tblPrEx>
          <w:tblCellMar>
            <w:top w:w="0" w:type="dxa"/>
            <w:bottom w:w="0" w:type="dxa"/>
          </w:tblCellMar>
        </w:tblPrEx>
        <w:tc>
          <w:tcPr>
            <w:tcW w:w="3600" w:type="dxa"/>
            <w:shd w:val="clear" w:color="auto" w:fill="F2F6FA"/>
            <w:tcMar>
              <w:top w:w="80" w:type="dxa"/>
              <w:left w:w="120" w:type="dxa"/>
              <w:bottom w:w="80" w:type="dxa"/>
              <w:right w:w="120" w:type="dxa"/>
            </w:tcMar>
          </w:tcPr>
          <w:p w14:paraId="43017902" w14:textId="77777777" w:rsidR="004277A2" w:rsidRDefault="00000000">
            <w:proofErr w:type="spellStart"/>
            <w:r>
              <w:rPr>
                <w:color w:val="202020"/>
              </w:rPr>
              <w:t>truststore</w:t>
            </w:r>
            <w:proofErr w:type="spellEnd"/>
          </w:p>
        </w:tc>
        <w:tc>
          <w:tcPr>
            <w:tcW w:w="6210" w:type="dxa"/>
            <w:shd w:val="clear" w:color="auto" w:fill="F2F6FA"/>
            <w:tcMar>
              <w:top w:w="80" w:type="dxa"/>
              <w:left w:w="120" w:type="dxa"/>
              <w:bottom w:w="80" w:type="dxa"/>
              <w:right w:w="120" w:type="dxa"/>
            </w:tcMar>
          </w:tcPr>
          <w:p w14:paraId="2A8C0C5B" w14:textId="77777777" w:rsidR="004277A2" w:rsidRDefault="00000000">
            <w:proofErr w:type="spellStart"/>
            <w:proofErr w:type="gramStart"/>
            <w:r>
              <w:rPr>
                <w:color w:val="202020"/>
              </w:rPr>
              <w:t>Lets</w:t>
            </w:r>
            <w:proofErr w:type="spellEnd"/>
            <w:proofErr w:type="gramEnd"/>
            <w:r>
              <w:rPr>
                <w:color w:val="202020"/>
              </w:rPr>
              <w:t xml:space="preserve"> the app trust the same certificates Windows already trusts, avoiding SSL errors on the corporate network without disabling certificate checks.</w:t>
            </w:r>
          </w:p>
        </w:tc>
      </w:tr>
      <w:tr w:rsidR="004277A2" w14:paraId="4CE35F2C" w14:textId="77777777">
        <w:tblPrEx>
          <w:tblCellMar>
            <w:top w:w="0" w:type="dxa"/>
            <w:bottom w:w="0" w:type="dxa"/>
          </w:tblCellMar>
        </w:tblPrEx>
        <w:tc>
          <w:tcPr>
            <w:tcW w:w="3600" w:type="dxa"/>
            <w:tcMar>
              <w:top w:w="80" w:type="dxa"/>
              <w:left w:w="120" w:type="dxa"/>
              <w:bottom w:w="80" w:type="dxa"/>
              <w:right w:w="120" w:type="dxa"/>
            </w:tcMar>
          </w:tcPr>
          <w:p w14:paraId="228946EB" w14:textId="77777777" w:rsidR="004277A2" w:rsidRDefault="00000000">
            <w:r>
              <w:rPr>
                <w:color w:val="202020"/>
              </w:rPr>
              <w:lastRenderedPageBreak/>
              <w:t xml:space="preserve">logging / </w:t>
            </w:r>
            <w:proofErr w:type="spellStart"/>
            <w:proofErr w:type="gramStart"/>
            <w:r>
              <w:rPr>
                <w:color w:val="202020"/>
              </w:rPr>
              <w:t>logging.handlers</w:t>
            </w:r>
            <w:proofErr w:type="spellEnd"/>
            <w:proofErr w:type="gramEnd"/>
            <w:r>
              <w:rPr>
                <w:color w:val="202020"/>
              </w:rPr>
              <w:t xml:space="preserve"> (standard library)</w:t>
            </w:r>
          </w:p>
        </w:tc>
        <w:tc>
          <w:tcPr>
            <w:tcW w:w="6210" w:type="dxa"/>
            <w:tcMar>
              <w:top w:w="80" w:type="dxa"/>
              <w:left w:w="120" w:type="dxa"/>
              <w:bottom w:w="80" w:type="dxa"/>
              <w:right w:w="120" w:type="dxa"/>
            </w:tcMar>
          </w:tcPr>
          <w:p w14:paraId="07727446" w14:textId="77777777" w:rsidR="004277A2" w:rsidRDefault="00000000">
            <w:r>
              <w:rPr>
                <w:color w:val="202020"/>
              </w:rPr>
              <w:t>Writes a rotating application log and the audit trail — every lookup, signature and generated document is recorded with a timestamp and source.</w:t>
            </w:r>
          </w:p>
        </w:tc>
      </w:tr>
      <w:tr w:rsidR="004277A2" w14:paraId="10020FEA" w14:textId="77777777">
        <w:tblPrEx>
          <w:tblCellMar>
            <w:top w:w="0" w:type="dxa"/>
            <w:bottom w:w="0" w:type="dxa"/>
          </w:tblCellMar>
        </w:tblPrEx>
        <w:tc>
          <w:tcPr>
            <w:tcW w:w="3600" w:type="dxa"/>
            <w:shd w:val="clear" w:color="auto" w:fill="F2F6FA"/>
            <w:tcMar>
              <w:top w:w="80" w:type="dxa"/>
              <w:left w:w="120" w:type="dxa"/>
              <w:bottom w:w="80" w:type="dxa"/>
              <w:right w:w="120" w:type="dxa"/>
            </w:tcMar>
          </w:tcPr>
          <w:p w14:paraId="49C6E83C" w14:textId="77777777" w:rsidR="004277A2" w:rsidRDefault="00000000">
            <w:r>
              <w:rPr>
                <w:color w:val="202020"/>
              </w:rPr>
              <w:t>threading, subprocess (standard library)</w:t>
            </w:r>
          </w:p>
        </w:tc>
        <w:tc>
          <w:tcPr>
            <w:tcW w:w="6210" w:type="dxa"/>
            <w:shd w:val="clear" w:color="auto" w:fill="F2F6FA"/>
            <w:tcMar>
              <w:top w:w="80" w:type="dxa"/>
              <w:left w:w="120" w:type="dxa"/>
              <w:bottom w:w="80" w:type="dxa"/>
              <w:right w:w="120" w:type="dxa"/>
            </w:tcMar>
          </w:tcPr>
          <w:p w14:paraId="6EC82A0C" w14:textId="77777777" w:rsidR="004277A2" w:rsidRDefault="00000000">
            <w:r>
              <w:rPr>
                <w:color w:val="202020"/>
              </w:rPr>
              <w:t>Keep lookups and the embedded browser session running in the background so the interface never freezes while waiting on a network call.</w:t>
            </w:r>
          </w:p>
        </w:tc>
      </w:tr>
      <w:tr w:rsidR="004277A2" w14:paraId="2BEC11F4" w14:textId="77777777">
        <w:tblPrEx>
          <w:tblCellMar>
            <w:top w:w="0" w:type="dxa"/>
            <w:bottom w:w="0" w:type="dxa"/>
          </w:tblCellMar>
        </w:tblPrEx>
        <w:tc>
          <w:tcPr>
            <w:tcW w:w="3600" w:type="dxa"/>
            <w:tcMar>
              <w:top w:w="80" w:type="dxa"/>
              <w:left w:w="120" w:type="dxa"/>
              <w:bottom w:w="80" w:type="dxa"/>
              <w:right w:w="120" w:type="dxa"/>
            </w:tcMar>
          </w:tcPr>
          <w:p w14:paraId="3A2939BB" w14:textId="77777777" w:rsidR="004277A2" w:rsidRDefault="00000000">
            <w:proofErr w:type="spellStart"/>
            <w:r>
              <w:rPr>
                <w:color w:val="202020"/>
              </w:rPr>
              <w:t>json</w:t>
            </w:r>
            <w:proofErr w:type="spellEnd"/>
            <w:r>
              <w:rPr>
                <w:color w:val="202020"/>
              </w:rPr>
              <w:t xml:space="preserve">, csv, </w:t>
            </w:r>
            <w:proofErr w:type="spellStart"/>
            <w:r>
              <w:rPr>
                <w:color w:val="202020"/>
              </w:rPr>
              <w:t>uuid</w:t>
            </w:r>
            <w:proofErr w:type="spellEnd"/>
            <w:r>
              <w:rPr>
                <w:color w:val="202020"/>
              </w:rPr>
              <w:t xml:space="preserve">, </w:t>
            </w:r>
            <w:proofErr w:type="spellStart"/>
            <w:r>
              <w:rPr>
                <w:color w:val="202020"/>
              </w:rPr>
              <w:t>tempfile</w:t>
            </w:r>
            <w:proofErr w:type="spellEnd"/>
            <w:r>
              <w:rPr>
                <w:color w:val="202020"/>
              </w:rPr>
              <w:t>, datetime (standard library)</w:t>
            </w:r>
          </w:p>
        </w:tc>
        <w:tc>
          <w:tcPr>
            <w:tcW w:w="6210" w:type="dxa"/>
            <w:tcMar>
              <w:top w:w="80" w:type="dxa"/>
              <w:left w:w="120" w:type="dxa"/>
              <w:bottom w:w="80" w:type="dxa"/>
              <w:right w:w="120" w:type="dxa"/>
            </w:tcMar>
          </w:tcPr>
          <w:p w14:paraId="5A989DD6" w14:textId="77777777" w:rsidR="004277A2" w:rsidRDefault="00000000">
            <w:r>
              <w:rPr>
                <w:color w:val="202020"/>
              </w:rPr>
              <w:t>Configuration storage, bulk-import parsing, unique temp filenames for signature capture, and all date/time stamping across the app.</w:t>
            </w:r>
          </w:p>
        </w:tc>
      </w:tr>
    </w:tbl>
    <w:p w14:paraId="1A79971C" w14:textId="77777777" w:rsidR="004277A2" w:rsidRDefault="004277A2">
      <w:pPr>
        <w:spacing w:before="320"/>
      </w:pPr>
    </w:p>
    <w:p w14:paraId="45A6BC01" w14:textId="77777777" w:rsidR="004277A2" w:rsidRDefault="00000000">
      <w:pPr>
        <w:pStyle w:val="Heading1"/>
        <w:pBdr>
          <w:bottom w:val="single" w:sz="8" w:space="4" w:color="2E75B6"/>
        </w:pBdr>
        <w:spacing w:before="360" w:after="160"/>
      </w:pPr>
      <w:r>
        <w:rPr>
          <w:b/>
          <w:bCs/>
          <w:color w:val="1F3864"/>
          <w:sz w:val="30"/>
          <w:szCs w:val="30"/>
        </w:rPr>
        <w:t>6. Packaging and Distribution</w:t>
      </w:r>
    </w:p>
    <w:p w14:paraId="288739FF" w14:textId="77777777" w:rsidR="004277A2" w:rsidRDefault="00000000">
      <w:pPr>
        <w:spacing w:after="160" w:line="300" w:lineRule="auto"/>
      </w:pPr>
      <w:r>
        <w:rPr>
          <w:color w:val="202020"/>
          <w:sz w:val="22"/>
          <w:szCs w:val="22"/>
        </w:rPr>
        <w:t>For day-to-day use, the application is packaged into a single standalone .exe file, so nobody on the team needs Python or any of the libraries above installed on their machine — they simply double-click the file, the same as any commercial desktop application. Microsoft Word remains a separate requirement on each machine, since the app drives Word directly to produce the final document, and a physical Topaz pad is only required where hardware signature capture is used.</w:t>
      </w:r>
    </w:p>
    <w:p w14:paraId="66C8B7FD" w14:textId="77777777" w:rsidR="004277A2" w:rsidRDefault="00000000">
      <w:pPr>
        <w:pStyle w:val="Heading1"/>
        <w:pBdr>
          <w:bottom w:val="single" w:sz="8" w:space="4" w:color="2E75B6"/>
        </w:pBdr>
        <w:spacing w:before="360" w:after="160"/>
      </w:pPr>
      <w:r>
        <w:rPr>
          <w:b/>
          <w:bCs/>
          <w:color w:val="1F3864"/>
          <w:sz w:val="30"/>
          <w:szCs w:val="30"/>
        </w:rPr>
        <w:t>7. What's Planned Next</w:t>
      </w:r>
    </w:p>
    <w:p w14:paraId="3D474245" w14:textId="77777777" w:rsidR="004277A2" w:rsidRDefault="00000000">
      <w:pPr>
        <w:pStyle w:val="ListParagraph"/>
        <w:numPr>
          <w:ilvl w:val="0"/>
          <w:numId w:val="2"/>
        </w:numPr>
        <w:spacing w:after="90" w:line="280" w:lineRule="auto"/>
      </w:pPr>
      <w:r>
        <w:rPr>
          <w:color w:val="202020"/>
          <w:sz w:val="22"/>
          <w:szCs w:val="22"/>
        </w:rPr>
        <w:t>A live New Hire lookup against ServiceNow, running alongside the existing SSRS report (not replacing it), so a same-day new hire is picked up immediately instead of waiting for the next scheduled SSRS refresh.</w:t>
      </w:r>
    </w:p>
    <w:p w14:paraId="71C63757" w14:textId="77777777" w:rsidR="004277A2" w:rsidRDefault="00000000">
      <w:pPr>
        <w:pStyle w:val="ListParagraph"/>
        <w:numPr>
          <w:ilvl w:val="0"/>
          <w:numId w:val="2"/>
        </w:numPr>
        <w:spacing w:after="90" w:line="280" w:lineRule="auto"/>
      </w:pPr>
      <w:r>
        <w:rPr>
          <w:color w:val="202020"/>
          <w:sz w:val="22"/>
          <w:szCs w:val="22"/>
        </w:rPr>
        <w:t>Continued refinement based on feedback from day-to-day use across the team.</w:t>
      </w:r>
    </w:p>
    <w:sectPr w:rsidR="004277A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0CE9"/>
    <w:multiLevelType w:val="hybridMultilevel"/>
    <w:tmpl w:val="E4AC45A2"/>
    <w:lvl w:ilvl="0" w:tplc="A9EEAECE">
      <w:start w:val="1"/>
      <w:numFmt w:val="bullet"/>
      <w:lvlText w:val="●"/>
      <w:lvlJc w:val="left"/>
      <w:pPr>
        <w:ind w:left="720" w:hanging="360"/>
      </w:pPr>
    </w:lvl>
    <w:lvl w:ilvl="1" w:tplc="A776DE7C">
      <w:start w:val="1"/>
      <w:numFmt w:val="bullet"/>
      <w:lvlText w:val="○"/>
      <w:lvlJc w:val="left"/>
      <w:pPr>
        <w:ind w:left="1440" w:hanging="360"/>
      </w:pPr>
    </w:lvl>
    <w:lvl w:ilvl="2" w:tplc="DB526302">
      <w:start w:val="1"/>
      <w:numFmt w:val="bullet"/>
      <w:lvlText w:val="■"/>
      <w:lvlJc w:val="left"/>
      <w:pPr>
        <w:ind w:left="2160" w:hanging="360"/>
      </w:pPr>
    </w:lvl>
    <w:lvl w:ilvl="3" w:tplc="AF1A17E2">
      <w:start w:val="1"/>
      <w:numFmt w:val="bullet"/>
      <w:lvlText w:val="●"/>
      <w:lvlJc w:val="left"/>
      <w:pPr>
        <w:ind w:left="2880" w:hanging="360"/>
      </w:pPr>
    </w:lvl>
    <w:lvl w:ilvl="4" w:tplc="B6A2FD9C">
      <w:start w:val="1"/>
      <w:numFmt w:val="bullet"/>
      <w:lvlText w:val="○"/>
      <w:lvlJc w:val="left"/>
      <w:pPr>
        <w:ind w:left="3600" w:hanging="360"/>
      </w:pPr>
    </w:lvl>
    <w:lvl w:ilvl="5" w:tplc="FBEAEF08">
      <w:start w:val="1"/>
      <w:numFmt w:val="bullet"/>
      <w:lvlText w:val="■"/>
      <w:lvlJc w:val="left"/>
      <w:pPr>
        <w:ind w:left="4320" w:hanging="360"/>
      </w:pPr>
    </w:lvl>
    <w:lvl w:ilvl="6" w:tplc="B5029EC8">
      <w:start w:val="1"/>
      <w:numFmt w:val="bullet"/>
      <w:lvlText w:val="●"/>
      <w:lvlJc w:val="left"/>
      <w:pPr>
        <w:ind w:left="5040" w:hanging="360"/>
      </w:pPr>
    </w:lvl>
    <w:lvl w:ilvl="7" w:tplc="E94452B6">
      <w:start w:val="1"/>
      <w:numFmt w:val="bullet"/>
      <w:lvlText w:val="●"/>
      <w:lvlJc w:val="left"/>
      <w:pPr>
        <w:ind w:left="5760" w:hanging="360"/>
      </w:pPr>
    </w:lvl>
    <w:lvl w:ilvl="8" w:tplc="83B2CDE4">
      <w:start w:val="1"/>
      <w:numFmt w:val="bullet"/>
      <w:lvlText w:val="●"/>
      <w:lvlJc w:val="left"/>
      <w:pPr>
        <w:ind w:left="6480" w:hanging="360"/>
      </w:pPr>
    </w:lvl>
  </w:abstractNum>
  <w:abstractNum w:abstractNumId="1" w15:restartNumberingAfterBreak="0">
    <w:nsid w:val="6AB147CE"/>
    <w:multiLevelType w:val="hybridMultilevel"/>
    <w:tmpl w:val="FAAE94E0"/>
    <w:lvl w:ilvl="0" w:tplc="D1F689D0">
      <w:start w:val="1"/>
      <w:numFmt w:val="bullet"/>
      <w:lvlText w:val="•"/>
      <w:lvlJc w:val="left"/>
      <w:pPr>
        <w:ind w:left="504" w:hanging="288"/>
      </w:pPr>
    </w:lvl>
    <w:lvl w:ilvl="1" w:tplc="8DBA8234">
      <w:numFmt w:val="decimal"/>
      <w:lvlText w:val=""/>
      <w:lvlJc w:val="left"/>
    </w:lvl>
    <w:lvl w:ilvl="2" w:tplc="6AD03026">
      <w:numFmt w:val="decimal"/>
      <w:lvlText w:val=""/>
      <w:lvlJc w:val="left"/>
    </w:lvl>
    <w:lvl w:ilvl="3" w:tplc="70D4190E">
      <w:numFmt w:val="decimal"/>
      <w:lvlText w:val=""/>
      <w:lvlJc w:val="left"/>
    </w:lvl>
    <w:lvl w:ilvl="4" w:tplc="74A8B9DC">
      <w:numFmt w:val="decimal"/>
      <w:lvlText w:val=""/>
      <w:lvlJc w:val="left"/>
    </w:lvl>
    <w:lvl w:ilvl="5" w:tplc="A2340F14">
      <w:numFmt w:val="decimal"/>
      <w:lvlText w:val=""/>
      <w:lvlJc w:val="left"/>
    </w:lvl>
    <w:lvl w:ilvl="6" w:tplc="E70AF670">
      <w:numFmt w:val="decimal"/>
      <w:lvlText w:val=""/>
      <w:lvlJc w:val="left"/>
    </w:lvl>
    <w:lvl w:ilvl="7" w:tplc="A98876B2">
      <w:numFmt w:val="decimal"/>
      <w:lvlText w:val=""/>
      <w:lvlJc w:val="left"/>
    </w:lvl>
    <w:lvl w:ilvl="8" w:tplc="2D1E630C">
      <w:numFmt w:val="decimal"/>
      <w:lvlText w:val=""/>
      <w:lvlJc w:val="left"/>
    </w:lvl>
  </w:abstractNum>
  <w:num w:numId="1" w16cid:durableId="420762735">
    <w:abstractNumId w:val="0"/>
    <w:lvlOverride w:ilvl="0">
      <w:startOverride w:val="1"/>
    </w:lvlOverride>
  </w:num>
  <w:num w:numId="2" w16cid:durableId="1654408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7A2"/>
    <w:rsid w:val="00027D8D"/>
    <w:rsid w:val="004277A2"/>
    <w:rsid w:val="009A6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528B"/>
  <w15:docId w15:val="{5660AD68-21E5-471D-BADB-6F15F7EC1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1468</Words>
  <Characters>8370</Characters>
  <Application>Microsoft Office Word</Application>
  <DocSecurity>0</DocSecurity>
  <Lines>69</Lines>
  <Paragraphs>19</Paragraphs>
  <ScaleCrop>false</ScaleCrop>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sriram Rajaamuthan</cp:lastModifiedBy>
  <cp:revision>2</cp:revision>
  <dcterms:created xsi:type="dcterms:W3CDTF">2026-09-17T16:07:00Z</dcterms:created>
  <dcterms:modified xsi:type="dcterms:W3CDTF">2026-09-17T16:07:00Z</dcterms:modified>
</cp:coreProperties>
</file>