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D5005" w14:textId="2A90C44C" w:rsidR="00832957" w:rsidRPr="001F1C24" w:rsidRDefault="001F1C24" w:rsidP="001F1C24">
      <w:pPr>
        <w:pStyle w:val="BodyText"/>
        <w:jc w:val="center"/>
        <w:rPr>
          <w:b/>
          <w:bCs/>
          <w:sz w:val="32"/>
          <w:szCs w:val="32"/>
        </w:rPr>
      </w:pPr>
      <w:r w:rsidRPr="001F1C24">
        <w:rPr>
          <w:b/>
          <w:bCs/>
          <w:sz w:val="32"/>
          <w:szCs w:val="32"/>
        </w:rPr>
        <w:t>Hypothesis</w:t>
      </w:r>
    </w:p>
    <w:p w14:paraId="3293B7D1" w14:textId="77777777" w:rsidR="00832957" w:rsidRDefault="00832957">
      <w:pPr>
        <w:pStyle w:val="BodyText"/>
        <w:spacing w:before="5"/>
        <w:rPr>
          <w:sz w:val="27"/>
        </w:rPr>
      </w:pPr>
    </w:p>
    <w:p w14:paraId="67FFAB42" w14:textId="77777777" w:rsidR="00832957" w:rsidRDefault="00000000">
      <w:pPr>
        <w:pStyle w:val="ListParagraph"/>
        <w:numPr>
          <w:ilvl w:val="0"/>
          <w:numId w:val="2"/>
        </w:numPr>
        <w:tabs>
          <w:tab w:val="left" w:pos="1540"/>
        </w:tabs>
        <w:spacing w:before="1" w:line="256" w:lineRule="auto"/>
        <w:ind w:right="114"/>
        <w:jc w:val="both"/>
      </w:pPr>
      <w:r>
        <w:rPr>
          <w:rFonts w:ascii="Arial"/>
          <w:b/>
          <w:spacing w:val="-1"/>
        </w:rPr>
        <w:t>Project</w:t>
      </w:r>
      <w:r>
        <w:rPr>
          <w:rFonts w:ascii="Arial"/>
          <w:b/>
          <w:spacing w:val="-14"/>
        </w:rPr>
        <w:t xml:space="preserve"> </w:t>
      </w:r>
      <w:r>
        <w:rPr>
          <w:rFonts w:ascii="Arial"/>
          <w:b/>
          <w:spacing w:val="-1"/>
        </w:rPr>
        <w:t>Description:</w:t>
      </w:r>
      <w:r>
        <w:rPr>
          <w:rFonts w:ascii="Arial"/>
          <w:b/>
          <w:spacing w:val="-14"/>
        </w:rPr>
        <w:t xml:space="preserve"> </w:t>
      </w:r>
      <w:r>
        <w:rPr>
          <w:spacing w:val="-1"/>
        </w:rPr>
        <w:t>This</w:t>
      </w:r>
      <w:r>
        <w:rPr>
          <w:spacing w:val="-14"/>
        </w:rPr>
        <w:t xml:space="preserve"> </w:t>
      </w:r>
      <w:r>
        <w:rPr>
          <w:spacing w:val="-1"/>
        </w:rPr>
        <w:t>visualization</w:t>
      </w:r>
      <w:r>
        <w:rPr>
          <w:spacing w:val="-14"/>
        </w:rPr>
        <w:t xml:space="preserve"> </w:t>
      </w:r>
      <w:r>
        <w:t>project</w:t>
      </w:r>
      <w:r>
        <w:rPr>
          <w:spacing w:val="-14"/>
        </w:rPr>
        <w:t xml:space="preserve"> </w:t>
      </w:r>
      <w:r>
        <w:t>proposal</w:t>
      </w:r>
      <w:r>
        <w:rPr>
          <w:spacing w:val="-13"/>
        </w:rPr>
        <w:t xml:space="preserve"> </w:t>
      </w:r>
      <w:r>
        <w:t>focuses</w:t>
      </w:r>
      <w:r>
        <w:rPr>
          <w:spacing w:val="-14"/>
        </w:rPr>
        <w:t xml:space="preserve"> </w:t>
      </w:r>
      <w:r>
        <w:t>on</w:t>
      </w:r>
      <w:r>
        <w:rPr>
          <w:spacing w:val="-14"/>
        </w:rPr>
        <w:t xml:space="preserve"> </w:t>
      </w:r>
      <w:r>
        <w:t>elucidating</w:t>
      </w:r>
      <w:r>
        <w:rPr>
          <w:spacing w:val="-59"/>
        </w:rPr>
        <w:t xml:space="preserve"> </w:t>
      </w:r>
      <w:r>
        <w:t>the</w:t>
      </w:r>
      <w:r>
        <w:rPr>
          <w:spacing w:val="-11"/>
        </w:rPr>
        <w:t xml:space="preserve"> </w:t>
      </w:r>
      <w:r>
        <w:t>environmental</w:t>
      </w:r>
      <w:r>
        <w:rPr>
          <w:spacing w:val="-10"/>
        </w:rPr>
        <w:t xml:space="preserve"> </w:t>
      </w:r>
      <w:r>
        <w:t>benefits</w:t>
      </w:r>
      <w:r>
        <w:rPr>
          <w:spacing w:val="-11"/>
        </w:rPr>
        <w:t xml:space="preserve"> </w:t>
      </w:r>
      <w:r>
        <w:t>of</w:t>
      </w:r>
      <w:r>
        <w:rPr>
          <w:spacing w:val="-10"/>
        </w:rPr>
        <w:t xml:space="preserve"> </w:t>
      </w:r>
      <w:r>
        <w:t>reduced</w:t>
      </w:r>
      <w:r>
        <w:rPr>
          <w:spacing w:val="-11"/>
        </w:rPr>
        <w:t xml:space="preserve"> </w:t>
      </w:r>
      <w:r>
        <w:t>human</w:t>
      </w:r>
      <w:r>
        <w:rPr>
          <w:spacing w:val="-10"/>
        </w:rPr>
        <w:t xml:space="preserve"> </w:t>
      </w:r>
      <w:r>
        <w:t>activities</w:t>
      </w:r>
      <w:r>
        <w:rPr>
          <w:spacing w:val="-10"/>
        </w:rPr>
        <w:t xml:space="preserve"> </w:t>
      </w:r>
      <w:r>
        <w:t>on</w:t>
      </w:r>
      <w:r>
        <w:rPr>
          <w:spacing w:val="-11"/>
        </w:rPr>
        <w:t xml:space="preserve"> </w:t>
      </w:r>
      <w:r>
        <w:t>air</w:t>
      </w:r>
      <w:r>
        <w:rPr>
          <w:spacing w:val="-10"/>
        </w:rPr>
        <w:t xml:space="preserve"> </w:t>
      </w:r>
      <w:r>
        <w:t>quality</w:t>
      </w:r>
      <w:r>
        <w:rPr>
          <w:spacing w:val="-11"/>
        </w:rPr>
        <w:t xml:space="preserve"> </w:t>
      </w:r>
      <w:r>
        <w:t>during</w:t>
      </w:r>
      <w:r>
        <w:rPr>
          <w:spacing w:val="-10"/>
        </w:rPr>
        <w:t xml:space="preserve"> </w:t>
      </w:r>
      <w:r>
        <w:t>the</w:t>
      </w:r>
      <w:r>
        <w:rPr>
          <w:spacing w:val="-59"/>
        </w:rPr>
        <w:t xml:space="preserve"> </w:t>
      </w:r>
      <w:r>
        <w:t>COVID-19 pandemic. It aims to create an immersive narrative through data,</w:t>
      </w:r>
      <w:r>
        <w:rPr>
          <w:spacing w:val="1"/>
        </w:rPr>
        <w:t xml:space="preserve"> </w:t>
      </w:r>
      <w:r>
        <w:t>highlighting the decline in NO2, PM2.5, CO, and SO2 levels across different</w:t>
      </w:r>
      <w:r>
        <w:rPr>
          <w:spacing w:val="1"/>
        </w:rPr>
        <w:t xml:space="preserve"> </w:t>
      </w:r>
      <w:r>
        <w:t>urban</w:t>
      </w:r>
      <w:r>
        <w:rPr>
          <w:spacing w:val="1"/>
        </w:rPr>
        <w:t xml:space="preserve"> </w:t>
      </w:r>
      <w:r>
        <w:t>and</w:t>
      </w:r>
      <w:r>
        <w:rPr>
          <w:spacing w:val="1"/>
        </w:rPr>
        <w:t xml:space="preserve"> </w:t>
      </w:r>
      <w:r>
        <w:t>industrial</w:t>
      </w:r>
      <w:r>
        <w:rPr>
          <w:spacing w:val="1"/>
        </w:rPr>
        <w:t xml:space="preserve"> </w:t>
      </w:r>
      <w:r>
        <w:t>settings,</w:t>
      </w:r>
      <w:r>
        <w:rPr>
          <w:spacing w:val="1"/>
        </w:rPr>
        <w:t xml:space="preserve"> </w:t>
      </w:r>
      <w:r>
        <w:t>and</w:t>
      </w:r>
      <w:r>
        <w:rPr>
          <w:spacing w:val="1"/>
        </w:rPr>
        <w:t xml:space="preserve"> </w:t>
      </w:r>
      <w:r>
        <w:t>the</w:t>
      </w:r>
      <w:r>
        <w:rPr>
          <w:spacing w:val="1"/>
        </w:rPr>
        <w:t xml:space="preserve"> </w:t>
      </w:r>
      <w:r>
        <w:t>consequences</w:t>
      </w:r>
      <w:r>
        <w:rPr>
          <w:spacing w:val="1"/>
        </w:rPr>
        <w:t xml:space="preserve"> </w:t>
      </w:r>
      <w:r>
        <w:t>of</w:t>
      </w:r>
      <w:r>
        <w:rPr>
          <w:spacing w:val="1"/>
        </w:rPr>
        <w:t xml:space="preserve"> </w:t>
      </w:r>
      <w:r>
        <w:t>diminished</w:t>
      </w:r>
      <w:r>
        <w:rPr>
          <w:spacing w:val="1"/>
        </w:rPr>
        <w:t xml:space="preserve"> </w:t>
      </w:r>
      <w:r>
        <w:t>transportation</w:t>
      </w:r>
      <w:r>
        <w:rPr>
          <w:spacing w:val="-15"/>
        </w:rPr>
        <w:t xml:space="preserve"> </w:t>
      </w:r>
      <w:r>
        <w:t>and</w:t>
      </w:r>
      <w:r>
        <w:rPr>
          <w:spacing w:val="-14"/>
        </w:rPr>
        <w:t xml:space="preserve"> </w:t>
      </w:r>
      <w:r>
        <w:t>shipping</w:t>
      </w:r>
      <w:r>
        <w:rPr>
          <w:spacing w:val="-14"/>
        </w:rPr>
        <w:t xml:space="preserve"> </w:t>
      </w:r>
      <w:r>
        <w:t>activities.</w:t>
      </w:r>
      <w:r>
        <w:rPr>
          <w:spacing w:val="-14"/>
        </w:rPr>
        <w:t xml:space="preserve"> </w:t>
      </w:r>
      <w:r>
        <w:t>The</w:t>
      </w:r>
      <w:r>
        <w:rPr>
          <w:spacing w:val="-14"/>
        </w:rPr>
        <w:t xml:space="preserve"> </w:t>
      </w:r>
      <w:r>
        <w:t>proposal</w:t>
      </w:r>
      <w:r>
        <w:rPr>
          <w:spacing w:val="-14"/>
        </w:rPr>
        <w:t xml:space="preserve"> </w:t>
      </w:r>
      <w:r>
        <w:t>identifies</w:t>
      </w:r>
      <w:r>
        <w:rPr>
          <w:spacing w:val="-14"/>
        </w:rPr>
        <w:t xml:space="preserve"> </w:t>
      </w:r>
      <w:r>
        <w:t>excel</w:t>
      </w:r>
      <w:r>
        <w:rPr>
          <w:spacing w:val="-14"/>
        </w:rPr>
        <w:t xml:space="preserve"> </w:t>
      </w:r>
      <w:r>
        <w:t>and</w:t>
      </w:r>
      <w:r>
        <w:rPr>
          <w:spacing w:val="-14"/>
        </w:rPr>
        <w:t xml:space="preserve"> </w:t>
      </w:r>
      <w:r>
        <w:t>pandas</w:t>
      </w:r>
      <w:r>
        <w:rPr>
          <w:spacing w:val="-59"/>
        </w:rPr>
        <w:t xml:space="preserve"> </w:t>
      </w:r>
      <w:r>
        <w:t>for data cleansing and Tableau for visualization, emphasizing the importance</w:t>
      </w:r>
      <w:r>
        <w:rPr>
          <w:spacing w:val="1"/>
        </w:rPr>
        <w:t xml:space="preserve"> </w:t>
      </w:r>
      <w:r>
        <w:t>of these tools in handling and presenting complex datasets effectively. This</w:t>
      </w:r>
      <w:r>
        <w:rPr>
          <w:spacing w:val="1"/>
        </w:rPr>
        <w:t xml:space="preserve"> </w:t>
      </w:r>
      <w:r>
        <w:t>approach</w:t>
      </w:r>
      <w:r>
        <w:rPr>
          <w:spacing w:val="1"/>
        </w:rPr>
        <w:t xml:space="preserve"> </w:t>
      </w:r>
      <w:r>
        <w:t>aims</w:t>
      </w:r>
      <w:r>
        <w:rPr>
          <w:spacing w:val="1"/>
        </w:rPr>
        <w:t xml:space="preserve"> </w:t>
      </w:r>
      <w:r>
        <w:t>to</w:t>
      </w:r>
      <w:r>
        <w:rPr>
          <w:spacing w:val="1"/>
        </w:rPr>
        <w:t xml:space="preserve"> </w:t>
      </w:r>
      <w:r>
        <w:t>highlight</w:t>
      </w:r>
      <w:r>
        <w:rPr>
          <w:spacing w:val="1"/>
        </w:rPr>
        <w:t xml:space="preserve"> </w:t>
      </w:r>
      <w:r>
        <w:t>the</w:t>
      </w:r>
      <w:r>
        <w:rPr>
          <w:spacing w:val="1"/>
        </w:rPr>
        <w:t xml:space="preserve"> </w:t>
      </w:r>
      <w:r>
        <w:t>correlation</w:t>
      </w:r>
      <w:r>
        <w:rPr>
          <w:spacing w:val="1"/>
        </w:rPr>
        <w:t xml:space="preserve"> </w:t>
      </w:r>
      <w:r>
        <w:t>between</w:t>
      </w:r>
      <w:r>
        <w:rPr>
          <w:spacing w:val="1"/>
        </w:rPr>
        <w:t xml:space="preserve"> </w:t>
      </w:r>
      <w:r>
        <w:t>pandemic-related</w:t>
      </w:r>
      <w:r>
        <w:rPr>
          <w:spacing w:val="1"/>
        </w:rPr>
        <w:t xml:space="preserve"> </w:t>
      </w:r>
      <w:r>
        <w:t>reductions</w:t>
      </w:r>
      <w:r>
        <w:rPr>
          <w:spacing w:val="-11"/>
        </w:rPr>
        <w:t xml:space="preserve"> </w:t>
      </w:r>
      <w:r>
        <w:t>in</w:t>
      </w:r>
      <w:r>
        <w:rPr>
          <w:spacing w:val="-11"/>
        </w:rPr>
        <w:t xml:space="preserve"> </w:t>
      </w:r>
      <w:r>
        <w:t>human</w:t>
      </w:r>
      <w:r>
        <w:rPr>
          <w:spacing w:val="-11"/>
        </w:rPr>
        <w:t xml:space="preserve"> </w:t>
      </w:r>
      <w:r>
        <w:t>activities</w:t>
      </w:r>
      <w:r>
        <w:rPr>
          <w:spacing w:val="-11"/>
        </w:rPr>
        <w:t xml:space="preserve"> </w:t>
      </w:r>
      <w:r>
        <w:t>and</w:t>
      </w:r>
      <w:r>
        <w:rPr>
          <w:spacing w:val="-11"/>
        </w:rPr>
        <w:t xml:space="preserve"> </w:t>
      </w:r>
      <w:r>
        <w:t>improvements</w:t>
      </w:r>
      <w:r>
        <w:rPr>
          <w:spacing w:val="-11"/>
        </w:rPr>
        <w:t xml:space="preserve"> </w:t>
      </w:r>
      <w:r>
        <w:t>in</w:t>
      </w:r>
      <w:r>
        <w:rPr>
          <w:spacing w:val="-11"/>
        </w:rPr>
        <w:t xml:space="preserve"> </w:t>
      </w:r>
      <w:r>
        <w:t>air</w:t>
      </w:r>
      <w:r>
        <w:rPr>
          <w:spacing w:val="-10"/>
        </w:rPr>
        <w:t xml:space="preserve"> </w:t>
      </w:r>
      <w:r>
        <w:t>quality,</w:t>
      </w:r>
      <w:r>
        <w:rPr>
          <w:spacing w:val="-10"/>
        </w:rPr>
        <w:t xml:space="preserve"> </w:t>
      </w:r>
      <w:r>
        <w:t>offering</w:t>
      </w:r>
      <w:r>
        <w:rPr>
          <w:spacing w:val="-11"/>
        </w:rPr>
        <w:t xml:space="preserve"> </w:t>
      </w:r>
      <w:r>
        <w:t>insights</w:t>
      </w:r>
      <w:r>
        <w:rPr>
          <w:spacing w:val="-59"/>
        </w:rPr>
        <w:t xml:space="preserve"> </w:t>
      </w:r>
      <w:r>
        <w:t>into the environmental impacts of reduced vehicular traffic, industrial activities,</w:t>
      </w:r>
      <w:r>
        <w:rPr>
          <w:spacing w:val="-60"/>
        </w:rPr>
        <w:t xml:space="preserve"> </w:t>
      </w:r>
      <w:r>
        <w:t>air</w:t>
      </w:r>
      <w:r>
        <w:rPr>
          <w:spacing w:val="-2"/>
        </w:rPr>
        <w:t xml:space="preserve"> </w:t>
      </w:r>
      <w:r>
        <w:t>travel,</w:t>
      </w:r>
      <w:r>
        <w:rPr>
          <w:spacing w:val="-1"/>
        </w:rPr>
        <w:t xml:space="preserve"> </w:t>
      </w:r>
      <w:r>
        <w:t>and</w:t>
      </w:r>
      <w:r>
        <w:rPr>
          <w:spacing w:val="-1"/>
        </w:rPr>
        <w:t xml:space="preserve"> </w:t>
      </w:r>
      <w:r>
        <w:t>shipping.</w:t>
      </w:r>
    </w:p>
    <w:p w14:paraId="5659F71D" w14:textId="77777777" w:rsidR="00832957" w:rsidRDefault="00832957">
      <w:pPr>
        <w:pStyle w:val="BodyText"/>
        <w:spacing w:before="7"/>
      </w:pPr>
    </w:p>
    <w:p w14:paraId="546A0234" w14:textId="77777777" w:rsidR="00832957" w:rsidRDefault="00000000">
      <w:pPr>
        <w:pStyle w:val="ListParagraph"/>
        <w:numPr>
          <w:ilvl w:val="0"/>
          <w:numId w:val="2"/>
        </w:numPr>
        <w:tabs>
          <w:tab w:val="left" w:pos="1540"/>
        </w:tabs>
        <w:spacing w:line="256" w:lineRule="auto"/>
        <w:ind w:right="113"/>
        <w:jc w:val="both"/>
      </w:pPr>
      <w:r>
        <w:rPr>
          <w:rFonts w:ascii="Arial" w:hAnsi="Arial"/>
          <w:b/>
        </w:rPr>
        <w:t xml:space="preserve">Objective: </w:t>
      </w:r>
      <w:r>
        <w:t>The objective of our visualization project is to provide a clear and</w:t>
      </w:r>
      <w:r>
        <w:rPr>
          <w:spacing w:val="1"/>
        </w:rPr>
        <w:t xml:space="preserve"> </w:t>
      </w:r>
      <w:r>
        <w:t>engaging way to understand the impact of the COVID-19 pandemic on air</w:t>
      </w:r>
      <w:r>
        <w:rPr>
          <w:spacing w:val="1"/>
        </w:rPr>
        <w:t xml:space="preserve"> </w:t>
      </w:r>
      <w:r>
        <w:t>quality. By examining and presenting the changes in levels of key pollutants</w:t>
      </w:r>
      <w:r>
        <w:rPr>
          <w:spacing w:val="1"/>
        </w:rPr>
        <w:t xml:space="preserve"> </w:t>
      </w:r>
      <w:r>
        <w:rPr>
          <w:spacing w:val="-1"/>
        </w:rPr>
        <w:t>(NO2,</w:t>
      </w:r>
      <w:r>
        <w:rPr>
          <w:spacing w:val="-14"/>
        </w:rPr>
        <w:t xml:space="preserve"> </w:t>
      </w:r>
      <w:r>
        <w:rPr>
          <w:spacing w:val="-1"/>
        </w:rPr>
        <w:t>PM2.5,</w:t>
      </w:r>
      <w:r>
        <w:rPr>
          <w:spacing w:val="-13"/>
        </w:rPr>
        <w:t xml:space="preserve"> </w:t>
      </w:r>
      <w:r>
        <w:rPr>
          <w:spacing w:val="-1"/>
        </w:rPr>
        <w:t>CO,</w:t>
      </w:r>
      <w:r>
        <w:rPr>
          <w:spacing w:val="-13"/>
        </w:rPr>
        <w:t xml:space="preserve"> </w:t>
      </w:r>
      <w:r>
        <w:rPr>
          <w:spacing w:val="-1"/>
        </w:rPr>
        <w:t>and</w:t>
      </w:r>
      <w:r>
        <w:rPr>
          <w:spacing w:val="-14"/>
        </w:rPr>
        <w:t xml:space="preserve"> </w:t>
      </w:r>
      <w:r>
        <w:rPr>
          <w:spacing w:val="-1"/>
        </w:rPr>
        <w:t>SO2)</w:t>
      </w:r>
      <w:r>
        <w:rPr>
          <w:spacing w:val="-13"/>
        </w:rPr>
        <w:t xml:space="preserve"> </w:t>
      </w:r>
      <w:r>
        <w:rPr>
          <w:spacing w:val="-1"/>
        </w:rPr>
        <w:t>across</w:t>
      </w:r>
      <w:r>
        <w:rPr>
          <w:spacing w:val="-15"/>
        </w:rPr>
        <w:t xml:space="preserve"> </w:t>
      </w:r>
      <w:r>
        <w:t>various</w:t>
      </w:r>
      <w:r>
        <w:rPr>
          <w:spacing w:val="-14"/>
        </w:rPr>
        <w:t xml:space="preserve"> </w:t>
      </w:r>
      <w:r>
        <w:t>urban</w:t>
      </w:r>
      <w:r>
        <w:rPr>
          <w:spacing w:val="-14"/>
        </w:rPr>
        <w:t xml:space="preserve"> </w:t>
      </w:r>
      <w:r>
        <w:t>and</w:t>
      </w:r>
      <w:r>
        <w:rPr>
          <w:spacing w:val="-14"/>
        </w:rPr>
        <w:t xml:space="preserve"> </w:t>
      </w:r>
      <w:r>
        <w:t>industrial</w:t>
      </w:r>
      <w:r>
        <w:rPr>
          <w:spacing w:val="-13"/>
        </w:rPr>
        <w:t xml:space="preserve"> </w:t>
      </w:r>
      <w:r>
        <w:t>environments,</w:t>
      </w:r>
      <w:r>
        <w:rPr>
          <w:spacing w:val="-59"/>
        </w:rPr>
        <w:t xml:space="preserve"> </w:t>
      </w:r>
      <w:r>
        <w:t>we</w:t>
      </w:r>
      <w:r>
        <w:rPr>
          <w:spacing w:val="1"/>
        </w:rPr>
        <w:t xml:space="preserve"> </w:t>
      </w:r>
      <w:r>
        <w:t>aim</w:t>
      </w:r>
      <w:r>
        <w:rPr>
          <w:spacing w:val="1"/>
        </w:rPr>
        <w:t xml:space="preserve"> </w:t>
      </w:r>
      <w:r>
        <w:t>to</w:t>
      </w:r>
      <w:r>
        <w:rPr>
          <w:spacing w:val="1"/>
        </w:rPr>
        <w:t xml:space="preserve"> </w:t>
      </w:r>
      <w:r>
        <w:t>visually</w:t>
      </w:r>
      <w:r>
        <w:rPr>
          <w:spacing w:val="1"/>
        </w:rPr>
        <w:t xml:space="preserve"> </w:t>
      </w:r>
      <w:r>
        <w:t>demonstrate</w:t>
      </w:r>
      <w:r>
        <w:rPr>
          <w:spacing w:val="1"/>
        </w:rPr>
        <w:t xml:space="preserve"> </w:t>
      </w:r>
      <w:r>
        <w:t>the</w:t>
      </w:r>
      <w:r>
        <w:rPr>
          <w:spacing w:val="1"/>
        </w:rPr>
        <w:t xml:space="preserve"> </w:t>
      </w:r>
      <w:r>
        <w:t>direct</w:t>
      </w:r>
      <w:r>
        <w:rPr>
          <w:spacing w:val="1"/>
        </w:rPr>
        <w:t xml:space="preserve"> </w:t>
      </w:r>
      <w:r>
        <w:t>link</w:t>
      </w:r>
      <w:r>
        <w:rPr>
          <w:spacing w:val="1"/>
        </w:rPr>
        <w:t xml:space="preserve"> </w:t>
      </w:r>
      <w:r>
        <w:t>between</w:t>
      </w:r>
      <w:r>
        <w:rPr>
          <w:spacing w:val="1"/>
        </w:rPr>
        <w:t xml:space="preserve"> </w:t>
      </w:r>
      <w:r>
        <w:t>reduced</w:t>
      </w:r>
      <w:r>
        <w:rPr>
          <w:spacing w:val="1"/>
        </w:rPr>
        <w:t xml:space="preserve"> </w:t>
      </w:r>
      <w:r>
        <w:t>human</w:t>
      </w:r>
      <w:r>
        <w:rPr>
          <w:spacing w:val="1"/>
        </w:rPr>
        <w:t xml:space="preserve"> </w:t>
      </w:r>
      <w:r>
        <w:t>activities—such</w:t>
      </w:r>
      <w:r>
        <w:rPr>
          <w:spacing w:val="1"/>
        </w:rPr>
        <w:t xml:space="preserve"> </w:t>
      </w:r>
      <w:r>
        <w:t>as</w:t>
      </w:r>
      <w:r>
        <w:rPr>
          <w:spacing w:val="1"/>
        </w:rPr>
        <w:t xml:space="preserve"> </w:t>
      </w:r>
      <w:r>
        <w:t>vehicular</w:t>
      </w:r>
      <w:r>
        <w:rPr>
          <w:spacing w:val="1"/>
        </w:rPr>
        <w:t xml:space="preserve"> </w:t>
      </w:r>
      <w:r>
        <w:t>traffic,</w:t>
      </w:r>
      <w:r>
        <w:rPr>
          <w:spacing w:val="1"/>
        </w:rPr>
        <w:t xml:space="preserve"> </w:t>
      </w:r>
      <w:r>
        <w:t>industrial</w:t>
      </w:r>
      <w:r>
        <w:rPr>
          <w:spacing w:val="1"/>
        </w:rPr>
        <w:t xml:space="preserve"> </w:t>
      </w:r>
      <w:r>
        <w:t>operations,</w:t>
      </w:r>
      <w:r>
        <w:rPr>
          <w:spacing w:val="1"/>
        </w:rPr>
        <w:t xml:space="preserve"> </w:t>
      </w:r>
      <w:r>
        <w:t>air</w:t>
      </w:r>
      <w:r>
        <w:rPr>
          <w:spacing w:val="1"/>
        </w:rPr>
        <w:t xml:space="preserve"> </w:t>
      </w:r>
      <w:r>
        <w:t>travel,</w:t>
      </w:r>
      <w:r>
        <w:rPr>
          <w:spacing w:val="1"/>
        </w:rPr>
        <w:t xml:space="preserve"> </w:t>
      </w:r>
      <w:r>
        <w:t>and</w:t>
      </w:r>
      <w:r>
        <w:rPr>
          <w:spacing w:val="1"/>
        </w:rPr>
        <w:t xml:space="preserve"> </w:t>
      </w:r>
      <w:r>
        <w:t>shipping—and</w:t>
      </w:r>
      <w:r>
        <w:rPr>
          <w:spacing w:val="1"/>
        </w:rPr>
        <w:t xml:space="preserve"> </w:t>
      </w:r>
      <w:r>
        <w:t>improvements</w:t>
      </w:r>
      <w:r>
        <w:rPr>
          <w:spacing w:val="1"/>
        </w:rPr>
        <w:t xml:space="preserve"> </w:t>
      </w:r>
      <w:r>
        <w:t>in</w:t>
      </w:r>
      <w:r>
        <w:rPr>
          <w:spacing w:val="1"/>
        </w:rPr>
        <w:t xml:space="preserve"> </w:t>
      </w:r>
      <w:r>
        <w:t>air</w:t>
      </w:r>
      <w:r>
        <w:rPr>
          <w:spacing w:val="1"/>
        </w:rPr>
        <w:t xml:space="preserve"> </w:t>
      </w:r>
      <w:r>
        <w:t>quality.</w:t>
      </w:r>
      <w:r>
        <w:rPr>
          <w:spacing w:val="1"/>
        </w:rPr>
        <w:t xml:space="preserve"> </w:t>
      </w:r>
      <w:r>
        <w:t>This</w:t>
      </w:r>
      <w:r>
        <w:rPr>
          <w:spacing w:val="1"/>
        </w:rPr>
        <w:t xml:space="preserve"> </w:t>
      </w:r>
      <w:r>
        <w:t>visual</w:t>
      </w:r>
      <w:r>
        <w:rPr>
          <w:spacing w:val="1"/>
        </w:rPr>
        <w:t xml:space="preserve"> </w:t>
      </w:r>
      <w:r>
        <w:t>analysis</w:t>
      </w:r>
      <w:r>
        <w:rPr>
          <w:spacing w:val="1"/>
        </w:rPr>
        <w:t xml:space="preserve"> </w:t>
      </w:r>
      <w:r>
        <w:t>will</w:t>
      </w:r>
      <w:r>
        <w:rPr>
          <w:spacing w:val="1"/>
        </w:rPr>
        <w:t xml:space="preserve"> </w:t>
      </w:r>
      <w:r>
        <w:t>help</w:t>
      </w:r>
      <w:r>
        <w:rPr>
          <w:spacing w:val="1"/>
        </w:rPr>
        <w:t xml:space="preserve"> </w:t>
      </w:r>
      <w:r>
        <w:t>highlight the potential for adopting sustainable practices that could lead to</w:t>
      </w:r>
      <w:r>
        <w:rPr>
          <w:spacing w:val="1"/>
        </w:rPr>
        <w:t xml:space="preserve"> </w:t>
      </w:r>
      <w:r>
        <w:t>lasting</w:t>
      </w:r>
      <w:r>
        <w:rPr>
          <w:spacing w:val="1"/>
        </w:rPr>
        <w:t xml:space="preserve"> </w:t>
      </w:r>
      <w:r>
        <w:t>environmental</w:t>
      </w:r>
      <w:r>
        <w:rPr>
          <w:spacing w:val="1"/>
        </w:rPr>
        <w:t xml:space="preserve"> </w:t>
      </w:r>
      <w:r>
        <w:t>benefits,</w:t>
      </w:r>
      <w:r>
        <w:rPr>
          <w:spacing w:val="1"/>
        </w:rPr>
        <w:t xml:space="preserve"> </w:t>
      </w:r>
      <w:r>
        <w:t>encouraging</w:t>
      </w:r>
      <w:r>
        <w:rPr>
          <w:spacing w:val="1"/>
        </w:rPr>
        <w:t xml:space="preserve"> </w:t>
      </w:r>
      <w:r>
        <w:t>viewers</w:t>
      </w:r>
      <w:r>
        <w:rPr>
          <w:spacing w:val="1"/>
        </w:rPr>
        <w:t xml:space="preserve"> </w:t>
      </w:r>
      <w:r>
        <w:t>to</w:t>
      </w:r>
      <w:r>
        <w:rPr>
          <w:spacing w:val="1"/>
        </w:rPr>
        <w:t xml:space="preserve"> </w:t>
      </w:r>
      <w:r>
        <w:t>consider</w:t>
      </w:r>
      <w:r>
        <w:rPr>
          <w:spacing w:val="1"/>
        </w:rPr>
        <w:t xml:space="preserve"> </w:t>
      </w:r>
      <w:r>
        <w:t>the</w:t>
      </w:r>
      <w:r>
        <w:rPr>
          <w:spacing w:val="1"/>
        </w:rPr>
        <w:t xml:space="preserve"> </w:t>
      </w:r>
      <w:r>
        <w:t>relationship</w:t>
      </w:r>
      <w:r>
        <w:rPr>
          <w:spacing w:val="-2"/>
        </w:rPr>
        <w:t xml:space="preserve"> </w:t>
      </w:r>
      <w:r>
        <w:t>between</w:t>
      </w:r>
      <w:r>
        <w:rPr>
          <w:spacing w:val="-2"/>
        </w:rPr>
        <w:t xml:space="preserve"> </w:t>
      </w:r>
      <w:r>
        <w:t>human</w:t>
      </w:r>
      <w:r>
        <w:rPr>
          <w:spacing w:val="-2"/>
        </w:rPr>
        <w:t xml:space="preserve"> </w:t>
      </w:r>
      <w:r>
        <w:t>activity</w:t>
      </w:r>
      <w:r>
        <w:rPr>
          <w:spacing w:val="-2"/>
        </w:rPr>
        <w:t xml:space="preserve"> </w:t>
      </w:r>
      <w:r>
        <w:t>and</w:t>
      </w:r>
      <w:r>
        <w:rPr>
          <w:spacing w:val="-1"/>
        </w:rPr>
        <w:t xml:space="preserve"> </w:t>
      </w:r>
      <w:r>
        <w:t>environmental</w:t>
      </w:r>
      <w:r>
        <w:rPr>
          <w:spacing w:val="-2"/>
        </w:rPr>
        <w:t xml:space="preserve"> </w:t>
      </w:r>
      <w:r>
        <w:t>health.</w:t>
      </w:r>
    </w:p>
    <w:p w14:paraId="01E36999" w14:textId="77777777" w:rsidR="00832957" w:rsidRDefault="00832957">
      <w:pPr>
        <w:pStyle w:val="BodyText"/>
        <w:rPr>
          <w:sz w:val="24"/>
        </w:rPr>
      </w:pPr>
    </w:p>
    <w:p w14:paraId="0C56CADB" w14:textId="77777777" w:rsidR="00832957" w:rsidRDefault="00832957">
      <w:pPr>
        <w:pStyle w:val="BodyText"/>
        <w:spacing w:before="11"/>
        <w:rPr>
          <w:sz w:val="21"/>
        </w:rPr>
      </w:pPr>
    </w:p>
    <w:p w14:paraId="78B0F6D8" w14:textId="77777777" w:rsidR="00832957" w:rsidRDefault="00000000">
      <w:pPr>
        <w:pStyle w:val="Heading1"/>
        <w:numPr>
          <w:ilvl w:val="0"/>
          <w:numId w:val="2"/>
        </w:numPr>
        <w:tabs>
          <w:tab w:val="left" w:pos="1540"/>
        </w:tabs>
      </w:pPr>
      <w:r>
        <w:t>Hypothesis:</w:t>
      </w:r>
    </w:p>
    <w:p w14:paraId="79CCF80F" w14:textId="77777777" w:rsidR="00E10FB7" w:rsidRDefault="00E10FB7" w:rsidP="00E10FB7">
      <w:pPr>
        <w:pStyle w:val="BodyText"/>
        <w:spacing w:before="6"/>
        <w:ind w:left="1540"/>
      </w:pPr>
    </w:p>
    <w:p w14:paraId="59917F40" w14:textId="4E2B9A58" w:rsidR="00E10FB7" w:rsidRPr="00E10FB7" w:rsidRDefault="00E10FB7" w:rsidP="00E10FB7">
      <w:pPr>
        <w:pStyle w:val="BodyText"/>
        <w:spacing w:before="6"/>
        <w:ind w:left="1540"/>
      </w:pPr>
      <w:r w:rsidRPr="00E10FB7">
        <w:t>During 2021, Louisiana, alongside other regions like Utah, Ohio, Texas, and Michigan, observed changes in COVID-19 recovery numbers from the prior year. Specifically, Louisiana experienced a notable decrease in recovery numbers by approximately 19.61%, from 28,544,278 in 2020 to 22,947,650 in 2021. This suggests a possible decrease in new COVID-19 cases or improved mitigation efforts. The other states reflected varied trends, with Ohio and Utah also showing reductions in recoveries, while Texas and Michigan saw increases, reflecting the diverse impacts and responses to the pandemic across different states.</w:t>
      </w:r>
    </w:p>
    <w:p w14:paraId="277DFB28" w14:textId="77777777" w:rsidR="00832957" w:rsidRDefault="00832957">
      <w:pPr>
        <w:pStyle w:val="BodyText"/>
        <w:spacing w:before="6"/>
        <w:rPr>
          <w:sz w:val="23"/>
        </w:rPr>
      </w:pPr>
    </w:p>
    <w:p w14:paraId="40E8E2F2" w14:textId="77777777" w:rsidR="00E10FB7" w:rsidRPr="00E10FB7" w:rsidRDefault="00E10FB7" w:rsidP="00E10FB7">
      <w:pPr>
        <w:pStyle w:val="BodyText"/>
        <w:spacing w:before="6"/>
        <w:ind w:left="1440"/>
      </w:pPr>
      <w:r w:rsidRPr="00E10FB7">
        <w:rPr>
          <w:lang w:val="en-IN"/>
        </w:rPr>
        <w:t>In 2021, California and New York saw substantial drops in COVID-19 cases by 45% and 94.74%, respectively, while Ohio's cases decreased by 34.22%, potentially due to effective health measures. Montana's cases, on the other hand, surged by 151.69%, suggesting varied pandemic responses. Texas had a minimal rise in cases at 2.64%, indicating a relatively stable situation. These shifts highlight the complex dynamics of pandemic trends across the U.S.</w:t>
      </w:r>
    </w:p>
    <w:p w14:paraId="04A74B6C" w14:textId="77777777" w:rsidR="00832957" w:rsidRDefault="00832957">
      <w:pPr>
        <w:pStyle w:val="BodyText"/>
        <w:spacing w:before="6"/>
        <w:rPr>
          <w:sz w:val="23"/>
        </w:rPr>
      </w:pPr>
    </w:p>
    <w:p w14:paraId="2A017088" w14:textId="77777777" w:rsidR="00E10FB7" w:rsidRPr="00E10FB7" w:rsidRDefault="00E10FB7" w:rsidP="00E10FB7">
      <w:pPr>
        <w:pStyle w:val="BodyText"/>
        <w:spacing w:before="6"/>
        <w:ind w:left="1440"/>
        <w:rPr>
          <w:sz w:val="23"/>
        </w:rPr>
      </w:pPr>
      <w:r w:rsidRPr="00E10FB7">
        <w:rPr>
          <w:sz w:val="23"/>
          <w:lang w:val="en-IN"/>
        </w:rPr>
        <w:t>The visual comparison of death rates across Louisiana, Montana, New York, Ohio, and Texas for the years 2020 and 2021 indicates diverse impacts of health crises, possibly COVID-19, in these regions. The fluctuations in the data points from one year to the next could signify the relative success or challenges of each state's response to the pandemic, including public health interventions and healthcare system resilience.</w:t>
      </w:r>
    </w:p>
    <w:p w14:paraId="32F9CC42" w14:textId="77777777" w:rsidR="00E10FB7" w:rsidRDefault="00E10FB7">
      <w:pPr>
        <w:pStyle w:val="BodyText"/>
        <w:spacing w:before="6"/>
        <w:rPr>
          <w:sz w:val="23"/>
        </w:rPr>
      </w:pPr>
    </w:p>
    <w:p w14:paraId="73D59197" w14:textId="77777777" w:rsidR="00E10FB7" w:rsidRDefault="00E10FB7" w:rsidP="00E10FB7">
      <w:pPr>
        <w:pStyle w:val="BodyText"/>
        <w:spacing w:before="6"/>
        <w:ind w:left="1440"/>
        <w:rPr>
          <w:sz w:val="23"/>
        </w:rPr>
      </w:pPr>
      <w:r w:rsidRPr="00E10FB7">
        <w:rPr>
          <w:sz w:val="23"/>
        </w:rPr>
        <w:t xml:space="preserve">In the states Arizona, Illinois, Indiana, Michigan, Ohio during the peak of the winter months from December to February, there will be a higher incidence of COVID-19 related deaths among the elderly population compared to other age groups. This increase can be attributed to the combined effects of lower </w:t>
      </w:r>
      <w:r w:rsidRPr="00E10FB7">
        <w:rPr>
          <w:sz w:val="23"/>
        </w:rPr>
        <w:lastRenderedPageBreak/>
        <w:t>temperatures, which are conducive to viral transmission and respiratory complications.</w:t>
      </w:r>
    </w:p>
    <w:p w14:paraId="55255ECE" w14:textId="77777777" w:rsidR="00E10FB7" w:rsidRDefault="00E10FB7" w:rsidP="00E10FB7">
      <w:pPr>
        <w:pStyle w:val="BodyText"/>
        <w:spacing w:before="6"/>
        <w:ind w:left="1440"/>
        <w:rPr>
          <w:sz w:val="23"/>
        </w:rPr>
      </w:pPr>
    </w:p>
    <w:p w14:paraId="25C9C499" w14:textId="77777777" w:rsidR="00E10FB7" w:rsidRPr="00E10FB7" w:rsidRDefault="00E10FB7" w:rsidP="00E10FB7">
      <w:pPr>
        <w:pStyle w:val="BodyText"/>
        <w:spacing w:before="6"/>
        <w:ind w:left="1440"/>
        <w:rPr>
          <w:sz w:val="23"/>
        </w:rPr>
      </w:pPr>
      <w:r w:rsidRPr="00E10FB7">
        <w:rPr>
          <w:sz w:val="23"/>
        </w:rPr>
        <w:t xml:space="preserve">From Q1 2019 to Q4 2020 in cities Albuquerque, Allentown Bethlehem, </w:t>
      </w:r>
      <w:proofErr w:type="spellStart"/>
      <w:r w:rsidRPr="00E10FB7">
        <w:rPr>
          <w:sz w:val="23"/>
        </w:rPr>
        <w:t>Laston</w:t>
      </w:r>
      <w:proofErr w:type="spellEnd"/>
      <w:r w:rsidRPr="00E10FB7">
        <w:rPr>
          <w:sz w:val="23"/>
        </w:rPr>
        <w:t>, Atlanta Sandy, Springs-Roswell, Bakersfield, Baton Rouge and 7 other cities the NO2 content in  atmosphere has reduced in 2020 by an average of 7 points when compared with 2019 corresponding to lesser air travel during covid.</w:t>
      </w:r>
    </w:p>
    <w:p w14:paraId="09AB094F" w14:textId="77777777" w:rsidR="00E10FB7" w:rsidRPr="00E10FB7" w:rsidRDefault="00E10FB7" w:rsidP="00E10FB7">
      <w:pPr>
        <w:pStyle w:val="BodyText"/>
        <w:spacing w:before="6"/>
        <w:ind w:left="1440"/>
        <w:rPr>
          <w:sz w:val="23"/>
        </w:rPr>
      </w:pPr>
    </w:p>
    <w:p w14:paraId="60A74F4D" w14:textId="77777777" w:rsidR="00832957" w:rsidRDefault="00832957">
      <w:pPr>
        <w:pStyle w:val="BodyText"/>
        <w:spacing w:before="7"/>
      </w:pPr>
    </w:p>
    <w:p w14:paraId="1FFFC44F" w14:textId="77777777" w:rsidR="00E10FB7" w:rsidRPr="00E10FB7" w:rsidRDefault="00000000">
      <w:pPr>
        <w:pStyle w:val="ListParagraph"/>
        <w:numPr>
          <w:ilvl w:val="0"/>
          <w:numId w:val="2"/>
        </w:numPr>
        <w:tabs>
          <w:tab w:val="left" w:pos="1540"/>
        </w:tabs>
        <w:spacing w:before="1"/>
        <w:ind w:right="0"/>
      </w:pPr>
      <w:r>
        <w:rPr>
          <w:rFonts w:ascii="Arial"/>
          <w:b/>
        </w:rPr>
        <w:t>Data</w:t>
      </w:r>
      <w:r>
        <w:rPr>
          <w:rFonts w:ascii="Arial"/>
          <w:b/>
          <w:spacing w:val="-15"/>
        </w:rPr>
        <w:t xml:space="preserve"> </w:t>
      </w:r>
      <w:r>
        <w:rPr>
          <w:rFonts w:ascii="Arial"/>
          <w:b/>
        </w:rPr>
        <w:t>Sources:</w:t>
      </w:r>
      <w:r>
        <w:rPr>
          <w:rFonts w:ascii="Arial"/>
          <w:b/>
          <w:color w:val="0563C1"/>
          <w:spacing w:val="-15"/>
        </w:rPr>
        <w:t xml:space="preserve"> </w:t>
      </w:r>
    </w:p>
    <w:p w14:paraId="0E74E3FE" w14:textId="2A6506D6" w:rsidR="00E10FB7" w:rsidRPr="00E10FB7" w:rsidRDefault="00E10FB7" w:rsidP="00E10FB7">
      <w:pPr>
        <w:tabs>
          <w:tab w:val="left" w:pos="1540"/>
        </w:tabs>
        <w:spacing w:before="1"/>
        <w:ind w:left="1440"/>
      </w:pPr>
      <w:r>
        <w:tab/>
      </w:r>
      <w:hyperlink r:id="rId5" w:history="1">
        <w:r w:rsidRPr="00341B40">
          <w:rPr>
            <w:rStyle w:val="Hyperlink"/>
          </w:rPr>
          <w:t>https://data.cdc.gov/NCHS/Provisional-COVID-19-Deaths-by-Sex-and-Age/9bhg-hcku/about_data</w:t>
        </w:r>
      </w:hyperlink>
    </w:p>
    <w:p w14:paraId="0D9A3A42" w14:textId="321AD627" w:rsidR="00832957" w:rsidRDefault="00000000" w:rsidP="00E10FB7">
      <w:pPr>
        <w:pStyle w:val="ListParagraph"/>
        <w:tabs>
          <w:tab w:val="left" w:pos="1540"/>
        </w:tabs>
        <w:spacing w:before="1"/>
        <w:ind w:right="0" w:firstLine="0"/>
        <w:rPr>
          <w:color w:val="0563C1"/>
          <w:u w:val="single" w:color="0563C1"/>
        </w:rPr>
      </w:pPr>
      <w:r w:rsidRPr="00E10FB7">
        <w:rPr>
          <w:color w:val="0563C1"/>
          <w:u w:val="single" w:color="0563C1"/>
        </w:rPr>
        <w:t>https://</w:t>
      </w:r>
      <w:hyperlink r:id="rId6">
        <w:r w:rsidRPr="00E10FB7">
          <w:rPr>
            <w:color w:val="0563C1"/>
            <w:u w:val="single" w:color="0563C1"/>
          </w:rPr>
          <w:t>www.epa.gov/air-trends/air-quality-cities-and-counties</w:t>
        </w:r>
      </w:hyperlink>
    </w:p>
    <w:p w14:paraId="3C7F484B" w14:textId="5544A236" w:rsidR="00E10FB7" w:rsidRDefault="00E10FB7" w:rsidP="00E10FB7">
      <w:pPr>
        <w:pStyle w:val="ListParagraph"/>
        <w:tabs>
          <w:tab w:val="left" w:pos="1540"/>
        </w:tabs>
        <w:spacing w:before="1"/>
        <w:ind w:right="0" w:firstLine="0"/>
      </w:pPr>
      <w:r>
        <w:rPr>
          <w:color w:val="0563C1"/>
          <w:u w:val="single" w:color="0563C1"/>
        </w:rPr>
        <w:t>The dataset for the other three hypothesis has been added to the box.</w:t>
      </w:r>
    </w:p>
    <w:p w14:paraId="70B99E10" w14:textId="77777777" w:rsidR="00832957" w:rsidRDefault="00832957">
      <w:pPr>
        <w:pStyle w:val="BodyText"/>
        <w:rPr>
          <w:sz w:val="20"/>
        </w:rPr>
      </w:pPr>
    </w:p>
    <w:p w14:paraId="1BF1AC79" w14:textId="77777777" w:rsidR="00832957" w:rsidRDefault="00832957">
      <w:pPr>
        <w:pStyle w:val="BodyText"/>
        <w:spacing w:before="4"/>
        <w:rPr>
          <w:sz w:val="20"/>
        </w:rPr>
      </w:pPr>
    </w:p>
    <w:p w14:paraId="21725D93" w14:textId="5054B56F" w:rsidR="00832957" w:rsidRDefault="00000000">
      <w:pPr>
        <w:pStyle w:val="ListParagraph"/>
        <w:numPr>
          <w:ilvl w:val="0"/>
          <w:numId w:val="2"/>
        </w:numPr>
        <w:tabs>
          <w:tab w:val="left" w:pos="1540"/>
        </w:tabs>
        <w:spacing w:before="94"/>
        <w:ind w:right="0"/>
      </w:pPr>
      <w:r>
        <w:rPr>
          <w:rFonts w:ascii="Arial"/>
          <w:b/>
        </w:rPr>
        <w:t>Number</w:t>
      </w:r>
      <w:r>
        <w:rPr>
          <w:rFonts w:ascii="Arial"/>
          <w:b/>
          <w:spacing w:val="-4"/>
        </w:rPr>
        <w:t xml:space="preserve"> </w:t>
      </w:r>
      <w:r>
        <w:rPr>
          <w:rFonts w:ascii="Arial"/>
          <w:b/>
        </w:rPr>
        <w:t>of</w:t>
      </w:r>
      <w:r>
        <w:rPr>
          <w:rFonts w:ascii="Arial"/>
          <w:b/>
          <w:spacing w:val="-3"/>
        </w:rPr>
        <w:t xml:space="preserve"> </w:t>
      </w:r>
      <w:r>
        <w:rPr>
          <w:rFonts w:ascii="Arial"/>
          <w:b/>
        </w:rPr>
        <w:t>Records:</w:t>
      </w:r>
      <w:r>
        <w:rPr>
          <w:rFonts w:ascii="Arial"/>
          <w:b/>
          <w:spacing w:val="-3"/>
        </w:rPr>
        <w:t xml:space="preserve"> </w:t>
      </w:r>
      <w:r w:rsidR="00E10FB7">
        <w:t>21348</w:t>
      </w:r>
    </w:p>
    <w:p w14:paraId="3B7C8C0C" w14:textId="77777777" w:rsidR="00832957" w:rsidRDefault="00832957">
      <w:pPr>
        <w:pStyle w:val="BodyText"/>
        <w:spacing w:before="8"/>
        <w:rPr>
          <w:sz w:val="24"/>
        </w:rPr>
      </w:pPr>
    </w:p>
    <w:p w14:paraId="34157251" w14:textId="77777777" w:rsidR="00832957" w:rsidRDefault="00000000">
      <w:pPr>
        <w:pStyle w:val="ListParagraph"/>
        <w:numPr>
          <w:ilvl w:val="0"/>
          <w:numId w:val="2"/>
        </w:numPr>
        <w:tabs>
          <w:tab w:val="left" w:pos="1540"/>
        </w:tabs>
        <w:spacing w:line="256" w:lineRule="auto"/>
        <w:ind w:right="113"/>
        <w:jc w:val="both"/>
      </w:pPr>
      <w:r>
        <w:rPr>
          <w:rFonts w:ascii="Arial"/>
          <w:b/>
        </w:rPr>
        <w:t xml:space="preserve">Data Cleansing Tool: </w:t>
      </w:r>
      <w:r>
        <w:t>Using Excel and Pandas is an effective way to clean</w:t>
      </w:r>
      <w:r>
        <w:rPr>
          <w:spacing w:val="1"/>
        </w:rPr>
        <w:t xml:space="preserve"> </w:t>
      </w:r>
      <w:r>
        <w:rPr>
          <w:spacing w:val="-1"/>
        </w:rPr>
        <w:t>data.</w:t>
      </w:r>
      <w:r>
        <w:rPr>
          <w:spacing w:val="-16"/>
        </w:rPr>
        <w:t xml:space="preserve"> </w:t>
      </w:r>
      <w:r>
        <w:rPr>
          <w:spacing w:val="-1"/>
        </w:rPr>
        <w:t>Excel</w:t>
      </w:r>
      <w:r>
        <w:rPr>
          <w:spacing w:val="-16"/>
        </w:rPr>
        <w:t xml:space="preserve"> </w:t>
      </w:r>
      <w:r>
        <w:rPr>
          <w:spacing w:val="-1"/>
        </w:rPr>
        <w:t>is</w:t>
      </w:r>
      <w:r>
        <w:rPr>
          <w:spacing w:val="-16"/>
        </w:rPr>
        <w:t xml:space="preserve"> </w:t>
      </w:r>
      <w:r>
        <w:rPr>
          <w:spacing w:val="-1"/>
        </w:rPr>
        <w:t>user-friendly</w:t>
      </w:r>
      <w:r>
        <w:rPr>
          <w:spacing w:val="-16"/>
        </w:rPr>
        <w:t xml:space="preserve"> </w:t>
      </w:r>
      <w:r>
        <w:rPr>
          <w:spacing w:val="-1"/>
        </w:rPr>
        <w:t>and</w:t>
      </w:r>
      <w:r>
        <w:rPr>
          <w:spacing w:val="-16"/>
        </w:rPr>
        <w:t xml:space="preserve"> </w:t>
      </w:r>
      <w:r>
        <w:t>great</w:t>
      </w:r>
      <w:r>
        <w:rPr>
          <w:spacing w:val="-15"/>
        </w:rPr>
        <w:t xml:space="preserve"> </w:t>
      </w:r>
      <w:r>
        <w:t>for</w:t>
      </w:r>
      <w:r>
        <w:rPr>
          <w:spacing w:val="-16"/>
        </w:rPr>
        <w:t xml:space="preserve"> </w:t>
      </w:r>
      <w:r>
        <w:t>quick</w:t>
      </w:r>
      <w:r>
        <w:rPr>
          <w:spacing w:val="-16"/>
        </w:rPr>
        <w:t xml:space="preserve"> </w:t>
      </w:r>
      <w:r>
        <w:t>checks</w:t>
      </w:r>
      <w:r>
        <w:rPr>
          <w:spacing w:val="-16"/>
        </w:rPr>
        <w:t xml:space="preserve"> </w:t>
      </w:r>
      <w:r>
        <w:t>and</w:t>
      </w:r>
      <w:r>
        <w:rPr>
          <w:spacing w:val="-16"/>
        </w:rPr>
        <w:t xml:space="preserve"> </w:t>
      </w:r>
      <w:r>
        <w:t>basic</w:t>
      </w:r>
      <w:r>
        <w:rPr>
          <w:spacing w:val="-16"/>
        </w:rPr>
        <w:t xml:space="preserve"> </w:t>
      </w:r>
      <w:r>
        <w:t>fixes.</w:t>
      </w:r>
      <w:r>
        <w:rPr>
          <w:spacing w:val="-15"/>
        </w:rPr>
        <w:t xml:space="preserve"> </w:t>
      </w:r>
      <w:r>
        <w:t>It's</w:t>
      </w:r>
      <w:r>
        <w:rPr>
          <w:spacing w:val="-16"/>
        </w:rPr>
        <w:t xml:space="preserve"> </w:t>
      </w:r>
      <w:r>
        <w:t>handy</w:t>
      </w:r>
      <w:r>
        <w:rPr>
          <w:spacing w:val="-59"/>
        </w:rPr>
        <w:t xml:space="preserve"> </w:t>
      </w:r>
      <w:r>
        <w:t>for small edits and visual checks. Pandas, on the other hand, is a powerhouse</w:t>
      </w:r>
      <w:r>
        <w:rPr>
          <w:spacing w:val="-60"/>
        </w:rPr>
        <w:t xml:space="preserve"> </w:t>
      </w:r>
      <w:r>
        <w:t>for big datasets and complex cleaning tasks. It's efficient and can handle</w:t>
      </w:r>
      <w:r>
        <w:rPr>
          <w:spacing w:val="1"/>
        </w:rPr>
        <w:t xml:space="preserve"> </w:t>
      </w:r>
      <w:r>
        <w:t>repetitive jobs well. The two work seamlessly together - you can start in Excel</w:t>
      </w:r>
      <w:r>
        <w:rPr>
          <w:spacing w:val="1"/>
        </w:rPr>
        <w:t xml:space="preserve"> </w:t>
      </w:r>
      <w:r>
        <w:t>for initial exploration, then switch to Pandas for more advanced tasks and</w:t>
      </w:r>
      <w:r>
        <w:rPr>
          <w:spacing w:val="1"/>
        </w:rPr>
        <w:t xml:space="preserve"> </w:t>
      </w:r>
      <w:r>
        <w:t>automation. This combination gives you the best of both worlds, making data</w:t>
      </w:r>
      <w:r>
        <w:rPr>
          <w:spacing w:val="1"/>
        </w:rPr>
        <w:t xml:space="preserve"> </w:t>
      </w:r>
      <w:r>
        <w:t>cleaning</w:t>
      </w:r>
      <w:r>
        <w:rPr>
          <w:spacing w:val="-2"/>
        </w:rPr>
        <w:t xml:space="preserve"> </w:t>
      </w:r>
      <w:r>
        <w:t>easier</w:t>
      </w:r>
      <w:r>
        <w:rPr>
          <w:spacing w:val="-1"/>
        </w:rPr>
        <w:t xml:space="preserve"> </w:t>
      </w:r>
      <w:r>
        <w:t>and</w:t>
      </w:r>
      <w:r>
        <w:rPr>
          <w:spacing w:val="-1"/>
        </w:rPr>
        <w:t xml:space="preserve"> </w:t>
      </w:r>
      <w:r>
        <w:t>more</w:t>
      </w:r>
      <w:r>
        <w:rPr>
          <w:spacing w:val="-1"/>
        </w:rPr>
        <w:t xml:space="preserve"> </w:t>
      </w:r>
      <w:r>
        <w:t>effective.</w:t>
      </w:r>
    </w:p>
    <w:p w14:paraId="35CF4B9E" w14:textId="77777777" w:rsidR="00832957" w:rsidRDefault="00832957">
      <w:pPr>
        <w:pStyle w:val="BodyText"/>
        <w:spacing w:before="11"/>
      </w:pPr>
    </w:p>
    <w:p w14:paraId="6C94BD18" w14:textId="77777777" w:rsidR="00832957" w:rsidRDefault="00000000">
      <w:pPr>
        <w:pStyle w:val="ListParagraph"/>
        <w:numPr>
          <w:ilvl w:val="0"/>
          <w:numId w:val="2"/>
        </w:numPr>
        <w:tabs>
          <w:tab w:val="left" w:pos="1540"/>
        </w:tabs>
        <w:spacing w:line="276" w:lineRule="auto"/>
        <w:jc w:val="both"/>
      </w:pPr>
      <w:proofErr w:type="spellStart"/>
      <w:r>
        <w:rPr>
          <w:rFonts w:ascii="Arial"/>
          <w:b/>
        </w:rPr>
        <w:t>Visualisation</w:t>
      </w:r>
      <w:proofErr w:type="spellEnd"/>
      <w:r>
        <w:rPr>
          <w:rFonts w:ascii="Arial"/>
          <w:b/>
          <w:spacing w:val="-13"/>
        </w:rPr>
        <w:t xml:space="preserve"> </w:t>
      </w:r>
      <w:r>
        <w:rPr>
          <w:rFonts w:ascii="Arial"/>
          <w:b/>
        </w:rPr>
        <w:t>Tool:</w:t>
      </w:r>
      <w:r>
        <w:rPr>
          <w:rFonts w:ascii="Arial"/>
          <w:b/>
          <w:spacing w:val="-12"/>
        </w:rPr>
        <w:t xml:space="preserve"> </w:t>
      </w:r>
      <w:r>
        <w:t>We</w:t>
      </w:r>
      <w:r>
        <w:rPr>
          <w:spacing w:val="-13"/>
        </w:rPr>
        <w:t xml:space="preserve"> </w:t>
      </w:r>
      <w:r>
        <w:t>opted</w:t>
      </w:r>
      <w:r>
        <w:rPr>
          <w:spacing w:val="-12"/>
        </w:rPr>
        <w:t xml:space="preserve"> </w:t>
      </w:r>
      <w:r>
        <w:t>for</w:t>
      </w:r>
      <w:r>
        <w:rPr>
          <w:spacing w:val="-13"/>
        </w:rPr>
        <w:t xml:space="preserve"> </w:t>
      </w:r>
      <w:r>
        <w:t>Tableau</w:t>
      </w:r>
      <w:r>
        <w:rPr>
          <w:spacing w:val="-12"/>
        </w:rPr>
        <w:t xml:space="preserve"> </w:t>
      </w:r>
      <w:r>
        <w:t>due</w:t>
      </w:r>
      <w:r>
        <w:rPr>
          <w:spacing w:val="-13"/>
        </w:rPr>
        <w:t xml:space="preserve"> </w:t>
      </w:r>
      <w:r>
        <w:t>to</w:t>
      </w:r>
      <w:r>
        <w:rPr>
          <w:spacing w:val="-12"/>
        </w:rPr>
        <w:t xml:space="preserve"> </w:t>
      </w:r>
      <w:r>
        <w:t>its</w:t>
      </w:r>
      <w:r>
        <w:rPr>
          <w:spacing w:val="-13"/>
        </w:rPr>
        <w:t xml:space="preserve"> </w:t>
      </w:r>
      <w:r>
        <w:t>user-friendly</w:t>
      </w:r>
      <w:r>
        <w:rPr>
          <w:spacing w:val="-12"/>
        </w:rPr>
        <w:t xml:space="preserve"> </w:t>
      </w:r>
      <w:r>
        <w:t>interface</w:t>
      </w:r>
      <w:r>
        <w:rPr>
          <w:spacing w:val="-13"/>
        </w:rPr>
        <w:t xml:space="preserve"> </w:t>
      </w:r>
      <w:r>
        <w:t>and</w:t>
      </w:r>
      <w:r>
        <w:rPr>
          <w:spacing w:val="-59"/>
        </w:rPr>
        <w:t xml:space="preserve"> </w:t>
      </w:r>
      <w:r>
        <w:t>robust</w:t>
      </w:r>
      <w:r>
        <w:rPr>
          <w:spacing w:val="-7"/>
        </w:rPr>
        <w:t xml:space="preserve"> </w:t>
      </w:r>
      <w:r>
        <w:t>visualization</w:t>
      </w:r>
      <w:r>
        <w:rPr>
          <w:spacing w:val="-7"/>
        </w:rPr>
        <w:t xml:space="preserve"> </w:t>
      </w:r>
      <w:r>
        <w:t>capabilities.</w:t>
      </w:r>
      <w:r>
        <w:rPr>
          <w:spacing w:val="-7"/>
        </w:rPr>
        <w:t xml:space="preserve"> </w:t>
      </w:r>
      <w:r>
        <w:t>It</w:t>
      </w:r>
      <w:r>
        <w:rPr>
          <w:spacing w:val="-7"/>
        </w:rPr>
        <w:t xml:space="preserve"> </w:t>
      </w:r>
      <w:r>
        <w:t>efficiently</w:t>
      </w:r>
      <w:r>
        <w:rPr>
          <w:spacing w:val="-7"/>
        </w:rPr>
        <w:t xml:space="preserve"> </w:t>
      </w:r>
      <w:r>
        <w:t>manages</w:t>
      </w:r>
      <w:r>
        <w:rPr>
          <w:spacing w:val="-7"/>
        </w:rPr>
        <w:t xml:space="preserve"> </w:t>
      </w:r>
      <w:r>
        <w:t>large</w:t>
      </w:r>
      <w:r>
        <w:rPr>
          <w:spacing w:val="-7"/>
        </w:rPr>
        <w:t xml:space="preserve"> </w:t>
      </w:r>
      <w:r>
        <w:t>datasets,</w:t>
      </w:r>
      <w:r>
        <w:rPr>
          <w:spacing w:val="-7"/>
        </w:rPr>
        <w:t xml:space="preserve"> </w:t>
      </w:r>
      <w:r>
        <w:t>enabling</w:t>
      </w:r>
      <w:r>
        <w:rPr>
          <w:spacing w:val="-59"/>
        </w:rPr>
        <w:t xml:space="preserve"> </w:t>
      </w:r>
      <w:r>
        <w:t>quick</w:t>
      </w:r>
      <w:r>
        <w:rPr>
          <w:spacing w:val="1"/>
        </w:rPr>
        <w:t xml:space="preserve"> </w:t>
      </w:r>
      <w:r>
        <w:t>data</w:t>
      </w:r>
      <w:r>
        <w:rPr>
          <w:spacing w:val="1"/>
        </w:rPr>
        <w:t xml:space="preserve"> </w:t>
      </w:r>
      <w:r>
        <w:t>analysis.</w:t>
      </w:r>
      <w:r>
        <w:rPr>
          <w:spacing w:val="1"/>
        </w:rPr>
        <w:t xml:space="preserve"> </w:t>
      </w:r>
      <w:r>
        <w:t>The</w:t>
      </w:r>
      <w:r>
        <w:rPr>
          <w:spacing w:val="1"/>
        </w:rPr>
        <w:t xml:space="preserve"> </w:t>
      </w:r>
      <w:r>
        <w:t>diverse</w:t>
      </w:r>
      <w:r>
        <w:rPr>
          <w:spacing w:val="1"/>
        </w:rPr>
        <w:t xml:space="preserve"> </w:t>
      </w:r>
      <w:r>
        <w:t>visualization</w:t>
      </w:r>
      <w:r>
        <w:rPr>
          <w:spacing w:val="1"/>
        </w:rPr>
        <w:t xml:space="preserve"> </w:t>
      </w:r>
      <w:r>
        <w:t>options</w:t>
      </w:r>
      <w:r>
        <w:rPr>
          <w:spacing w:val="1"/>
        </w:rPr>
        <w:t xml:space="preserve"> </w:t>
      </w:r>
      <w:r>
        <w:t>and</w:t>
      </w:r>
      <w:r>
        <w:rPr>
          <w:spacing w:val="1"/>
        </w:rPr>
        <w:t xml:space="preserve"> </w:t>
      </w:r>
      <w:r>
        <w:t>seamless</w:t>
      </w:r>
      <w:r>
        <w:rPr>
          <w:spacing w:val="-59"/>
        </w:rPr>
        <w:t xml:space="preserve"> </w:t>
      </w:r>
      <w:r>
        <w:rPr>
          <w:spacing w:val="-1"/>
        </w:rPr>
        <w:t>connectivity</w:t>
      </w:r>
      <w:r>
        <w:rPr>
          <w:spacing w:val="-15"/>
        </w:rPr>
        <w:t xml:space="preserve"> </w:t>
      </w:r>
      <w:r>
        <w:rPr>
          <w:spacing w:val="-1"/>
        </w:rPr>
        <w:t>to</w:t>
      </w:r>
      <w:r>
        <w:rPr>
          <w:spacing w:val="-15"/>
        </w:rPr>
        <w:t xml:space="preserve"> </w:t>
      </w:r>
      <w:r>
        <w:rPr>
          <w:spacing w:val="-1"/>
        </w:rPr>
        <w:t>various</w:t>
      </w:r>
      <w:r>
        <w:rPr>
          <w:spacing w:val="-15"/>
        </w:rPr>
        <w:t xml:space="preserve"> </w:t>
      </w:r>
      <w:r>
        <w:rPr>
          <w:spacing w:val="-1"/>
        </w:rPr>
        <w:t>data</w:t>
      </w:r>
      <w:r>
        <w:rPr>
          <w:spacing w:val="-14"/>
        </w:rPr>
        <w:t xml:space="preserve"> </w:t>
      </w:r>
      <w:r>
        <w:rPr>
          <w:spacing w:val="-1"/>
        </w:rPr>
        <w:t>sources</w:t>
      </w:r>
      <w:r>
        <w:rPr>
          <w:spacing w:val="-15"/>
        </w:rPr>
        <w:t xml:space="preserve"> </w:t>
      </w:r>
      <w:r>
        <w:rPr>
          <w:spacing w:val="-1"/>
        </w:rPr>
        <w:t>meet</w:t>
      </w:r>
      <w:r>
        <w:rPr>
          <w:spacing w:val="-15"/>
        </w:rPr>
        <w:t xml:space="preserve"> </w:t>
      </w:r>
      <w:r>
        <w:t>our</w:t>
      </w:r>
      <w:r>
        <w:rPr>
          <w:spacing w:val="-14"/>
        </w:rPr>
        <w:t xml:space="preserve"> </w:t>
      </w:r>
      <w:r>
        <w:t>requirements.</w:t>
      </w:r>
      <w:r>
        <w:rPr>
          <w:spacing w:val="-15"/>
        </w:rPr>
        <w:t xml:space="preserve"> </w:t>
      </w:r>
      <w:r>
        <w:t>The</w:t>
      </w:r>
      <w:r>
        <w:rPr>
          <w:spacing w:val="-15"/>
        </w:rPr>
        <w:t xml:space="preserve"> </w:t>
      </w:r>
      <w:r>
        <w:t>drag-and-drop</w:t>
      </w:r>
      <w:r>
        <w:rPr>
          <w:spacing w:val="-58"/>
        </w:rPr>
        <w:t xml:space="preserve"> </w:t>
      </w:r>
      <w:r>
        <w:t>functionality enhances efficiency, and Tableau's learning resources support</w:t>
      </w:r>
      <w:r>
        <w:rPr>
          <w:spacing w:val="1"/>
        </w:rPr>
        <w:t xml:space="preserve"> </w:t>
      </w:r>
      <w:r>
        <w:t>ongoing</w:t>
      </w:r>
      <w:r>
        <w:rPr>
          <w:spacing w:val="-2"/>
        </w:rPr>
        <w:t xml:space="preserve"> </w:t>
      </w:r>
      <w:r>
        <w:t>skill</w:t>
      </w:r>
      <w:r>
        <w:rPr>
          <w:spacing w:val="-1"/>
        </w:rPr>
        <w:t xml:space="preserve"> </w:t>
      </w:r>
      <w:r>
        <w:t>improvement.</w:t>
      </w:r>
    </w:p>
    <w:sectPr w:rsidR="00832957">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F460A"/>
    <w:multiLevelType w:val="hybridMultilevel"/>
    <w:tmpl w:val="5D5AA7A4"/>
    <w:lvl w:ilvl="0" w:tplc="BF2C8968">
      <w:numFmt w:val="bullet"/>
      <w:lvlText w:val="●"/>
      <w:lvlJc w:val="left"/>
      <w:pPr>
        <w:ind w:left="810" w:hanging="360"/>
      </w:pPr>
      <w:rPr>
        <w:rFonts w:ascii="Arial MT" w:eastAsia="Arial MT" w:hAnsi="Arial MT" w:cs="Arial MT" w:hint="default"/>
        <w:w w:val="60"/>
        <w:sz w:val="22"/>
        <w:szCs w:val="22"/>
        <w:lang w:val="en-US" w:eastAsia="en-US" w:bidi="ar-SA"/>
      </w:rPr>
    </w:lvl>
    <w:lvl w:ilvl="1" w:tplc="FB2E9DC8">
      <w:numFmt w:val="bullet"/>
      <w:lvlText w:val="•"/>
      <w:lvlJc w:val="left"/>
      <w:pPr>
        <w:ind w:left="1580" w:hanging="360"/>
      </w:pPr>
      <w:rPr>
        <w:rFonts w:hint="default"/>
        <w:lang w:val="en-US" w:eastAsia="en-US" w:bidi="ar-SA"/>
      </w:rPr>
    </w:lvl>
    <w:lvl w:ilvl="2" w:tplc="6DF61792">
      <w:numFmt w:val="bullet"/>
      <w:lvlText w:val="•"/>
      <w:lvlJc w:val="left"/>
      <w:pPr>
        <w:ind w:left="2351" w:hanging="360"/>
      </w:pPr>
      <w:rPr>
        <w:rFonts w:hint="default"/>
        <w:lang w:val="en-US" w:eastAsia="en-US" w:bidi="ar-SA"/>
      </w:rPr>
    </w:lvl>
    <w:lvl w:ilvl="3" w:tplc="AB86A566">
      <w:numFmt w:val="bullet"/>
      <w:lvlText w:val="•"/>
      <w:lvlJc w:val="left"/>
      <w:pPr>
        <w:ind w:left="3122" w:hanging="360"/>
      </w:pPr>
      <w:rPr>
        <w:rFonts w:hint="default"/>
        <w:lang w:val="en-US" w:eastAsia="en-US" w:bidi="ar-SA"/>
      </w:rPr>
    </w:lvl>
    <w:lvl w:ilvl="4" w:tplc="C3787F18">
      <w:numFmt w:val="bullet"/>
      <w:lvlText w:val="•"/>
      <w:lvlJc w:val="left"/>
      <w:pPr>
        <w:ind w:left="3893" w:hanging="360"/>
      </w:pPr>
      <w:rPr>
        <w:rFonts w:hint="default"/>
        <w:lang w:val="en-US" w:eastAsia="en-US" w:bidi="ar-SA"/>
      </w:rPr>
    </w:lvl>
    <w:lvl w:ilvl="5" w:tplc="3992257E">
      <w:numFmt w:val="bullet"/>
      <w:lvlText w:val="•"/>
      <w:lvlJc w:val="left"/>
      <w:pPr>
        <w:ind w:left="4664" w:hanging="360"/>
      </w:pPr>
      <w:rPr>
        <w:rFonts w:hint="default"/>
        <w:lang w:val="en-US" w:eastAsia="en-US" w:bidi="ar-SA"/>
      </w:rPr>
    </w:lvl>
    <w:lvl w:ilvl="6" w:tplc="C7269CA8">
      <w:numFmt w:val="bullet"/>
      <w:lvlText w:val="•"/>
      <w:lvlJc w:val="left"/>
      <w:pPr>
        <w:ind w:left="5435" w:hanging="360"/>
      </w:pPr>
      <w:rPr>
        <w:rFonts w:hint="default"/>
        <w:lang w:val="en-US" w:eastAsia="en-US" w:bidi="ar-SA"/>
      </w:rPr>
    </w:lvl>
    <w:lvl w:ilvl="7" w:tplc="4E70B400">
      <w:numFmt w:val="bullet"/>
      <w:lvlText w:val="•"/>
      <w:lvlJc w:val="left"/>
      <w:pPr>
        <w:ind w:left="6206" w:hanging="360"/>
      </w:pPr>
      <w:rPr>
        <w:rFonts w:hint="default"/>
        <w:lang w:val="en-US" w:eastAsia="en-US" w:bidi="ar-SA"/>
      </w:rPr>
    </w:lvl>
    <w:lvl w:ilvl="8" w:tplc="E55A376C">
      <w:numFmt w:val="bullet"/>
      <w:lvlText w:val="•"/>
      <w:lvlJc w:val="left"/>
      <w:pPr>
        <w:ind w:left="6977" w:hanging="360"/>
      </w:pPr>
      <w:rPr>
        <w:rFonts w:hint="default"/>
        <w:lang w:val="en-US" w:eastAsia="en-US" w:bidi="ar-SA"/>
      </w:rPr>
    </w:lvl>
  </w:abstractNum>
  <w:abstractNum w:abstractNumId="1" w15:restartNumberingAfterBreak="0">
    <w:nsid w:val="169C1B4B"/>
    <w:multiLevelType w:val="hybridMultilevel"/>
    <w:tmpl w:val="68DE8B18"/>
    <w:lvl w:ilvl="0" w:tplc="8488B4F6">
      <w:start w:val="1"/>
      <w:numFmt w:val="decimal"/>
      <w:lvlText w:val="%1."/>
      <w:lvlJc w:val="left"/>
      <w:pPr>
        <w:ind w:left="1540" w:hanging="360"/>
        <w:jc w:val="left"/>
      </w:pPr>
      <w:rPr>
        <w:rFonts w:ascii="Arial MT" w:eastAsia="Arial MT" w:hAnsi="Arial MT" w:cs="Arial MT" w:hint="default"/>
        <w:spacing w:val="-1"/>
        <w:w w:val="100"/>
        <w:sz w:val="22"/>
        <w:szCs w:val="22"/>
        <w:lang w:val="en-US" w:eastAsia="en-US" w:bidi="ar-SA"/>
      </w:rPr>
    </w:lvl>
    <w:lvl w:ilvl="1" w:tplc="ED3A6FFE">
      <w:numFmt w:val="bullet"/>
      <w:lvlText w:val="•"/>
      <w:lvlJc w:val="left"/>
      <w:pPr>
        <w:ind w:left="2310" w:hanging="360"/>
      </w:pPr>
      <w:rPr>
        <w:rFonts w:hint="default"/>
        <w:lang w:val="en-US" w:eastAsia="en-US" w:bidi="ar-SA"/>
      </w:rPr>
    </w:lvl>
    <w:lvl w:ilvl="2" w:tplc="DFF2DB52">
      <w:numFmt w:val="bullet"/>
      <w:lvlText w:val="•"/>
      <w:lvlJc w:val="left"/>
      <w:pPr>
        <w:ind w:left="3081" w:hanging="360"/>
      </w:pPr>
      <w:rPr>
        <w:rFonts w:hint="default"/>
        <w:lang w:val="en-US" w:eastAsia="en-US" w:bidi="ar-SA"/>
      </w:rPr>
    </w:lvl>
    <w:lvl w:ilvl="3" w:tplc="616A73AE">
      <w:numFmt w:val="bullet"/>
      <w:lvlText w:val="•"/>
      <w:lvlJc w:val="left"/>
      <w:pPr>
        <w:ind w:left="3852" w:hanging="360"/>
      </w:pPr>
      <w:rPr>
        <w:rFonts w:hint="default"/>
        <w:lang w:val="en-US" w:eastAsia="en-US" w:bidi="ar-SA"/>
      </w:rPr>
    </w:lvl>
    <w:lvl w:ilvl="4" w:tplc="368640CA">
      <w:numFmt w:val="bullet"/>
      <w:lvlText w:val="•"/>
      <w:lvlJc w:val="left"/>
      <w:pPr>
        <w:ind w:left="4623" w:hanging="360"/>
      </w:pPr>
      <w:rPr>
        <w:rFonts w:hint="default"/>
        <w:lang w:val="en-US" w:eastAsia="en-US" w:bidi="ar-SA"/>
      </w:rPr>
    </w:lvl>
    <w:lvl w:ilvl="5" w:tplc="14DA6000">
      <w:numFmt w:val="bullet"/>
      <w:lvlText w:val="•"/>
      <w:lvlJc w:val="left"/>
      <w:pPr>
        <w:ind w:left="5394" w:hanging="360"/>
      </w:pPr>
      <w:rPr>
        <w:rFonts w:hint="default"/>
        <w:lang w:val="en-US" w:eastAsia="en-US" w:bidi="ar-SA"/>
      </w:rPr>
    </w:lvl>
    <w:lvl w:ilvl="6" w:tplc="502AB22E">
      <w:numFmt w:val="bullet"/>
      <w:lvlText w:val="•"/>
      <w:lvlJc w:val="left"/>
      <w:pPr>
        <w:ind w:left="6165" w:hanging="360"/>
      </w:pPr>
      <w:rPr>
        <w:rFonts w:hint="default"/>
        <w:lang w:val="en-US" w:eastAsia="en-US" w:bidi="ar-SA"/>
      </w:rPr>
    </w:lvl>
    <w:lvl w:ilvl="7" w:tplc="1D360DCC">
      <w:numFmt w:val="bullet"/>
      <w:lvlText w:val="•"/>
      <w:lvlJc w:val="left"/>
      <w:pPr>
        <w:ind w:left="6936" w:hanging="360"/>
      </w:pPr>
      <w:rPr>
        <w:rFonts w:hint="default"/>
        <w:lang w:val="en-US" w:eastAsia="en-US" w:bidi="ar-SA"/>
      </w:rPr>
    </w:lvl>
    <w:lvl w:ilvl="8" w:tplc="9CF6305C">
      <w:numFmt w:val="bullet"/>
      <w:lvlText w:val="•"/>
      <w:lvlJc w:val="left"/>
      <w:pPr>
        <w:ind w:left="7707" w:hanging="360"/>
      </w:pPr>
      <w:rPr>
        <w:rFonts w:hint="default"/>
        <w:lang w:val="en-US" w:eastAsia="en-US" w:bidi="ar-SA"/>
      </w:rPr>
    </w:lvl>
  </w:abstractNum>
  <w:num w:numId="1" w16cid:durableId="1836846242">
    <w:abstractNumId w:val="0"/>
  </w:num>
  <w:num w:numId="2" w16cid:durableId="1056901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32957"/>
    <w:rsid w:val="001F1C24"/>
    <w:rsid w:val="0052677A"/>
    <w:rsid w:val="005A6A0D"/>
    <w:rsid w:val="00832957"/>
    <w:rsid w:val="00E10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D8A0D"/>
  <w15:docId w15:val="{99FE2D46-44A5-0A46-A082-E76ACB39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 w:hanging="36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40" w:right="117"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10FB7"/>
    <w:rPr>
      <w:color w:val="0000FF" w:themeColor="hyperlink"/>
      <w:u w:val="single"/>
    </w:rPr>
  </w:style>
  <w:style w:type="character" w:styleId="UnresolvedMention">
    <w:name w:val="Unresolved Mention"/>
    <w:basedOn w:val="DefaultParagraphFont"/>
    <w:uiPriority w:val="99"/>
    <w:semiHidden/>
    <w:unhideWhenUsed/>
    <w:rsid w:val="00E10FB7"/>
    <w:rPr>
      <w:color w:val="605E5C"/>
      <w:shd w:val="clear" w:color="auto" w:fill="E1DFDD"/>
    </w:rPr>
  </w:style>
  <w:style w:type="character" w:styleId="FollowedHyperlink">
    <w:name w:val="FollowedHyperlink"/>
    <w:basedOn w:val="DefaultParagraphFont"/>
    <w:uiPriority w:val="99"/>
    <w:semiHidden/>
    <w:unhideWhenUsed/>
    <w:rsid w:val="00E10F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444882">
      <w:bodyDiv w:val="1"/>
      <w:marLeft w:val="0"/>
      <w:marRight w:val="0"/>
      <w:marTop w:val="0"/>
      <w:marBottom w:val="0"/>
      <w:divBdr>
        <w:top w:val="none" w:sz="0" w:space="0" w:color="auto"/>
        <w:left w:val="none" w:sz="0" w:space="0" w:color="auto"/>
        <w:bottom w:val="none" w:sz="0" w:space="0" w:color="auto"/>
        <w:right w:val="none" w:sz="0" w:space="0" w:color="auto"/>
      </w:divBdr>
    </w:div>
    <w:div w:id="543752809">
      <w:bodyDiv w:val="1"/>
      <w:marLeft w:val="0"/>
      <w:marRight w:val="0"/>
      <w:marTop w:val="0"/>
      <w:marBottom w:val="0"/>
      <w:divBdr>
        <w:top w:val="none" w:sz="0" w:space="0" w:color="auto"/>
        <w:left w:val="none" w:sz="0" w:space="0" w:color="auto"/>
        <w:bottom w:val="none" w:sz="0" w:space="0" w:color="auto"/>
        <w:right w:val="none" w:sz="0" w:space="0" w:color="auto"/>
      </w:divBdr>
    </w:div>
    <w:div w:id="739057453">
      <w:bodyDiv w:val="1"/>
      <w:marLeft w:val="0"/>
      <w:marRight w:val="0"/>
      <w:marTop w:val="0"/>
      <w:marBottom w:val="0"/>
      <w:divBdr>
        <w:top w:val="none" w:sz="0" w:space="0" w:color="auto"/>
        <w:left w:val="none" w:sz="0" w:space="0" w:color="auto"/>
        <w:bottom w:val="none" w:sz="0" w:space="0" w:color="auto"/>
        <w:right w:val="none" w:sz="0" w:space="0" w:color="auto"/>
      </w:divBdr>
    </w:div>
    <w:div w:id="1037311818">
      <w:bodyDiv w:val="1"/>
      <w:marLeft w:val="0"/>
      <w:marRight w:val="0"/>
      <w:marTop w:val="0"/>
      <w:marBottom w:val="0"/>
      <w:divBdr>
        <w:top w:val="none" w:sz="0" w:space="0" w:color="auto"/>
        <w:left w:val="none" w:sz="0" w:space="0" w:color="auto"/>
        <w:bottom w:val="none" w:sz="0" w:space="0" w:color="auto"/>
        <w:right w:val="none" w:sz="0" w:space="0" w:color="auto"/>
      </w:divBdr>
    </w:div>
    <w:div w:id="1421171099">
      <w:bodyDiv w:val="1"/>
      <w:marLeft w:val="0"/>
      <w:marRight w:val="0"/>
      <w:marTop w:val="0"/>
      <w:marBottom w:val="0"/>
      <w:divBdr>
        <w:top w:val="none" w:sz="0" w:space="0" w:color="auto"/>
        <w:left w:val="none" w:sz="0" w:space="0" w:color="auto"/>
        <w:bottom w:val="none" w:sz="0" w:space="0" w:color="auto"/>
        <w:right w:val="none" w:sz="0" w:space="0" w:color="auto"/>
      </w:divBdr>
    </w:div>
    <w:div w:id="1989937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pa.gov/air-trends/air-quality-cities-and-counties" TargetMode="External"/><Relationship Id="rId5" Type="http://schemas.openxmlformats.org/officeDocument/2006/relationships/hyperlink" Target="https://data.cdc.gov/NCHS/Provisional-COVID-19-Deaths-by-Sex-and-Age/9bhg-hcku/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Srinivasan, Sriram</cp:lastModifiedBy>
  <cp:revision>3</cp:revision>
  <dcterms:created xsi:type="dcterms:W3CDTF">2024-02-16T22:00:00Z</dcterms:created>
  <dcterms:modified xsi:type="dcterms:W3CDTF">2024-07-19T19:36:00Z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LastSaved">
    <vt:filetime>2024-02-16T00:00:00Z</vt:filetime>
  </property>
</Properties>
</file>