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v0.2 / v0.3 Technical Preview</w:t>
      </w:r>
    </w:p>
    <w:p>
      <w:r>
        <w:t xml:space="preserve">This section is intentionally blunt. The original vision in this document is the target architecture, not a claim that every enterprise-grade control is mature today. Current local validation: python -m pytest -q passes with 334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CLI init/validate/redteam, OpenTelemetry layer spans, compliance report helpers,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RCA - useful for linear and tool traces, not full emergent multi-agent forensics; Observability - metrics and spans implemented, dashboards not battle-tested; Load testing - smoke-tested only, not benchmarked at scale; Dashboard - tenant-scoped config,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data crosses tenant or session boundaries, even under adversarial prompting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boundaries the model cannot cross;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no crashes, no hangs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