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14="http://schemas.microsoft.com/office/word/2010/wordml" xmlns:w15="http://schemas.microsoft.com/office/word/2012/wordml" xmlns:wp14="http://schemas.openxmlformats.org/drawingml/2006/wordprocessingDrawing" ns1:Ignorable="w14 w15 wp14">
  <w:body>
    <w:p>
      <w:pPr>
        <w:spacing w:after="40" w:before="600"/>
      </w:pPr>
      <w:r>
        <w:rPr>
          <w:rFonts w:ascii="Arial" w:cs="Arial" w:eastAsia="Arial" w:hAnsi="Arial"/>
          <w:b/>
          <w:bCs/>
          <w:i w:val="false"/>
          <w:iCs w:val="false"/>
          <w:color w:val="0E7C86"/>
          <w:sz w:val="64"/>
          <w:szCs w:val="64"/>
        </w:rPr>
        <w:t xml:space="preserve">Pramagent</w:t>
      </w:r>
    </w:p>
    <w:p>
      <w:r>
        <w:rPr>
          <w:b/>
        </w:rPr>
        <w:t xml:space="preserve">Current Implementation Status - v0.7.3 Security Remediation Release</w:t>
      </w:r>
    </w:p>
    <w:p>
      <w:r>
        <w:t xml:space="preserve">This section is intentionally blunt. The original vision in this document is the target architecture, not a claim that every enterprise-grade control is mature today. Current local validation (version 0.7.3): python -m pytest tests/ -q --tb=no passes with 558 passing, 1 skipped, 0 failures. A syntax-health test compiles every Python source file so store.py-style collection failures are caught immediately. The embedding-based injection classifier is optional: install pramagent[ml] (sentence-transformers) to enable it; without it the system uses the deterministic keyword fallback.</w:t>
      </w:r>
    </w:p>
    <w:p>
      <w:r>
        <w:rPr>
          <w:b/>
        </w:rPr>
        <w:t xml:space="preserve">Security posture (v0.7.3): Pilot-Ready after remediation — still Alpha and not production-certified.</w:t>
      </w:r>
    </w:p>
    <w:p>
      <w:r>
        <w:t xml:space="preserve">All findings from the 2026-06-10 enterprise pre-production code review (2 P0, 10 P1, 18 P2, 20 P3) and the 2026-06-10 formal security assessment are closed or explicitly deferred with reason; see the “v0.7.1 Remediation Status” and “v0.7.3 Security Prompt Remediation Status” sections of pramagent_full_audit.md for per-finding tables. The reference Docker Compose / Helm stack now refuses to start on a published placeholder secret or without a persistent store, runs its datastores network-internal only, drops the dashboard container to a non-root user, and persists every trace and audit-chain link to PostgreSQL out of the box.</w:t>
      </w:r>
    </w:p>
    <w:p>
      <w:r>
        <w:t xml:space="preserve">Critical new finding closed — the PostgreSQL audit chain is now genuinely chained. Before v0.7.1, PostgresStore hashed each link as sha256(payload) with no prev_hash in the material, so deleting or reordering chain rows on the recommended production backend was undetectable. PostgresStore.append() now hashes canonical_hash(payload, prev) with the previous head derived inside the transaction under SELECT … FOR UPDATE, and verify_chain() validates both each link’s hash and its prev linkage in row order — identical tamper-evidence semantics to SQLite. Tests cover in-place tampering, row deletion, row reordering, and genuinely threaded concurrent writers (the chain can no longer fork under multi-worker load).</w:t>
      </w:r>
    </w:p>
    <w:p>
      <w:r>
        <w:rPr>
          <w:b/>
        </w:rPr>
        <w:t xml:space="preserve">Audit remediation status (v0.7.0): all ten findings from the 2026-06-09 full-spectrum engineering audit are resolved.</w:t>
      </w:r>
    </w:p>
    <w:p>
      <w:r>
        <w:t xml:space="preserve">Finding #1 (Critical) — Unauthenticated unversioned sidecar routes: every unversioned route (/traces, /traces/{id}, /metrics, /usage, /usage/ledger, /hitl/pending, /hitl/{id}/decide) now carries the same tenant-auth dependency as /v1 and is hard-scoped to the caller’s tenant; cross-tenant reads and HITL decides return 404 so request ids never leak.</w:t>
      </w:r>
    </w:p>
    <w:p>
      <w:r>
        <w:t xml:space="preserve">Finding #2 (High) — RCA replay returned reproducible:true unconditionally: replay() now derives pre- and post-phase verdicts separately (rule results carry a phase tag, and classifier verdicts are recorded as rule results), compares each to its stored counterpart, and returns reproducible only when they match. A tampered verdict is flagged as not reproducible.</w:t>
      </w:r>
    </w:p>
    <w:p>
      <w:r>
        <w:t xml:space="preserve">Finding #3 (High) — Raw PII persisted in traces: input_text and output_text now store only the compliance-scrubbed copies, in both the trace store and the audit-chain payload. The original bytes are preserved only as input_hash.</w:t>
      </w:r>
    </w:p>
    <w:p>
      <w:r>
        <w:t xml:space="preserve">Finding #4 (High) — Incomplete GDPR erasure: delete_for_tenant() now tombstones the tenant’s audit-chain payloads with SHA-256 markers and re-anchors the chain (subsequent link hashes recomputed), so erasure removes PII while chain verification still succeeds. Implemented across HashChainBackend, SQLiteStore, and PostgresStore.</w:t>
      </w:r>
    </w:p>
    <w:p>
      <w:r>
        <w:t xml:space="preserve">Finding #5 (High) — Unauthenticated ownership bypass: tenant erase and retention prune refuse (403) when no authenticated tenant exists; an empty tenant no longer grants implicit ownership of every tenant’s data, and prune is always tenant-scoped.</w:t>
      </w:r>
    </w:p>
    <w:p>
      <w:r>
        <w:t xml:space="preserve">Finding #6 (Med-High) — Dashboard default JWT secret: the dashboard refuses to start when PRAMAGENT_JWT_SECRET is unset or still the well-known default, mirroring the API’s config validation.</w:t>
      </w:r>
    </w:p>
    <w:p>
      <w:r>
        <w:t xml:space="preserve">Finding #7 (Medium) — Untested FallbackProvider and PostgresStore: dedicated suites now cover failover, exhaustion, the Postgres hash chain, tenant isolation, and erasure; used_fallback is a structured ProviderResult field rather than a model-name substring match. The new tests also exposed and fixed a latent JSONB-handling bug in PostgresStore.</w:t>
      </w:r>
    </w:p>
    <w:p>
      <w:r>
        <w:t xml:space="preserve">Finding #8 (Medium) — ToolGuard ESCALATE not wired to HITL: an ESCALATE verdict now invokes HITLLayer.propose() and the call does not proceed without approval (denial or silence short-circuits before any side effect); tool_guard.validate_output() runs on every provider output and withholds output that fails the exfiltration/schema checks.</w:t>
      </w:r>
    </w:p>
    <w:p>
      <w:r>
        <w:t xml:space="preserve">Finding #9 (Medium) — Dependency floors permitted published advisories: python-multipart≥0.0.18, aiohttp≥3.10.11, psycopg[binary]≥3.1 replaces psycopg2-binary, upper caps on fastapi and web3, sentence-transformers shipped in the ml extra, and a pip-audit job added to CI.</w:t>
      </w:r>
    </w:p>
    <w:p>
      <w:r>
        <w:t xml:space="preserve">Finding #10 (Medium) — Concurrency: ToolGuard side-effect history and call counters are mutated under a lock; the Redis history path uses an atomic Lua append (RPUSH+LTRIM+EXPIRE); ObservabilityLayer counters and the sorted latency list are lock-guarded. Multi-worker chain detection requires a shared Redis backend, now documented.</w:t>
      </w:r>
    </w:p>
    <w:p>
      <w:r>
        <w:t xml:space="preserve">Test suite: 505 passing, 0 failures.</w:t>
      </w:r>
    </w:p>
    <w:p>
      <w:r>
        <w:t xml:space="preserve">Known residuals: cap_output latency marker (cosmetic); CONTROL_MAP in_place assertion (compliance gap, backlog); PostgresDashboardUserStore tests (backlog).</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with authenticated 10-minute local load validation, CLI init/validate/redteam, OpenTelemetry layer spans, compliance report helpers, optional real Sepolia anchoring validated on tx 0x8d0d7bd15c377224acee00f397272bab1007c757080f19523cfc66c8461b5d99, encrypted S3 cold archive wrapper with live archive/restore validation,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production key management for Ethereum/S3 credentials, AWS lifecycle/KMS runbooks,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(embedding classifier is an optional pramagent[ml] extra; keyword fallback otherwise); Safety rules - implemented; ToolGuard - strong MVP, not a sandbox; HITL - Slack plus workflow primitives, persistence depends on backend configuration; Reliability - timeouts/circuit breaker implemented, chaos recovery not proven; Trace/hash chain - implemented; Sepolia anchoring - live testnet tx verified (0x8d0d7bd15c377224acee00f397272bab1007c757080f19523cfc66c8461b5d99), no production key-management story; S3 cold archive - live AWS archive/restore smoke test passed, needs AWS lifecycle/KMS runbooks; RCA - useful for linear and tool traces, not full emergent multi-agent forensics; Observability - metrics and spans implemented, dashboards not battle-tested; Load testing - authenticated local Docker Compose run passed 12,000 requests with 0 errors and 0 HTTP 5xx; still not chaos/SLA testing;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0.7.1  ·  Pilot-Ready (library + reference deployment)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Pramagent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Pramagent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Pramagent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Pramagent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Pramagent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Pramagent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Pramagent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Pramagent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Pramagent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SQLite/PostgreSQL persistence, context-guarded PII scrubbing, per-session isolation, and basic observability metrics. The full test suite has 505 passing tests, 0 failures.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pramagent.providers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Pramagent(provider=provider,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pramagent/</w:t>
            </w:r>
          </w:p>
          <w:p>
            <w:pPr>
              <w:shd w:fill="0E1726" w:val="clear"/>
              <w:spacing w:after="0" w:before="0"/>
            </w:pPr>
            <w:r>
              <w:rPr>
                <w:rFonts w:ascii="Consolas" w:cs="Consolas" w:eastAsia="Consolas" w:hAnsi="Consolas"/>
                <w:color w:val="D6E2F0"/>
                <w:sz w:val="17"/>
                <w:szCs w:val="17"/>
              </w:rPr>
              <w:t xml:space="preserve">├── pramagent/</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505 passing tests: pipeline + compliance + api + persistence + more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Pramagent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PRAMAGENT_DB=pramagent.db uvicorn pramagent.api.app:app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Store selection follows a strict priority chain (v0.7.1): PRAMAGENT_POSTGRES_DSN (PostgreSQL — the multi-replica production backend, properly chained) takes precedence over PRAMAGENT_DB (single-file SQLite), which takes precedence over an explicit PRAMAGENT_ALLOW_MEMORY_STORE=1 opt-in (volatile, dev only). With none of the three set, the API refuses to start — a deployment can never silently run on memory. In persistent mode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Pramagent.run()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spacing w:after="80" w:before="60"/>
      </w:pPr>
      <w:r>
        <w:rPr>
          <w:rFonts w:ascii="Arial" w:cs="Arial" w:eastAsia="Arial" w:hAnsi="Arial"/>
          <w:b w:val="false"/>
          <w:bCs w:val="false"/>
          <w:i w:val="false"/>
          <w:iCs w:val="false"/>
          <w:color w:val="2A2A2A"/>
          <w:sz w:val="21"/>
          <w:szCs w:val="21"/>
        </w:rPr>
        <w:t xml:space="preserve">Scrubbed text is stored in input_text/output_text and the audit chain. The original bytes are preserved only as input_hash for caller verification. Raw PII never enters the persisted record.</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p>
      <w:pPr>
        <w:spacing w:after="80" w:before="60"/>
      </w:pPr>
      <w:r>
        <w:rPr>
          <w:rFonts w:ascii="Arial" w:cs="Arial" w:eastAsia="Arial" w:hAnsi="Arial"/>
          <w:b w:val="false"/>
          <w:bCs w:val="false"/>
          <w:i w:val="false"/>
          <w:iCs w:val="false"/>
          <w:color w:val="2A2A2A"/>
          <w:sz w:val="21"/>
          <w:szCs w:val="21"/>
        </w:rPr>
        <w:t xml:space="preserve">propose() is the unconditional approval gate invoked when ToolGuard returns ESCALATE. Unlike gate(), which is action-label-driven, propose() treats the tool decision itself as sufficient grounds for requiring human approval. It runs the same propose-and-wait flow with the same invariant — silence is never consent — so an escalated tool call completes only after an explicit human approval, and the decision is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pramagent import Pramagent, Verdict</w:t>
            </w:r>
          </w:p>
          <w:p>
            <w:pPr>
              <w:shd w:fill="0E1726" w:val="clear"/>
              <w:spacing w:after="0" w:before="0"/>
            </w:pPr>
            <w:r>
              <w:rPr>
                <w:rFonts w:ascii="Consolas" w:cs="Consolas" w:eastAsia="Consolas" w:hAnsi="Consolas"/>
                <w:color w:val="D6E2F0"/>
                <w:sz w:val="17"/>
                <w:szCs w:val="17"/>
              </w:rPr>
              <w:t xml:space="preserve">from pramagent.layers import SafetyLayer, ComplianceLayer, HITLLayer, Rule</w:t>
            </w:r>
          </w:p>
          <w:p>
            <w:pPr>
              <w:shd w:fill="0E1726" w:val="clear"/>
              <w:spacing w:after="0" w:before="0"/>
            </w:pPr>
            <w:r>
              <w:rPr>
                <w:rFonts w:ascii="Consolas" w:cs="Consolas" w:eastAsia="Consolas" w:hAnsi="Consolas"/>
                <w:color w:val="D6E2F0"/>
                <w:sz w:val="17"/>
                <w:szCs w:val="17"/>
              </w:rPr>
              <w:t xml:space="preserve">from pramagent.providers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Pramagent(</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Pramagent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Pramagent(audit=…).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pramagent</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505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PRAMAGENT_DB=traces.db 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Pramagent(provider=AnthropicProvider())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 and PostgresStore</w:t>
      </w:r>
    </w:p>
    <w:p>
      <w:pPr>
        <w:spacing w:after="80" w:before="60"/>
      </w:pPr>
      <w:r>
        <w:rPr>
          <w:rFonts w:ascii="Arial" w:cs="Arial" w:eastAsia="Arial" w:hAnsi="Arial"/>
          <w:b w:val="false"/>
          <w:bCs w:val="false"/>
          <w:i w:val="false"/>
          <w:iCs w:val="false"/>
          <w:color w:val="2A2A2A"/>
          <w:sz w:val="21"/>
          <w:szCs w:val="21"/>
        </w:rPr>
        <w:t xml:space="preserve">In-memory storage (MemoryStore) is an explicit development opt-in as of v0.7.1 (PRAMAGENT_ALLOW_MEMORY_STORE=1) — traces are lost on restart and the API refuses to boot on it unless asked. For any real deployment, set PRAMAGENT_POSTGRES_DSN (PostgreSQL; the audit chain is genuinely chained on this backend as of v0.7.1) or PRAMAGENT_DB (SQLite single file). The chain head is restored on startup, so verification and RCA continue to work across restarts. SQLiteStore and PostgresStore implement both the TraceStore and AuditBackend interfaces, so a single object replaces both in-memory defaults.</w:t>
      </w:r>
    </w:p>
    <w:p>
      <w:pPr>
        <w:spacing w:after="80" w:before="60"/>
      </w:pPr>
      <w:r>
        <w:rPr>
          <w:rFonts w:ascii="Arial" w:cs="Arial" w:eastAsia="Arial" w:hAnsi="Arial"/>
          <w:b w:val="false"/>
          <w:bCs w:val="false"/>
          <w:i w:val="false"/>
          <w:iCs w:val="false"/>
          <w:color w:val="2A2A2A"/>
          <w:sz w:val="21"/>
          <w:szCs w:val="21"/>
        </w:rPr>
        <w:t xml:space="preserve">Driver support: SQLite for development, PostgreSQL (psycopg 3 preferred, psycopg 2 supported via the _pg.py shim) for production. No MySQL dependency.</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pramagent.store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SQLiteStore('pramagent.db')</w:t>
            </w:r>
          </w:p>
          <w:p>
            <w:pPr>
              <w:shd w:fill="0E1726" w:val="clear"/>
              <w:spacing w:after="0" w:before="0"/>
            </w:pPr>
            <w:r>
              <w:rPr>
                <w:rFonts w:ascii="Consolas" w:cs="Consolas" w:eastAsia="Consolas" w:hAnsi="Consolas"/>
                <w:color w:val="D6E2F0"/>
                <w:sz w:val="17"/>
                <w:szCs w:val="17"/>
              </w:rPr>
              <w:t xml:space="preserve">armor = Pramagent(</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SQLiteStore('pramagent.db')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Pramagent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Pramagent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Pramagent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