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Arial" w:cs="Arial" w:eastAsia="Arial" w:hAnsi="Arial"/>
          <w:b/>
          <w:bCs/>
          <w:i w:val="false"/>
          <w:iCs w:val="false"/>
          <w:color w:val="0E7C86"/>
          <w:sz w:val="64"/>
          <w:szCs w:val="64"/>
        </w:rPr>
        <w:t xml:space="preserve">Veritrace</w:t>
      </w:r>
    </w:p>
    <w:p>
      <w:pPr>
        <w:spacing w:after="200" w:before="0"/>
      </w:pPr>
      <w:r>
        <w:rPr>
          <w:rFonts w:ascii="Arial" w:cs="Arial" w:eastAsia="Arial" w:hAnsi="Arial"/>
          <w:b w:val="false"/>
          <w:bCs w:val="false"/>
          <w:i/>
          <w:iCs/>
          <w:color w:val="444444"/>
          <w:sz w:val="28"/>
          <w:szCs w:val="28"/>
        </w:rPr>
        <w:t xml:space="preserve">Verifiable Trust Infrastructure for Production AI Agents</w:t>
      </w:r>
    </w:p>
    <w:p>
      <w:pPr>
        <w:spacing w:after="140" w:before="14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05100"/>
                    </a:xfrm>
                    <a:prstGeom prst="rect">
                      <a:avLst/>
                    </a:prstGeom>
                  </pic:spPr>
                </pic:pic>
              </a:graphicData>
            </a:graphic>
          </wp: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2.5  ·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Veritrace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Implementation Status — What Is and Isn’t Real</w:t>
      </w:r>
    </w:p>
    <w:p>
      <w:pPr>
        <w:spacing w:after="80" w:before="60"/>
      </w:pPr>
      <w:r>
        <w:rPr>
          <w:rFonts w:ascii="Arial" w:cs="Arial" w:eastAsia="Arial" w:hAnsi="Arial"/>
          <w:b w:val="false"/>
          <w:bCs w:val="false"/>
          <w:i w:val="false"/>
          <w:iCs w:val="false"/>
          <w:color w:val="2A2A2A"/>
          <w:sz w:val="21"/>
          <w:szCs w:val="21"/>
        </w:rPr>
        <w:t xml:space="preserve">Trust infrastructure is exactly the wrong domain to overstate progress in. This section is a candid readout of what the accompanying code actually does today, what it does only partially, and what is roadmap. Read this before the architecture sections so the rest of the document is calibrated correctly.</w:t>
      </w:r>
    </w:p>
    <w:p>
      <w:pPr>
        <w:pStyle w:val="Heading2"/>
        <w:spacing w:after="100" w:before="280"/>
      </w:pPr>
      <w:r>
        <w:rPr>
          <w:rFonts w:ascii="Arial" w:cs="Arial" w:eastAsia="Arial" w:hAnsi="Arial"/>
          <w:b/>
          <w:bCs/>
          <w:i w:val="false"/>
          <w:iCs w:val="false"/>
          <w:color w:val="0B1220"/>
          <w:sz w:val="25"/>
          <w:szCs w:val="25"/>
        </w:rPr>
        <w:t xml:space="preserve">Fully implemented and tested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Orchestrator and pipeline ordering.  </w:t>
      </w:r>
      <w:r>
        <w:rPr>
          <w:rFonts w:ascii="Arial" w:cs="Arial" w:eastAsia="Arial" w:hAnsi="Arial"/>
          <w:b w:val="false"/>
          <w:bCs w:val="false"/>
          <w:i w:val="false"/>
          <w:iCs w:val="false"/>
          <w:color w:val="333333"/>
          <w:sz w:val="20"/>
          <w:szCs w:val="20"/>
        </w:rPr>
        <w:t xml:space="preserve">Single source of truth in core.py; every layer decision lands in the trace; 72 passing tests cover the success and failure paths.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Tamper-evident hash chain.  </w:t>
      </w:r>
      <w:r>
        <w:rPr>
          <w:rFonts w:ascii="Arial" w:cs="Arial" w:eastAsia="Arial" w:hAnsi="Arial"/>
          <w:b w:val="false"/>
          <w:bCs w:val="false"/>
          <w:i w:val="false"/>
          <w:iCs w:val="false"/>
          <w:color w:val="333333"/>
          <w:sz w:val="20"/>
          <w:szCs w:val="20"/>
        </w:rPr>
        <w:t xml:space="preserve">SHA-256 chain over canonical JSON; tampering detection verified by direct file edit then re-verify.</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Context-guarded PII scrubbing.  </w:t>
      </w:r>
      <w:r>
        <w:rPr>
          <w:rFonts w:ascii="Arial" w:cs="Arial" w:eastAsia="Arial" w:hAnsi="Arial"/>
          <w:b w:val="false"/>
          <w:bCs w:val="false"/>
          <w:i w:val="false"/>
          <w:iCs w:val="false"/>
          <w:color w:val="333333"/>
          <w:sz w:val="20"/>
          <w:szCs w:val="20"/>
        </w:rPr>
        <w:t xml:space="preserve">High-precision patterns for distinct shapes (email, SSN, IBAN); context-window scan for ambiguous shapes (routing numbers, ISO dates) so order IDs and event timestamps are not silently destroyed.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Deterministic safety rule engine.  </w:t>
      </w:r>
      <w:r>
        <w:rPr>
          <w:rFonts w:ascii="Arial" w:cs="Arial" w:eastAsia="Arial" w:hAnsi="Arial"/>
          <w:b w:val="false"/>
          <w:bCs w:val="false"/>
          <w:i w:val="false"/>
          <w:iCs w:val="false"/>
          <w:color w:val="333333"/>
          <w:sz w:val="20"/>
          <w:szCs w:val="20"/>
        </w:rPr>
        <w:t xml:space="preserve">Regex and predicate rules with strict precedence (BLOCK &gt; ESCALATE &gt; REDACT &gt; ALLOW). Useful as a hard backstop; not a substitute for semantic defense.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Concurrency, timeout, and circuit breaker.  </w:t>
      </w:r>
      <w:r>
        <w:rPr>
          <w:rFonts w:ascii="Arial" w:cs="Arial" w:eastAsia="Arial" w:hAnsi="Arial"/>
          <w:b w:val="false"/>
          <w:bCs w:val="false"/>
          <w:i w:val="false"/>
          <w:iCs w:val="false"/>
          <w:color w:val="333333"/>
          <w:sz w:val="20"/>
          <w:szCs w:val="20"/>
        </w:rPr>
        <w:t xml:space="preserve">Semaphore-bounded provider calls with a hard timeout; consecutive failures open the breaker.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HITL with idle-on-silence.  </w:t>
      </w:r>
      <w:r>
        <w:rPr>
          <w:rFonts w:ascii="Arial" w:cs="Arial" w:eastAsia="Arial" w:hAnsi="Arial"/>
          <w:b w:val="false"/>
          <w:bCs w:val="false"/>
          <w:i w:val="false"/>
          <w:iCs w:val="false"/>
          <w:color w:val="333333"/>
          <w:sz w:val="20"/>
          <w:szCs w:val="20"/>
        </w:rPr>
        <w:t xml:space="preserve">No configuration converts silence into approval. Verified by test.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Persistent storage.  </w:t>
      </w:r>
      <w:r>
        <w:rPr>
          <w:rFonts w:ascii="Arial" w:cs="Arial" w:eastAsia="Arial" w:hAnsi="Arial"/>
          <w:b w:val="false"/>
          <w:bCs w:val="false"/>
          <w:i w:val="false"/>
          <w:iCs w:val="false"/>
          <w:color w:val="333333"/>
          <w:sz w:val="20"/>
          <w:szCs w:val="20"/>
        </w:rPr>
        <w:t xml:space="preserve">SQLiteStore persists traces and the hash chain to a single file across process restarts; verify_chain holds across reopen.</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Encryption at rest.  </w:t>
      </w:r>
      <w:r>
        <w:rPr>
          <w:rFonts w:ascii="Arial" w:cs="Arial" w:eastAsia="Arial" w:hAnsi="Arial"/>
          <w:b w:val="false"/>
          <w:bCs w:val="false"/>
          <w:i w:val="false"/>
          <w:iCs w:val="false"/>
          <w:color w:val="333333"/>
          <w:sz w:val="20"/>
          <w:szCs w:val="20"/>
        </w:rPr>
        <w:t xml:space="preserve">EncryptedSQLiteStore wraps payload columns with Fernet (AES-128-CBC + HMAC-SHA256); indexed columns remain plain for queries; plaintext absence verified by raw-file scan.</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API authentication and cross-tenant guard.  </w:t>
      </w:r>
      <w:r>
        <w:rPr>
          <w:rFonts w:ascii="Arial" w:cs="Arial" w:eastAsia="Arial" w:hAnsi="Arial"/>
          <w:b w:val="false"/>
          <w:bCs w:val="false"/>
          <w:i w:val="false"/>
          <w:iCs w:val="false"/>
          <w:color w:val="333333"/>
          <w:sz w:val="20"/>
          <w:szCs w:val="20"/>
        </w:rPr>
        <w:t xml:space="preserve">API-key-per-tenant; keys stored as SHA-256; tenant derived from key, never from body; cross-tenant access returns 404 (not 403) so existence is not leaked.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Per-tenant rate limiting.  </w:t>
      </w:r>
      <w:r>
        <w:rPr>
          <w:rFonts w:ascii="Arial" w:cs="Arial" w:eastAsia="Arial" w:hAnsi="Arial"/>
          <w:b w:val="false"/>
          <w:bCs w:val="false"/>
          <w:i w:val="false"/>
          <w:iCs w:val="false"/>
          <w:color w:val="333333"/>
          <w:sz w:val="20"/>
          <w:szCs w:val="20"/>
        </w:rPr>
        <w:t xml:space="preserve">Token bucket per tenant (or per IP unauthenticated). Returns 429 with Retry-After.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Retention floor and GDPR erasure.  </w:t>
      </w:r>
      <w:r>
        <w:rPr>
          <w:rFonts w:ascii="Arial" w:cs="Arial" w:eastAsia="Arial" w:hAnsi="Arial"/>
          <w:b w:val="false"/>
          <w:bCs w:val="false"/>
          <w:i w:val="false"/>
          <w:iCs w:val="false"/>
          <w:color w:val="333333"/>
          <w:sz w:val="20"/>
          <w:szCs w:val="20"/>
        </w:rPr>
        <w:t xml:space="preserve">Retention endpoint refuses windows shorter than the EU AI Act 180-day minimum; tenant-scoped erasure deletes trace rows while preserving chain payloads for integrity.</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Input size cap + injection heuristics.  </w:t>
      </w:r>
      <w:r>
        <w:rPr>
          <w:rFonts w:ascii="Arial" w:cs="Arial" w:eastAsia="Arial" w:hAnsi="Arial"/>
          <w:b w:val="false"/>
          <w:bCs w:val="false"/>
          <w:i w:val="false"/>
          <w:iCs w:val="false"/>
          <w:color w:val="333333"/>
          <w:sz w:val="20"/>
          <w:szCs w:val="20"/>
        </w:rPr>
        <w:t xml:space="preserve">Per-call byte limit; conservative regex heuristics for the dozen most common injection patterns (override, role hijack, exfiltration, jailbreak personas, encoded payloads, delimiter breaks). Hits are recorded in the trace; default policy is to block.</w:t>
      </w:r>
    </w:p>
    <w:p>
      <w:pPr>
        <w:pStyle w:val="Heading2"/>
        <w:spacing w:after="100" w:before="280"/>
      </w:pPr>
      <w:r>
        <w:rPr>
          <w:rFonts w:ascii="Arial" w:cs="Arial" w:eastAsia="Arial" w:hAnsi="Arial"/>
          <w:b/>
          <w:bCs/>
          <w:i w:val="false"/>
          <w:iCs w:val="false"/>
          <w:color w:val="0B1220"/>
          <w:sz w:val="25"/>
          <w:szCs w:val="25"/>
        </w:rPr>
        <w:t xml:space="preserve">Partial — useful, but not what a deep-pocketed enterprise will accept as final</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Isolation.  </w:t>
      </w:r>
      <w:r>
        <w:rPr>
          <w:rFonts w:ascii="Arial" w:cs="Arial" w:eastAsia="Arial" w:hAnsi="Arial"/>
          <w:b w:val="false"/>
          <w:bCs w:val="false"/>
          <w:i w:val="false"/>
          <w:iCs w:val="false"/>
          <w:color w:val="333333"/>
          <w:sz w:val="20"/>
          <w:szCs w:val="20"/>
        </w:rPr>
        <w:t xml:space="preserve">Tenant-scoped storage and rate limits are real defenses. Injection heuristics will catch obvious attacks and miss novel ones. A determined attacker who can author new injection prompts will get past the heuristics. Strong defense requires a fine-tuned injection classifier and runtime constraints on the model’s action space — both are roadmap items. The classifier hook is in place.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Safety rule engine.  </w:t>
      </w:r>
      <w:r>
        <w:rPr>
          <w:rFonts w:ascii="Arial" w:cs="Arial" w:eastAsia="Arial" w:hAnsi="Arial"/>
          <w:b w:val="false"/>
          <w:bCs w:val="false"/>
          <w:i w:val="false"/>
          <w:iCs w:val="false"/>
          <w:color w:val="333333"/>
          <w:sz w:val="20"/>
          <w:szCs w:val="20"/>
        </w:rPr>
        <w:t xml:space="preserve">Regex plus predicates is sufficient as a backstop and for hard policies ("never expose acct numbers"). It is not semantic. Wrapping a real classifier under the same interface is the planned upgrade.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HITL.  </w:t>
      </w:r>
      <w:r>
        <w:rPr>
          <w:rFonts w:ascii="Arial" w:cs="Arial" w:eastAsia="Arial" w:hAnsi="Arial"/>
          <w:b w:val="false"/>
          <w:bCs w:val="false"/>
          <w:i w:val="false"/>
          <w:iCs w:val="false"/>
          <w:color w:val="333333"/>
          <w:sz w:val="20"/>
          <w:szCs w:val="20"/>
        </w:rPr>
        <w:t xml:space="preserve">The state machine is correct (idle-on-silence is the hard invariant) but no Slack, PagerDuty, or webhook adapter ships in this release. A real deployment needs to bridge the approver callable to whichever channel the on-call team uses.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RCA engine.  </w:t>
      </w:r>
      <w:r>
        <w:rPr>
          <w:rFonts w:ascii="Arial" w:cs="Arial" w:eastAsia="Arial" w:hAnsi="Arial"/>
          <w:b w:val="false"/>
          <w:bCs w:val="false"/>
          <w:i w:val="false"/>
          <w:iCs w:val="false"/>
          <w:color w:val="333333"/>
          <w:sz w:val="20"/>
          <w:szCs w:val="20"/>
        </w:rPr>
        <w:t xml:space="preserve">Decision replay is genuinely deterministic against the stored trace; counterfactuals work by removing one rule and recomputing the verdict; the causality graph is a linear chain. For complex multi-step agents with branching tool calls, this is a starting point, not a complete forensic toolkit.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Observability.  </w:t>
      </w:r>
      <w:r>
        <w:rPr>
          <w:rFonts w:ascii="Arial" w:cs="Arial" w:eastAsia="Arial" w:hAnsi="Arial"/>
          <w:b w:val="false"/>
          <w:bCs w:val="false"/>
          <w:i w:val="false"/>
          <w:iCs w:val="false"/>
          <w:color w:val="333333"/>
          <w:sz w:val="20"/>
          <w:szCs w:val="20"/>
        </w:rPr>
        <w:t xml:space="preserve">Counters and p50/p95/p99 latency, in-process. Production deployments would export these to OpenTelemetry or Prometheus; the report shape is small enough to wrap with an exporter.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Provider integrations.  </w:t>
      </w:r>
      <w:r>
        <w:rPr>
          <w:rFonts w:ascii="Arial" w:cs="Arial" w:eastAsia="Arial" w:hAnsi="Arial"/>
          <w:b w:val="false"/>
          <w:bCs w:val="false"/>
          <w:i w:val="false"/>
          <w:iCs w:val="false"/>
          <w:color w:val="333333"/>
          <w:sz w:val="20"/>
          <w:szCs w:val="20"/>
        </w:rPr>
        <w:t xml:space="preserve">Adapter pattern is clean and provider-agnostic. MockProvider is fully wired and used in every test. AnthropicProvider and OllamaProvider are present and importable; they have not been exercised end-to-end in the included demo (which runs offline).</w:t>
      </w:r>
    </w:p>
    <w:p>
      <w:pPr>
        <w:pStyle w:val="Heading2"/>
        <w:spacing w:after="100" w:before="280"/>
      </w:pPr>
      <w:r>
        <w:rPr>
          <w:rFonts w:ascii="Arial" w:cs="Arial" w:eastAsia="Arial" w:hAnsi="Arial"/>
          <w:b/>
          <w:bCs/>
          <w:i w:val="false"/>
          <w:iCs w:val="false"/>
          <w:color w:val="0B1220"/>
          <w:sz w:val="25"/>
          <w:szCs w:val="25"/>
        </w:rPr>
        <w:t xml:space="preserve">Not yet implemented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Production HITL adapters.  </w:t>
      </w:r>
      <w:r>
        <w:rPr>
          <w:rFonts w:ascii="Arial" w:cs="Arial" w:eastAsia="Arial" w:hAnsi="Arial"/>
          <w:b w:val="false"/>
          <w:bCs w:val="false"/>
          <w:i w:val="false"/>
          <w:iCs w:val="false"/>
          <w:color w:val="333333"/>
          <w:sz w:val="20"/>
          <w:szCs w:val="20"/>
        </w:rPr>
        <w:t xml:space="preserve">Slack/PagerDuty/webhook bridges.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Stronger auth.  </w:t>
      </w:r>
      <w:r>
        <w:rPr>
          <w:rFonts w:ascii="Arial" w:cs="Arial" w:eastAsia="Arial" w:hAnsi="Arial"/>
          <w:b w:val="false"/>
          <w:bCs w:val="false"/>
          <w:i w:val="false"/>
          <w:iCs w:val="false"/>
          <w:color w:val="333333"/>
          <w:sz w:val="20"/>
          <w:szCs w:val="20"/>
        </w:rPr>
        <w:t xml:space="preserve">JWTs with short TTLs and per-key scopes; key rotation; an audit trail of key issuance.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Enterprise audit anchoring.  </w:t>
      </w:r>
      <w:r>
        <w:rPr>
          <w:rFonts w:ascii="Arial" w:cs="Arial" w:eastAsia="Arial" w:hAnsi="Arial"/>
          <w:b w:val="false"/>
          <w:bCs w:val="false"/>
          <w:i w:val="false"/>
          <w:iCs w:val="false"/>
          <w:color w:val="333333"/>
          <w:sz w:val="20"/>
          <w:szCs w:val="20"/>
        </w:rPr>
        <w:t xml:space="preserve">Ethereum / Hyperledger backends are stubbed; not connected.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Scale-out storage.  </w:t>
      </w:r>
      <w:r>
        <w:rPr>
          <w:rFonts w:ascii="Arial" w:cs="Arial" w:eastAsia="Arial" w:hAnsi="Arial"/>
          <w:b w:val="false"/>
          <w:bCs w:val="false"/>
          <w:i w:val="false"/>
          <w:iCs w:val="false"/>
          <w:color w:val="333333"/>
          <w:sz w:val="20"/>
          <w:szCs w:val="20"/>
        </w:rPr>
        <w:t xml:space="preserve">Postgres backend, S3 for cold trace archives, Redis for the rate-limit and HITL queue.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Tool-call guards.  </w:t>
      </w:r>
      <w:r>
        <w:rPr>
          <w:rFonts w:ascii="Arial" w:cs="Arial" w:eastAsia="Arial" w:hAnsi="Arial"/>
          <w:b w:val="false"/>
          <w:bCs w:val="false"/>
          <w:i w:val="false"/>
          <w:iCs w:val="false"/>
          <w:color w:val="333333"/>
          <w:sz w:val="20"/>
          <w:szCs w:val="20"/>
        </w:rPr>
        <w:t xml:space="preserve">Provenance tracking on tool outputs and a constrained action space for the model. These are the defenses that meaningfully address tool-misuse risk for autonomous agents and they are not in this codebase yet.</w:t>
      </w:r>
    </w:p>
    <w:p>
      <w:pPr>
        <w:pStyle w:val="ListParagraph"/>
        <w:numPr>
          <w:ilvl w:val="0"/>
          <w:numId w:val="2"/>
        </w:numPr>
        <w:spacing w:after="36" w:before="36"/>
      </w:pPr>
      <w:r>
        <w:rPr>
          <w:rFonts w:ascii="Arial" w:cs="Arial" w:eastAsia="Arial" w:hAnsi="Arial"/>
          <w:b w:val="false"/>
          <w:bCs w:val="false"/>
          <w:i w:val="false"/>
          <w:iCs w:val="false"/>
          <w:color w:val="333333"/>
          <w:sz w:val="20"/>
          <w:szCs w:val="20"/>
        </w:rPr>
        <w:t xml:space="preserve">OpenTelemetry exporter and Grafana dashboards.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The QuantumLayer.  </w:t>
      </w:r>
      <w:r>
        <w:rPr>
          <w:rFonts w:ascii="Arial" w:cs="Arial" w:eastAsia="Arial" w:hAnsi="Arial"/>
          <w:b w:val="false"/>
          <w:bCs w:val="false"/>
          <w:i w:val="false"/>
          <w:iCs w:val="false"/>
          <w:color w:val="333333"/>
          <w:sz w:val="20"/>
          <w:szCs w:val="20"/>
        </w:rPr>
        <w:t xml:space="preserve">Research track. The cryptography is feasible today (Dilithium signatures, QRNG over commercial APIs), but it is not implemented here and is not on the near-term path.</w:t>
      </w:r>
    </w:p>
    <w:p>
      <w:pPr>
        <w:pStyle w:val="Heading2"/>
        <w:spacing w:after="100" w:before="280"/>
      </w:pPr>
      <w:r>
        <w:rPr>
          <w:rFonts w:ascii="Arial" w:cs="Arial" w:eastAsia="Arial" w:hAnsi="Arial"/>
          <w:b/>
          <w:bCs/>
          <w:i w:val="false"/>
          <w:iCs w:val="false"/>
          <w:color w:val="0B1220"/>
          <w:sz w:val="25"/>
          <w:szCs w:val="25"/>
        </w:rPr>
        <w:t xml:space="preserve">Where Veritrace fits today</w:t>
      </w:r>
    </w:p>
    <w:p>
      <w:pPr>
        <w:spacing w:after="80" w:before="60"/>
      </w:pPr>
      <w:r>
        <w:rPr>
          <w:rFonts w:ascii="Arial" w:cs="Arial" w:eastAsia="Arial" w:hAnsi="Arial"/>
          <w:b w:val="false"/>
          <w:bCs w:val="false"/>
          <w:i w:val="false"/>
          <w:iCs w:val="false"/>
          <w:color w:val="2A2A2A"/>
          <w:sz w:val="21"/>
          <w:szCs w:val="21"/>
        </w:rPr>
        <w:t xml:space="preserve">As of this release, Veritrace is appropriate for: internal-facing assistants in regulated environments where tamper-evident audit and a deterministic safety backstop are the headline requirements; agent prototypes that need a credible audit story before piloting with a real customer; and as the trust spine that a team builds outwards from with their own integrations. It is not yet ready to sit alone in front of autonomous agents handling material financial or clinical decisions. Treat any claim to the contrary — including elsewhere in this document — as aspirational.</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Veritrace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Veritrace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wp:inline distT="0" distB="0" distL="0" distR="0">
            <wp:extent cx="5715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05100"/>
                    </a:xfrm>
                    <a:prstGeom prst="rect">
                      <a:avLst/>
                    </a:prstGeom>
                  </pic:spPr>
                </pic:pic>
              </a:graphicData>
            </a:graphic>
          </wp:inline>
        </w:drawing>
      </w:r>
    </w:p>
    <w:p>
      <w:pPr>
        <w:spacing w:after="140" w:before="0"/>
        <w:jc w:val="center"/>
      </w:pPr>
      <w:r>
        <w:rPr>
          <w:rFonts w:ascii="Arial" w:cs="Arial" w:eastAsia="Arial" w:hAnsi="Arial"/>
          <w:b w:val="false"/>
          <w:bCs w:val="false"/>
          <w:i/>
          <w:iCs/>
          <w:color w:val="64748B"/>
          <w:sz w:val="16"/>
          <w:szCs w:val="16"/>
        </w:rPr>
        <w:t xml:space="preserve">Figure 1 — The four guarantees Veritrace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Veritrace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Veritrace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Veritrace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Veritrace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Veritrace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wp:inline distT="0" distB="0" distL="0" distR="0">
            <wp:extent cx="5715000" cy="662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629400"/>
                    </a:xfrm>
                    <a:prstGeom prst="rect">
                      <a:avLst/>
                    </a:prstGeom>
                  </pic:spPr>
                </pic:pic>
              </a:graphicData>
            </a:graphic>
          </wp: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data crosses tenant or session boundaries, even under adversarial prompting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boundaries the model cannot cross;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no crashes, no hangs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with API-key authentication and cross-tenant guard, SQLite persistence with optional encryption at rest, context-guarded PII scrubbing, per-session isolation, Article 12 retention controls with GDPR erasure, and basic observability metrics. The full test suite has 72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veritrace.providers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Veritrace(provider=provider,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52875"/>
                    </a:xfrm>
                    <a:prstGeom prst="rect">
                      <a:avLst/>
                    </a:prstGeom>
                  </pic:spPr>
                </pic:pic>
              </a:graphicData>
            </a:graphic>
          </wp: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veritrace/</w:t>
            </w:r>
          </w:p>
          <w:p>
            <w:pPr>
              <w:shd w:fill="0E1726" w:val="clear"/>
              <w:spacing w:after="0" w:before="0"/>
            </w:pPr>
            <w:r>
              <w:rPr>
                <w:rFonts w:ascii="Consolas" w:cs="Consolas" w:eastAsia="Consolas" w:hAnsi="Consolas"/>
                <w:color w:val="D6E2F0"/>
                <w:sz w:val="17"/>
                <w:szCs w:val="17"/>
              </w:rPr>
              <w:t xml:space="preserve">├── veritrace/</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store_encrypted.py # EncryptedSQLiteStore (Fernet AES-128 at rest)</w:t>
            </w:r>
          </w:p>
          <w:p>
            <w:pPr>
              <w:shd w:fill="0E1726" w:val="clear"/>
              <w:spacing w:after="0" w:before="0"/>
            </w:pPr>
            <w:r>
              <w:rPr>
                <w:rFonts w:ascii="Consolas" w:cs="Consolas" w:eastAsia="Consolas" w:hAnsi="Consolas"/>
                <w:color w:val="D6E2F0"/>
                <w:sz w:val="17"/>
                <w:szCs w:val="17"/>
              </w:rPr>
              <w:t xml:space="preserve">│   ├── auth.py            # APIKeyRegistry — per-tenant keys, SHA-256 stored</w:t>
            </w:r>
          </w:p>
          <w:p>
            <w:pPr>
              <w:shd w:fill="0E1726" w:val="clear"/>
              <w:spacing w:after="0" w:before="0"/>
            </w:pPr>
            <w:r>
              <w:rPr>
                <w:rFonts w:ascii="Consolas" w:cs="Consolas" w:eastAsia="Consolas" w:hAnsi="Consolas"/>
                <w:color w:val="D6E2F0"/>
                <w:sz w:val="17"/>
                <w:szCs w:val="17"/>
              </w:rPr>
              <w:t xml:space="preserve">│   ├── ratelimit.py       # TokenBucket — per-tenant rate limiting</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 · HITL</w:t>
            </w:r>
          </w:p>
          <w:p>
            <w:pPr>
              <w:shd w:fill="0E1726" w:val="clear"/>
              <w:spacing w:after="0" w:before="0"/>
            </w:pPr>
            <w:r>
              <w:rPr>
                <w:rFonts w:ascii="Consolas" w:cs="Consolas" w:eastAsia="Consolas" w:hAnsi="Consolas"/>
                <w:color w:val="D6E2F0"/>
                <w:sz w:val="17"/>
                <w:szCs w:val="17"/>
              </w:rPr>
              <w:t xml:space="preserve">│   │   ├── isolation.py   # injection heuristics · size limits · scope guards</w:t>
            </w:r>
          </w:p>
          <w:p>
            <w:pPr>
              <w:shd w:fill="0E1726" w:val="clear"/>
              <w:spacing w:after="0" w:before="0"/>
            </w:pPr>
            <w:r>
              <w:rPr>
                <w:rFonts w:ascii="Consolas" w:cs="Consolas" w:eastAsia="Consolas" w:hAnsi="Consolas"/>
                <w:color w:val="D6E2F0"/>
                <w:sz w:val="17"/>
                <w:szCs w:val="17"/>
              </w:rPr>
              <w:t xml:space="preserve">│   │   └── observability.py # call counters · block reasons · p50/p95/p99 latency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with auth + tenant guard + rate limit</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72 passing tests across pipeline, compliance, persistence,</w:t>
            </w:r>
          </w:p>
          <w:p>
            <w:pPr>
              <w:shd w:fill="0E1726" w:val="clear"/>
              <w:spacing w:after="0" w:before="0"/>
            </w:pPr>
            <w:r>
              <w:rPr>
                <w:rFonts w:ascii="Consolas" w:cs="Consolas" w:eastAsia="Consolas" w:hAnsi="Consolas"/>
                <w:color w:val="D6E2F0"/>
                <w:sz w:val="17"/>
                <w:szCs w:val="17"/>
              </w:rPr>
              <w:t xml:space="preserve">│                          # api, auth, encryption, retention, isolation, ratelimit</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extras: anthropic, ollama, api, encrypted,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Veritrace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VERITRACE_DB=veritrace.db uvicorn veritrace.api.app:app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/v1/retention/prune</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Delete traces older than N days (≥180, Article 12 floor)</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DELETE</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/v1/tenant/{id}/traces</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GDPR right-to-erasure (own tenant only)</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(VERITRACE_DB set), traces and the audit chain are stored in a single SQLite file. The server can be restarted, and all traces, chain integrity, and RCA replays survive. This is the minimum a real deployment requires.</w:t>
      </w:r>
    </w:p>
    <w:p>
      <w:pPr>
        <w:pStyle w:val="Heading2"/>
        <w:spacing w:after="100" w:before="280"/>
      </w:pPr>
      <w:r>
        <w:rPr>
          <w:rFonts w:ascii="Arial" w:cs="Arial" w:eastAsia="Arial" w:hAnsi="Arial"/>
          <w:b/>
          <w:bCs/>
          <w:i w:val="false"/>
          <w:iCs w:val="false"/>
          <w:color w:val="0B1220"/>
          <w:sz w:val="25"/>
          <w:szCs w:val="25"/>
        </w:rPr>
        <w:t xml:space="preserve">Multi-Tenant Security</w:t>
      </w:r>
    </w:p>
    <w:p>
      <w:pPr>
        <w:spacing w:after="80" w:before="60"/>
      </w:pPr>
      <w:r>
        <w:rPr>
          <w:rFonts w:ascii="Arial" w:cs="Arial" w:eastAsia="Arial" w:hAnsi="Arial"/>
          <w:b w:val="false"/>
          <w:bCs w:val="false"/>
          <w:i w:val="false"/>
          <w:iCs w:val="false"/>
          <w:color w:val="2A2A2A"/>
          <w:sz w:val="21"/>
          <w:szCs w:val="21"/>
        </w:rPr>
        <w:t xml:space="preserve">Without authentication, the tenant guard on the store is moot: any caller can claim to be any tenant in the request body. The HTTP service ships with API-key-per-tenant authentication. The critical invariant: when authentication is enabled, the tenant is derived from the key, never from the request body. A holder of tenant A's key cannot fetch tenant B's trace by ID, cannot create a trace tagged as tenant B by spoofing the body, and cannot replay tenant B's calls through the RCA endpoints. Tests prove all four attack paths are blocked.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Register keys at startup</w:t>
            </w:r>
          </w:p>
          <w:p>
            <w:pPr>
              <w:shd w:fill="0E1726" w:val="clear"/>
              <w:spacing w:after="0" w:before="0"/>
            </w:pPr>
            <w:r>
              <w:rPr>
                <w:rFonts w:ascii="Consolas" w:cs="Consolas" w:eastAsia="Consolas" w:hAnsi="Consolas"/>
                <w:color w:val="D6E2F0"/>
                <w:sz w:val="17"/>
                <w:szCs w:val="17"/>
              </w:rPr>
              <w:t xml:space="preserve">VERITRACE_API_KEYS='bank:vt_abc...,hospital:vt_def...' \</w:t>
            </w:r>
          </w:p>
          <w:p>
            <w:pPr>
              <w:shd w:fill="0E1726" w:val="clear"/>
              <w:spacing w:after="0" w:before="0"/>
            </w:pPr>
            <w:r>
              <w:rPr>
                <w:rFonts w:ascii="Consolas" w:cs="Consolas" w:eastAsia="Consolas" w:hAnsi="Consolas"/>
                <w:color w:val="D6E2F0"/>
                <w:sz w:val="17"/>
                <w:szCs w:val="17"/>
              </w:rPr>
              <w:t xml:space="preserve">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Bank reads its own trace — 200 OK</w:t>
            </w:r>
          </w:p>
          <w:p>
            <w:pPr>
              <w:shd w:fill="0E1726" w:val="clear"/>
              <w:spacing w:after="0" w:before="0"/>
            </w:pPr>
            <w:r>
              <w:rPr>
                <w:rFonts w:ascii="Consolas" w:cs="Consolas" w:eastAsia="Consolas" w:hAnsi="Consolas"/>
                <w:color w:val="D6E2F0"/>
                <w:sz w:val="17"/>
                <w:szCs w:val="17"/>
              </w:rPr>
              <w:t xml:space="preserve">curl /v1/trace/$ID  -H 'Authorization: Bearer vt_abc...'</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Hospital tries to read bank's trace — 404 (existence not leaked)</w:t>
            </w:r>
          </w:p>
          <w:p>
            <w:pPr>
              <w:shd w:fill="0E1726" w:val="clear"/>
              <w:spacing w:after="0" w:before="0"/>
            </w:pPr>
            <w:r>
              <w:rPr>
                <w:rFonts w:ascii="Consolas" w:cs="Consolas" w:eastAsia="Consolas" w:hAnsi="Consolas"/>
                <w:color w:val="D6E2F0"/>
                <w:sz w:val="17"/>
                <w:szCs w:val="17"/>
              </w:rPr>
              <w:t xml:space="preserve">curl /v1/trace/$ID  -H 'Authorization: Bearer vt_def...'</w:t>
            </w:r>
          </w:p>
        </w:tc>
      </w:tr>
    </w:tbl>
    <w:p>
      <w:pPr>
        <w:spacing w:after="80" w:before="60"/>
      </w:pPr>
      <w:r>
        <w:rPr>
          <w:rFonts w:ascii="Arial" w:cs="Arial" w:eastAsia="Arial" w:hAnsi="Arial"/>
          <w:b w:val="false"/>
          <w:bCs w:val="false"/>
          <w:i w:val="false"/>
          <w:iCs w:val="false"/>
          <w:color w:val="2A2A2A"/>
          <w:sz w:val="21"/>
          <w:szCs w:val="21"/>
        </w:rPr>
        <w:t xml:space="preserve">Keys are stored as SHA-256 hashes, never plaintext, and compared in constant time to prevent timing-based key recovery. Cross-tenant access attempts return 404 rather than 403 — refusing to confirm that the trace id even exists. This is the minimum useful authentication, not the maximum; production deployments would layer JWT tokens with short TTLs, per-key scopes, key rotation, and an audit trail of key issuance. The interface is small enough that any of those can be added without changing the rest of the codebase.</w:t>
      </w:r>
    </w:p>
    <w:p>
      <w:pPr>
        <w:pStyle w:val="Heading2"/>
        <w:spacing w:after="100" w:before="280"/>
      </w:pPr>
      <w:r>
        <w:rPr>
          <w:rFonts w:ascii="Arial" w:cs="Arial" w:eastAsia="Arial" w:hAnsi="Arial"/>
          <w:b/>
          <w:bCs/>
          <w:i w:val="false"/>
          <w:iCs w:val="false"/>
          <w:color w:val="0B1220"/>
          <w:sz w:val="25"/>
          <w:szCs w:val="25"/>
        </w:rPr>
        <w:t xml:space="preserve">Encryption at Rest</w:t>
      </w:r>
    </w:p>
    <w:p>
      <w:pPr>
        <w:spacing w:after="80" w:before="60"/>
      </w:pPr>
      <w:r>
        <w:rPr>
          <w:rFonts w:ascii="Arial" w:cs="Arial" w:eastAsia="Arial" w:hAnsi="Arial"/>
          <w:b w:val="false"/>
          <w:bCs w:val="false"/>
          <w:i w:val="false"/>
          <w:iCs w:val="false"/>
          <w:color w:val="2A2A2A"/>
          <w:sz w:val="21"/>
          <w:szCs w:val="21"/>
        </w:rPr>
        <w:t xml:space="preserve">EncryptedSQLiteStore is a drop-in replacement that encrypts every trace payload and every audit-chain payload with Fernet (AES-128-CBC plus HMAC-SHA256). Indexed columns — call_id, tenant_id, session_id, created_at — remain in plain text so the database can still query them. Sensitive content is ciphertext on disk. The hash chain is computed over the plaintext payload exactly as in the unencrypted store, so verify_chain() works identically — encryption is invisible to the audit semantics.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cryptography.fernet import Fernet</w:t>
            </w:r>
          </w:p>
          <w:p>
            <w:pPr>
              <w:shd w:fill="0E1726" w:val="clear"/>
              <w:spacing w:after="0" w:before="0"/>
            </w:pPr>
            <w:r>
              <w:rPr>
                <w:rFonts w:ascii="Consolas" w:cs="Consolas" w:eastAsia="Consolas" w:hAnsi="Consolas"/>
                <w:color w:val="D6E2F0"/>
                <w:sz w:val="17"/>
                <w:szCs w:val="17"/>
              </w:rPr>
              <w:t xml:space="preserve">from veritrace.store_encrypted import EncryptedSQLiteStore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key = Fernet.generate_key()    # store in AWS Secrets Manager / Vault</w:t>
            </w:r>
          </w:p>
          <w:p>
            <w:pPr>
              <w:shd w:fill="0E1726" w:val="clear"/>
              <w:spacing w:after="0" w:before="0"/>
            </w:pPr>
            <w:r>
              <w:rPr>
                <w:rFonts w:ascii="Consolas" w:cs="Consolas" w:eastAsia="Consolas" w:hAnsi="Consolas"/>
                <w:color w:val="D6E2F0"/>
                <w:sz w:val="17"/>
                <w:szCs w:val="17"/>
              </w:rPr>
              <w:t xml:space="preserve">db  = EncryptedSQLiteStore('veritrace.db', key=key)</w:t>
            </w:r>
          </w:p>
          <w:p>
            <w:pPr>
              <w:shd w:fill="0E1726" w:val="clear"/>
              <w:spacing w:after="0" w:before="0"/>
            </w:pPr>
            <w:r>
              <w:rPr>
                <w:rFonts w:ascii="Consolas" w:cs="Consolas" w:eastAsia="Consolas" w:hAnsi="Consolas"/>
                <w:color w:val="D6E2F0"/>
                <w:sz w:val="17"/>
                <w:szCs w:val="17"/>
              </w:rPr>
              <w:t xml:space="preserve">armor = Veritrace(provider=..., store=db, audit=db)</w:t>
            </w:r>
          </w:p>
        </w:tc>
      </w:tr>
    </w:tbl>
    <w:p>
      <w:pPr>
        <w:spacing w:after="80" w:before="60"/>
      </w:pPr>
      <w:r>
        <w:rPr>
          <w:rFonts w:ascii="Arial" w:cs="Arial" w:eastAsia="Arial" w:hAnsi="Arial"/>
          <w:b w:val="false"/>
          <w:bCs w:val="false"/>
          <w:i w:val="false"/>
          <w:iCs w:val="false"/>
          <w:color w:val="2A2A2A"/>
          <w:sz w:val="21"/>
          <w:szCs w:val="21"/>
        </w:rPr>
        <w:t xml:space="preserve">Verified by direct file inspection: a trace containing the phrase "PATIENT-CONFIDENTIAL-XYZ-9876" is written, the file is closed, and a binary search of the raw SQLite file confirms the plaintext is not present anywhere. A second EncryptedSQLiteStore opened with a different key fails to decrypt and verify_chain() returns False rather than crashing — wrong-key access is a clean rejection, not an exception.</w:t>
      </w:r>
    </w:p>
    <w:p>
      <w:pPr>
        <w:pStyle w:val="Heading2"/>
        <w:spacing w:after="100" w:before="280"/>
      </w:pPr>
      <w:r>
        <w:rPr>
          <w:rFonts w:ascii="Arial" w:cs="Arial" w:eastAsia="Arial" w:hAnsi="Arial"/>
          <w:b/>
          <w:bCs/>
          <w:i w:val="false"/>
          <w:iCs w:val="false"/>
          <w:color w:val="0B1220"/>
          <w:sz w:val="25"/>
          <w:szCs w:val="25"/>
        </w:rPr>
        <w:t xml:space="preserve">Retention &amp; GDPR Erasure</w:t>
      </w:r>
    </w:p>
    <w:p>
      <w:pPr>
        <w:spacing w:after="80" w:before="60"/>
      </w:pPr>
      <w:r>
        <w:rPr>
          <w:rFonts w:ascii="Arial" w:cs="Arial" w:eastAsia="Arial" w:hAnsi="Arial"/>
          <w:b w:val="false"/>
          <w:bCs w:val="false"/>
          <w:i w:val="false"/>
          <w:iCs w:val="false"/>
          <w:color w:val="2A2A2A"/>
          <w:sz w:val="21"/>
          <w:szCs w:val="21"/>
        </w:rPr>
        <w:t xml:space="preserve">EU AI Act Article 12 requires high-risk AI systems to retain activity logs for a minimum of six months. The retention endpoint enforces this floor: requests for windows shorter than 180 days are rejected with a 400 status. GDPR right-to-erasure is implemented as a tenant-scoped delete — trace records for the tenant are removed, while audit-chain payloads are retained to preserve cryptographic integrity (deleting chain links would invalidate every subsequent hash and destroy the audit value). For full chain rotation, the operator performs a controlled procedure outside this endpoint.</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Veritrace.run()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05125"/>
                    </a:xfrm>
                    <a:prstGeom prst="rect">
                      <a:avLst/>
                    </a:prstGeom>
                  </pic:spPr>
                </pic:pic>
              </a:graphicData>
            </a:graphic>
          </wp: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veritrace import Veritrace, Verdict</w:t>
            </w:r>
          </w:p>
          <w:p>
            <w:pPr>
              <w:shd w:fill="0E1726" w:val="clear"/>
              <w:spacing w:after="0" w:before="0"/>
            </w:pPr>
            <w:r>
              <w:rPr>
                <w:rFonts w:ascii="Consolas" w:cs="Consolas" w:eastAsia="Consolas" w:hAnsi="Consolas"/>
                <w:color w:val="D6E2F0"/>
                <w:sz w:val="17"/>
                <w:szCs w:val="17"/>
              </w:rPr>
              <w:t xml:space="preserve">from veritrace.layers import SafetyLayer, ComplianceLayer, HITLLayer, Rule</w:t>
            </w:r>
          </w:p>
          <w:p>
            <w:pPr>
              <w:shd w:fill="0E1726" w:val="clear"/>
              <w:spacing w:after="0" w:before="0"/>
            </w:pPr>
            <w:r>
              <w:rPr>
                <w:rFonts w:ascii="Consolas" w:cs="Consolas" w:eastAsia="Consolas" w:hAnsi="Consolas"/>
                <w:color w:val="D6E2F0"/>
                <w:sz w:val="17"/>
                <w:szCs w:val="17"/>
              </w:rPr>
              <w:t xml:space="preserve">from veritrace.providers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Veritrace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Veritrace(audit=…).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veritrace</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72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VERITRACE_DB=traces.db uvicorn veritrace.api.app:app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Veritrace(provider=AnthropicProvider())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veritrace.store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SQLiteStore('veritrace.db')</w:t>
            </w:r>
          </w:p>
          <w:p>
            <w:pPr>
              <w:shd w:fill="0E1726" w:val="clear"/>
              <w:spacing w:after="0" w:before="0"/>
            </w:pPr>
            <w:r>
              <w:rPr>
                <w:rFonts w:ascii="Consolas" w:cs="Consolas" w:eastAsia="Consolas" w:hAnsi="Consolas"/>
                <w:color w:val="D6E2F0"/>
                <w:sz w:val="17"/>
                <w:szCs w:val="17"/>
              </w:rPr>
              <w:t xml:space="preserve">armor = Veritrace(</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SQLiteStore('veritrace.db')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API-key auth, cross-tenant guard, encryption at rest (Fernet), retention floor + GDPR erasure</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Real isolation: injection heuristics, size limits, scope assertions; per-tenant rate limiting</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Real HITL adapters (Slack/PagerDuty), JWT auth with scopes, OpenTelemetry exporter, ML injection classifier</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Tool-call provenance, constrained action spaces, Postgres backend, multi-tenant SaaS</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anchoring (Ethereum/Hyperledger), QuantumLayer research track</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Veritrace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Veritrace — Any LLM. Any industry. Any scale. Built from production scars; designed for the AI era.</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Veritrace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2026-05-29T14:39:21.711Z</dcterms:created>
  <dcterms:modified xsi:type="dcterms:W3CDTF">2026-05-29T14:39:21.722Z</dcterms:modified>
</cp:coreProperties>
</file>

<file path=docProps/custom.xml><?xml version="1.0" encoding="utf-8"?>
<Properties xmlns="http://schemas.openxmlformats.org/officeDocument/2006/custom-properties" xmlns:vt="http://schemas.openxmlformats.org/officeDocument/2006/docPropsVTypes"/>
</file>