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after="40" w:before="600"/>
      </w:pPr>
      <w:r>
        <w:rPr>
          <w:rFonts w:ascii="Arial" w:cs="Arial" w:eastAsia="Arial" w:hAnsi="Arial"/>
          <w:b/>
          <w:bCs/>
          <w:i w:val="false"/>
          <w:iCs w:val="false"/>
          <w:color w:val="0E7C86"/>
          <w:sz w:val="64"/>
          <w:szCs w:val="64"/>
        </w:rPr>
        <w:t xml:space="preserve">Veritrace</w:t>
      </w:r>
    </w:p>
    <w:p>
      <w:r>
        <w:rPr>
          <w:b/>
        </w:rPr>
        <w:t xml:space="preserve">Current Implementation Status - v0.4 Anchoring + Archive MVP</w:t>
      </w:r>
    </w:p>
    <w:p>
      <w:r>
        <w:t xml:space="preserve">This section is intentionally blunt. The original vision in this document is the target architecture, not a claim that every enterprise-grade control is mature today. Current local validation: python -m pytest -q --tb=no passes with 354 passing, 3 expected xfails, and 2 warnings. A syntax-health test now compiles every Python source file so store.py-style collection failures are caught immediately.</w:t>
      </w:r>
    </w:p>
    <w:p>
      <w:r>
        <w:t xml:space="preserve">What is implemented and tested today: orchestrated pipeline, TraceEvent contract, hash-chain audit, RCA replay/counterfactual basics, context-guarded PII scrubbing, isolation heuristics with classifier hook, SafetyLayer rules, ToolGuardLayer with JSON-schema-style validation, side-effect taxonomy, argument injection scanning, output provenance checks, dangerous tool-chain escalation, Slack HITL with signed callbacks, API-key plus JWT auth, rate limiting, per-tenant usage quotas, fail-open usage/billing webhooks, quota/rate-limit interaction tests, Redis/Postgres backend options, Docker Compose with authenticated 10-minute local load validation, CLI init/validate/redteam, OpenTelemetry layer spans, compliance report helpers, optional real Sepolia anchoring validated on tx 0x8d0d7bd15c377224acee00f397272bab1007c757080f19523cfc66c8461b5d99, encrypted S3 cold archive wrapper with live archive/restore validation, syntax-health checks, concurrency smoke tests, and an admin dashboard skeleton with tenant-scoped config plus explicit super-admin opt-in.</w:t>
      </w:r>
    </w:p>
    <w:p>
      <w:r>
        <w:t xml:space="preserve">What is pilot-ready: low/medium-stakes internal tools, interview demos, controlled agent workflows, local or hosted LLM provider wrapping, Slack approval demos, trace replay, quota demonstrations, and tamper-evidence demonstrations.</w:t>
      </w:r>
    </w:p>
    <w:p>
      <w:r>
        <w:t xml:space="preserve">What still needs hardening before regulated production: adversarial prompt defense beyond heuristics and small classifiers, persistent multi-worker HITL queues in real deployments, SSO/OIDC/RBAC-grade dashboard identity controls, professional red-team coverage beyond the built-in corpus, load/chaos testing, operational runbooks, external security review, mature migrations, durable Stripe/Chargebee-style billing ledgers, production key management for Ethereum/S3 credentials, AWS lifecycle/KMS runbooks, and production-tested Postgres/Redis/OTel deployments.</w:t>
      </w:r>
    </w:p>
    <w:p>
      <w:r>
        <w:t xml:space="preserve">Capability matrix: Provider adapters - implemented; Usage quotas - implemented for call/tool/spend caps plus fail-open webhook, no Stripe/Chargebee ledger; Compliance/PII - implemented with limits; Isolation - implemented but heuristic/classifier-dependent; Safety rules - implemented; ToolGuard - strong MVP, not a sandbox; HITL - Slack plus workflow primitives, persistence depends on backend configuration; Reliability - timeouts/circuit breaker implemented, chaos recovery not proven; Trace/hash chain - implemented; Sepolia anchoring - live testnet tx verified (0x8d0d7bd15c377224acee00f397272bab1007c757080f19523cfc66c8461b5d99), no production key-management story; S3 cold archive - live AWS archive/restore smoke test passed, needs AWS lifecycle/KMS runbooks; RCA - useful for linear and tool traces, not full emergent multi-agent forensics; Observability - metrics and spans implemented, dashboards not battle-tested; Load testing - authenticated local Docker Compose run passed 12,000 requests with 0 errors and 0 HTTP 5xx; still not chaos/SLA testing; Dashboard - tenant-scoped config, Redis-backed throttling, usage page, not SSO/OIDC/RBAC; QuantumLayer - research only, not near-term product.</w:t>
      </w:r>
    </w:p>
    <w:p>
      <w:r>
        <w:t xml:space="preserve">Recommended positioning: trust middleware for AI agents, not bank-grade production trust infrastructure. Use this document as a roadmap plus current technical reference, and keep this status section prominent until the remaining controls are hardened.</w:t>
      </w:r>
    </w:p>
    <w:p>
      <w:r>
        <w:t xml:space="preserve"/>
      </w:r>
    </w:p>
    <w:p>
      <w:pPr>
        <w:spacing w:after="200" w:before="0"/>
      </w:pPr>
      <w:r>
        <w:rPr>
          <w:rFonts w:ascii="Arial" w:cs="Arial" w:eastAsia="Arial" w:hAnsi="Arial"/>
          <w:b w:val="false"/>
          <w:bCs w:val="false"/>
          <w:i/>
          <w:iCs/>
          <w:color w:val="444444"/>
          <w:sz w:val="28"/>
          <w:szCs w:val="28"/>
        </w:rPr>
        <w:t xml:space="preserve">Trust Middleware for AI Agents - Technical Preview</w:t>
      </w:r>
    </w:p>
    <w:p>
      <w:pPr>
        <w:spacing w:after="1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1.0  ·  Phase-1 reference implementation included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Veritrace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Veritrace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Veritrace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1 — The four guarantees Veritrace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Veritrace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Veritrace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Veritrace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Veritrace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Veritrace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ns2:inline distT="0" distB="0" distL="0" distR="0">
            <ns2:extent cx="5715000" cy="66294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15000" cy="66294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Tenant/session scoping with tested boundaries; not a hardened sandbox</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policy gates around the model;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targets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SQLite persistence, context-guarded PII scrubbing, per-session isolation, and basic observability metrics. The full test suite has 25 passing tests.</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veritrace.providers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Veritrace(provider=provider,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ns2:inline distT="0" distB="0" distL="0" distR="0">
            <ns2:extent cx="5715000" cy="39528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15000" cy="395287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veritrace/</w:t>
            </w:r>
          </w:p>
          <w:p>
            <w:pPr>
              <w:shd w:fill="0E1726" w:val="clear"/>
              <w:spacing w:after="0" w:before="0"/>
            </w:pPr>
            <w:r>
              <w:rPr>
                <w:rFonts w:ascii="Consolas" w:cs="Consolas" w:eastAsia="Consolas" w:hAnsi="Consolas"/>
                <w:color w:val="D6E2F0"/>
                <w:sz w:val="17"/>
                <w:szCs w:val="17"/>
              </w:rPr>
              <w:t xml:space="preserve">├── veritrace/</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w:t>
            </w:r>
          </w:p>
          <w:p>
            <w:pPr>
              <w:shd w:fill="0E1726" w:val="clear"/>
              <w:spacing w:after="0" w:before="0"/>
            </w:pPr>
            <w:r>
              <w:rPr>
                <w:rFonts w:ascii="Consolas" w:cs="Consolas" w:eastAsia="Consolas" w:hAnsi="Consolas"/>
                <w:color w:val="D6E2F0"/>
                <w:sz w:val="17"/>
                <w:szCs w:val="17"/>
              </w:rPr>
              <w:t xml:space="preserve">│   │                      # HITL · Isolation · Observability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 HTTP service</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25 passing tests: pipeline + compliance + api + persistence</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optional extras: anthropic, ollama, api,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Veritrace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VERITRACE_DB=veritrace.db uvicorn veritrace.api.app:app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In persistent mode (VERITRACE_DB set), traces and the audit chain are stored in a single SQLite file. The server can be restarted, and all traces, chain integrity, and RCA replays survive. This is the minimum a real deployment requires.</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Veritrace.run()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ns2:inline distT="0" distB="0" distL="0" distR="0">
            <ns2:extent cx="571500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15000" cy="290512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veritrace import Veritrace, Verdict</w:t>
            </w:r>
          </w:p>
          <w:p>
            <w:pPr>
              <w:shd w:fill="0E1726" w:val="clear"/>
              <w:spacing w:after="0" w:before="0"/>
            </w:pPr>
            <w:r>
              <w:rPr>
                <w:rFonts w:ascii="Consolas" w:cs="Consolas" w:eastAsia="Consolas" w:hAnsi="Consolas"/>
                <w:color w:val="D6E2F0"/>
                <w:sz w:val="17"/>
                <w:szCs w:val="17"/>
              </w:rPr>
              <w:t xml:space="preserve">from veritrace.layers import SafetyLayer, ComplianceLayer, HITLLayer, Rule</w:t>
            </w:r>
          </w:p>
          <w:p>
            <w:pPr>
              <w:shd w:fill="0E1726" w:val="clear"/>
              <w:spacing w:after="0" w:before="0"/>
            </w:pPr>
            <w:r>
              <w:rPr>
                <w:rFonts w:ascii="Consolas" w:cs="Consolas" w:eastAsia="Consolas" w:hAnsi="Consolas"/>
                <w:color w:val="D6E2F0"/>
                <w:sz w:val="17"/>
                <w:szCs w:val="17"/>
              </w:rPr>
              <w:t xml:space="preserve">from veritrace.providers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Veritrace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Veritrace(audit=…).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veritrace</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25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VERITRACE_DB=traces.db 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Veritrace(provider=AnthropicProvider())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w:t>
      </w:r>
    </w:p>
    <w:p>
      <w:pPr>
        <w:spacing w:after="80" w:before="60"/>
      </w:pPr>
      <w:r>
        <w:rPr>
          <w:rFonts w:ascii="Arial" w:cs="Arial" w:eastAsia="Arial" w:hAnsi="Arial"/>
          <w:b w:val="false"/>
          <w:bCs w:val="false"/>
          <w:i w:val="false"/>
          <w:iCs w:val="false"/>
          <w:color w:val="2A2A2A"/>
          <w:sz w:val="21"/>
          <w:szCs w:val="21"/>
        </w:rPr>
        <w:t xml:space="preserve">By default, traces live in memory (MemoryStore) and are lost on restart. For any real deployment, SQLiteStore persists both the trace records and the audit hash chain to a single file. The chain head is restored on startup, so verification and RCA continue to work across restarts. SQLiteStore implements both the TraceStore and AuditBackend interfaces, so a single object replaces both in-memory defaults.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veritrace.store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SQLiteStore('veritrace.db')</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SQLiteStore('veritrace.db')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Isolation (session scoping),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Full Compliance (retention/consent), cross-tenant injection guard, encryption at rest</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Interfaces defined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backends (Ethereum, Hyperledger), Grafana dashboards, Postgres store</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Multi-tenant SaaS, Slack/PagerDuty HITL, Redis-backed scale, marketplace listings</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 post-quantum signatures, QRNG tokens, QML provider adapter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 track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Veritrace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Veritrace — Multiple LLM providers. Pilot-ready guardrails. Built toward enterprise use, with hardening work explicit.</w:t>
      </w:r>
    </w:p>
    <w:sectPr>
      <w:footerReference w:type="default" ns5: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Veritrace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2026-05-29T10:41:00.498Z</dcterms:created>
  <dcterms:modified xsi:type="dcterms:W3CDTF">2026-05-29T10:41:00.498Z</dcterms:modified>
</cp:coreProperties>
</file>

<file path=docProps/custom.xml><?xml version="1.0" encoding="utf-8"?>
<Properties xmlns="http://schemas.openxmlformats.org/officeDocument/2006/custom-properties" xmlns:vt="http://schemas.openxmlformats.org/officeDocument/2006/docPropsVTypes"/>
</file>