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480" w:before="0"/>
        <w:jc w:val="center"/>
      </w:pPr>
      <w:r>
        <w:rPr>
          <w:rFonts w:ascii="Arial" w:hAnsi="Arial" w:eastAsia="Arial" w:cs="Arial"/>
          <w:b/>
          <w:i w:val="0"/>
          <w:sz w:val="32"/>
        </w:rPr>
        <w:t>Quantifying the conserved geometry of cell-type identity across mammalian species</w:t>
      </w:r>
    </w:p>
    <w:p>
      <w:pPr>
        <w:spacing w:line="480" w:lineRule="auto" w:after="240" w:before="0"/>
        <w:jc w:val="center"/>
      </w:pPr>
      <w:r>
        <w:rPr>
          <w:rFonts w:ascii="Arial" w:hAnsi="Arial" w:eastAsia="Arial" w:cs="Arial"/>
          <w:b w:val="0"/>
          <w:i/>
          <w:sz w:val="24"/>
        </w:rPr>
        <w:t>Short title: Conserved geometry of cell-type identity across mammals</w:t>
      </w:r>
    </w:p>
    <w:p>
      <w:pPr>
        <w:spacing w:line="480" w:lineRule="auto" w:after="0" w:before="0"/>
        <w:jc w:val="center"/>
      </w:pPr>
      <w:r>
        <w:rPr>
          <w:rFonts w:ascii="Arial" w:hAnsi="Arial" w:eastAsia="Arial" w:cs="Arial"/>
          <w:b w:val="0"/>
          <w:i w:val="0"/>
          <w:sz w:val="24"/>
        </w:rPr>
        <w:t>Sriram Devadas*</w:t>
      </w:r>
    </w:p>
    <w:p>
      <w:pPr>
        <w:spacing w:line="480" w:lineRule="auto" w:after="0" w:before="0"/>
        <w:jc w:val="center"/>
      </w:pPr>
      <w:r>
        <w:rPr>
          <w:rFonts w:ascii="Arial" w:hAnsi="Arial" w:eastAsia="Arial" w:cs="Arial"/>
          <w:b w:val="0"/>
          <w:i w:val="0"/>
          <w:sz w:val="24"/>
        </w:rPr>
        <w:t>Independent Researcher, Acton, MA, USA</w:t>
      </w:r>
    </w:p>
    <w:p>
      <w:pPr>
        <w:spacing w:line="480" w:lineRule="auto" w:after="0" w:before="0"/>
        <w:jc w:val="center"/>
      </w:pPr>
      <w:r>
        <w:rPr>
          <w:rFonts w:ascii="Arial" w:hAnsi="Arial" w:eastAsia="Arial" w:cs="Arial"/>
          <w:b w:val="0"/>
          <w:i w:val="0"/>
          <w:sz w:val="24"/>
        </w:rPr>
        <w:t>*Corresponding author: sriram@sriramdevadas.com</w:t>
      </w:r>
    </w:p>
    <w:p>
      <w:pPr>
        <w:pStyle w:val="Heading1"/>
        <w:spacing w:line="480" w:lineRule="auto" w:after="240" w:before="480"/>
        <w:jc w:val="left"/>
      </w:pPr>
      <w:r>
        <w:rPr>
          <w:rFonts w:ascii="Arial" w:hAnsi="Arial" w:eastAsia="Arial" w:cs="Arial"/>
          <w:b/>
          <w:color w:val="000000"/>
          <w:sz w:val="32"/>
        </w:rPr>
        <w:t>Abstract</w:t>
      </w:r>
    </w:p>
    <w:p>
      <w:pPr>
        <w:spacing w:line="480" w:lineRule="auto" w:after="0" w:before="0"/>
        <w:jc w:val="both"/>
      </w:pPr>
      <w:r>
        <w:rPr>
          <w:rFonts w:ascii="Arial" w:hAnsi="Arial" w:eastAsia="Arial" w:cs="Arial"/>
          <w:b w:val="0"/>
          <w:i w:val="0"/>
          <w:sz w:val="24"/>
        </w:rPr>
        <w:t>Cross-species conservation of cell-type identity is widely assumed, yet whether it has measurable geometric structure separable into distinct conserved components has not been quantified. CellWarp, a Procrustes-based framework, decomposes the geometry of ontology-matched cell-type centroids into the overall configuration (Layer 1) and within-type covariance orientation (Layer 2), asking whether each is conserved as biology or only as a statistic. In human and mouse, the configuration of cell types is geometrically conserved (observed-to-null ratio 0.522; p &lt; 10</w:t>
      </w:r>
      <w:r>
        <w:rPr>
          <w:rFonts w:ascii="Arial" w:hAnsi="Arial" w:eastAsia="Arial" w:cs="Arial"/>
          <w:b w:val="0"/>
          <w:i w:val="0"/>
          <w:sz w:val="24"/>
          <w:vertAlign w:val="superscript"/>
        </w:rPr>
        <w:t>−6</w:t>
      </w:r>
      <w:r>
        <w:rPr>
          <w:rFonts w:ascii="Arial" w:hAnsi="Arial" w:eastAsia="Arial" w:cs="Arial"/>
          <w:b w:val="0"/>
          <w:i w:val="0"/>
          <w:sz w:val="24"/>
        </w:rPr>
        <w:t>; p &lt; 10</w:t>
      </w:r>
      <w:r>
        <w:rPr>
          <w:rFonts w:ascii="Arial" w:hAnsi="Arial" w:eastAsia="Arial" w:cs="Arial"/>
          <w:b w:val="0"/>
          <w:i w:val="0"/>
          <w:sz w:val="24"/>
          <w:vertAlign w:val="superscript"/>
        </w:rPr>
        <w:t>−4</w:t>
      </w:r>
      <w:r>
        <w:rPr>
          <w:rFonts w:ascii="Arial" w:hAnsi="Arial" w:eastAsia="Arial" w:cs="Arial"/>
          <w:b w:val="0"/>
          <w:i w:val="0"/>
          <w:sz w:val="24"/>
        </w:rPr>
        <w:t xml:space="preserve"> in a single-atlas mouse-lemur comparison). This centroid geometry is the conserved, identity-bearing signal: it is carried disproportionately by the most cross-species-conserved genes, enriched for canonical master and identity transcription factors against expression- and specificity-matched backgrounds. This quantifies the cell-identity interpretation, not new biology, and is partly expected since those genes are defined by cross-species correlation. Within-type covariance orientation (Layer 2; p &lt; 10</w:t>
      </w:r>
      <w:r>
        <w:rPr>
          <w:rFonts w:ascii="Arial" w:hAnsi="Arial" w:eastAsia="Arial" w:cs="Arial"/>
          <w:b w:val="0"/>
          <w:i w:val="0"/>
          <w:sz w:val="24"/>
          <w:vertAlign w:val="superscript"/>
        </w:rPr>
        <w:t>−4</w:t>
      </w:r>
      <w:r>
        <w:rPr>
          <w:rFonts w:ascii="Arial" w:hAnsi="Arial" w:eastAsia="Arial" w:cs="Arial"/>
          <w:b w:val="0"/>
          <w:i w:val="0"/>
          <w:sz w:val="24"/>
        </w:rPr>
        <w:t>), by contrast, is conserved only as a statistic, not a shared biological axis: the centroid-optimal transform compresses it, and its leading axis does not replicate across a protocol switch. The global signal reaches significance in four of six cross-atlas tests (obs/null 0.448–0.811); of the two that do not, Andrews (n = 6) is underpowered with comparable effect size, while MCA × HCA (n = 17) is at chance, a microwell-seq artifact rather than low power. A donor-split control shows cross-species divergence exceeds within-individual variation directionally (delta = +0.159, sign-consistent across 100/100 resamples); this is a directional contrast confounded with atlas and protocol (cross arm cross-atlas, within arm single-atlas), not a species effect size. Per-type rankings are precisely estimated within an atlas but do not replicate across atlases, an atlas-resolution limit rather than a resolved biological signal. Separating the genuinely conserved configuration from covariance conserved only as a statistic is the methodological contribution.</w:t>
      </w:r>
    </w:p>
    <w:p>
      <w:pPr>
        <w:spacing w:line="480" w:lineRule="auto" w:after="0" w:before="240"/>
        <w:jc w:val="both"/>
      </w:pPr>
      <w:r>
        <w:rPr>
          <w:rFonts w:ascii="Arial" w:hAnsi="Arial" w:eastAsia="Arial" w:cs="Arial"/>
          <w:b/>
          <w:i w:val="0"/>
          <w:sz w:val="24"/>
        </w:rPr>
        <w:t xml:space="preserve">Keywords: </w:t>
      </w:r>
      <w:r>
        <w:rPr>
          <w:rFonts w:ascii="Arial" w:hAnsi="Arial" w:eastAsia="Arial" w:cs="Arial"/>
          <w:b w:val="0"/>
          <w:i w:val="0"/>
          <w:sz w:val="24"/>
        </w:rPr>
        <w:t>Procrustes analysis, cross-species transcriptomics, cell type evolution, single-cell RNA-seq, covariance conservation, cell type homology</w:t>
      </w:r>
    </w:p>
    <w:p>
      <w:pPr>
        <w:pStyle w:val="Heading1"/>
        <w:spacing w:line="480" w:lineRule="auto" w:after="240" w:before="480"/>
        <w:jc w:val="left"/>
      </w:pPr>
      <w:r>
        <w:rPr>
          <w:rFonts w:ascii="Arial" w:hAnsi="Arial" w:eastAsia="Arial" w:cs="Arial"/>
          <w:b/>
          <w:color w:val="000000"/>
          <w:sz w:val="32"/>
        </w:rPr>
        <w:t>Author Summary</w:t>
      </w:r>
    </w:p>
    <w:p>
      <w:pPr>
        <w:spacing w:line="480" w:lineRule="auto" w:after="0" w:before="0"/>
        <w:jc w:val="both"/>
      </w:pPr>
      <w:r>
        <w:rPr>
          <w:rFonts w:ascii="Arial" w:hAnsi="Arial" w:eastAsia="Arial" w:cs="Arial"/>
          <w:b w:val="0"/>
          <w:i w:val="0"/>
          <w:sz w:val="24"/>
        </w:rPr>
        <w:t>Every type of cell in the body, from liver to immune to muscle cells, carries a characteristic pattern of active genes that places it at a particular position relative to the others. This organization is widely assumed to be shared across animals, yet it has rarely been measured directly. This work asks a geometric question: across mammals separated by tens of millions of years, is the arrangement of cell types preserved, and can that conservation be separated into parts? To find out, I adapted a method from comparative anatomy, the geometry used to compare skull shapes by aligning matching landmarks, and applied it to the average gene-expression profile of each cell type in human, mouse, mouse lemur, and macaque. The arrangement of cell types is conserved, measurably more than chance, though partly expected, since the comparison is limited to genes the two species already share. That signal is carried by the most evolutionarily conserved genes, which are enriched for the master regulators of cell identity. Just as important, the method distinguishes genuinely shared structure from structure that only appears shared, and marks where current atlases cannot yet resolve which cell types have diverged most.</w:t>
      </w:r>
    </w:p>
    <w:p>
      <w:pPr>
        <w:pStyle w:val="Heading1"/>
        <w:spacing w:line="480" w:lineRule="auto" w:after="240" w:before="480"/>
        <w:jc w:val="left"/>
      </w:pPr>
      <w:r>
        <w:rPr>
          <w:rFonts w:ascii="Arial" w:hAnsi="Arial" w:eastAsia="Arial" w:cs="Arial"/>
          <w:b/>
          <w:color w:val="000000"/>
          <w:sz w:val="32"/>
        </w:rPr>
        <w:t>Introduction</w:t>
      </w:r>
    </w:p>
    <w:p>
      <w:pPr>
        <w:spacing w:line="480" w:lineRule="auto" w:after="0" w:before="0"/>
        <w:jc w:val="both"/>
      </w:pPr>
      <w:r>
        <w:rPr>
          <w:rFonts w:ascii="Arial" w:hAnsi="Arial" w:eastAsia="Arial" w:cs="Arial"/>
          <w:b w:val="0"/>
          <w:i w:val="0"/>
          <w:sz w:val="24"/>
        </w:rPr>
        <w:t>Cell types occupy characteristic positions in transcriptomic expression space. Whether this geometry is conserved across species, and whether that conservation can be decomposed into a global configuration plus per-type residual structure, remains unquantified. If the spatial configuration of cell types is maintained across tens of millions of years of mammalian divergence, then cell type identity has a geometric dimension consistent with evolutionary conservation of cell-type expression configurations. Here, that dimension is operationalized as the centroid position and within-type covariance of cell types defined by Cell Ontology label, and the framework measures this conservation as a global property decomposed into these two geometrically distinct components.</w:t>
      </w:r>
    </w:p>
    <w:p>
      <w:pPr>
        <w:spacing w:line="480" w:lineRule="auto" w:after="0" w:before="0"/>
        <w:jc w:val="both"/>
      </w:pPr>
      <w:r>
        <w:rPr>
          <w:rFonts w:ascii="Arial" w:hAnsi="Arial" w:eastAsia="Arial" w:cs="Arial"/>
          <w:b w:val="0"/>
          <w:i w:val="0"/>
          <w:sz w:val="24"/>
        </w:rPr>
        <w:t>Hierarchical tree organization of cell type transcriptomes was reported by Liang et al.[1], who showed that bulk RNA-seq profiles of normal cell types exhibit treeness, a property substantially reduced in cancer cell transcriptomes. This result demonstrated that the geometric structure of cell types carries biological information. It was, however, a within-species analysis conducted in bulk RNA-seq, without the single-cell resolution needed to dissociate individual cell types from tissue composition. Whether the Procrustes-geometric question, relative configuration plus per-type residual displacement, had been examined across species remained open.</w:t>
      </w:r>
    </w:p>
    <w:p>
      <w:pPr>
        <w:spacing w:line="480" w:lineRule="auto" w:after="0" w:before="0"/>
        <w:jc w:val="both"/>
      </w:pPr>
      <w:r>
        <w:rPr>
          <w:rFonts w:ascii="Arial" w:hAnsi="Arial" w:eastAsia="Arial" w:cs="Arial"/>
          <w:b w:val="0"/>
          <w:i w:val="0"/>
          <w:sz w:val="24"/>
        </w:rPr>
        <w:t>This study asks whether the transcriptomic transformation between matched cell types across mammalian species is geometrically coherent: whether the spatial configuration of cell types in expression space is preserved, and whether per-cell-type divergence (the Procrustes residual; higher = more divergent) varies systematically across cell types. The primary analysis pairs human and mouse atlases at the level of 35 matched cell types; macaque and mouse lemur extensions test whether the framework generalizes across different divergence times.</w:t>
      </w:r>
    </w:p>
    <w:p>
      <w:pPr>
        <w:spacing w:line="480" w:lineRule="auto" w:after="0" w:before="0"/>
        <w:jc w:val="both"/>
      </w:pPr>
      <w:r>
        <w:rPr>
          <w:rFonts w:ascii="Arial" w:hAnsi="Arial" w:eastAsia="Arial" w:cs="Arial"/>
          <w:b w:val="0"/>
          <w:i w:val="0"/>
          <w:sz w:val="24"/>
        </w:rPr>
        <w:t>Existing single-cell cross-species methods address cell type matching but none produce per-cell-type residuals quantifying positional preservation. Current approaches[2–11] optimize for cell-level alignment or matching probabilities: SAMap produces cross-species correspondence scores, SATURN and CAMEX produce integrated embeddings, Gromov-Wasserstein-based methods (Species-OT) produce transport probabilities, and foundation-model approaches (TranscriptFormer) produce generative cross-species cell embeddings. None yield a per-type displacement under a global geometric transform. Procrustes superimposition[12] is a central tool of geometric morphometrics, the comparative-anatomy framework for analyzing landmark configurations; it has been applied to single-cell data integration via Procrustes-based methods[13] and to spatial expression patterns[14] but not to cell-type centroids. Procrustes superimposition optimally aligns two point configurations and quantifies per-point residual displacement, providing a natural framework for extracting per-type conservation scores. CellWarp differs in producing a global geometric transform whose residuals quantify per-type positional preservation directly.</w:t>
      </w:r>
    </w:p>
    <w:p>
      <w:pPr>
        <w:spacing w:line="480" w:lineRule="auto" w:after="0" w:before="0"/>
        <w:jc w:val="both"/>
      </w:pPr>
      <w:r>
        <w:rPr>
          <w:rFonts w:ascii="Arial" w:hAnsi="Arial" w:eastAsia="Arial" w:cs="Arial"/>
          <w:b w:val="0"/>
          <w:i w:val="0"/>
          <w:sz w:val="24"/>
        </w:rPr>
        <w:t>This paper presents CellWarp, a geometric morphometrics framework for quantifying cross-species transcriptomic geometry at single-cell resolution. Applying Procrustes superimposition to cell-type centroids across three mammalian species pairs[15] (complementary to phylogenetic frameworks for cross-species single-cell comparison[16]), the analysis reveals geometric coherence at deep mammalian divergence (primary human–mouse p &lt; 10</w:t>
      </w:r>
      <w:r>
        <w:rPr>
          <w:rFonts w:ascii="Arial" w:hAnsi="Arial" w:eastAsia="Arial" w:cs="Arial"/>
          <w:b w:val="0"/>
          <w:i w:val="0"/>
          <w:sz w:val="24"/>
          <w:vertAlign w:val="superscript"/>
        </w:rPr>
        <w:t>−6</w:t>
      </w:r>
      <w:r>
        <w:rPr>
          <w:rFonts w:ascii="Arial" w:hAnsi="Arial" w:eastAsia="Arial" w:cs="Arial"/>
          <w:b w:val="0"/>
          <w:i w:val="0"/>
          <w:sz w:val="24"/>
        </w:rPr>
        <w:t>; human–mouse-lemur p &lt; 10</w:t>
      </w:r>
      <w:r>
        <w:rPr>
          <w:rFonts w:ascii="Arial" w:hAnsi="Arial" w:eastAsia="Arial" w:cs="Arial"/>
          <w:b w:val="0"/>
          <w:i w:val="0"/>
          <w:sz w:val="24"/>
          <w:vertAlign w:val="superscript"/>
        </w:rPr>
        <w:t>−4</w:t>
      </w:r>
      <w:r>
        <w:rPr>
          <w:rFonts w:ascii="Arial" w:hAnsi="Arial" w:eastAsia="Arial" w:cs="Arial"/>
          <w:b w:val="0"/>
          <w:i w:val="0"/>
          <w:sz w:val="24"/>
        </w:rPr>
        <w:t>) with a suggestive, uncorrected third-species signal at shallow divergence (human–macaque p = 0.0043; p ≈ 0.22 after multiple-testing correction, not significant). Within the human–mouse comparison, the result replicates across independent atlases, technologies, and institutions (four of six attempts, one weak). The contribution is methodological and threefold rather than a claim of newly discovered conserved biology. First, CellWarp produces a per-cell-type geometric displacement under a single global Procrustes transform, a quantity existing cross-species methods do not yield. Second, the transform that optimally aligns centroids compresses within-type covariance-ellipsoid alignment (the Krzanowski covariance-subspace alignment statistic S falls from 0.483 to 0.230 in whole-cell data, a protocol-dependent magnitude), so the between-type and within-type aspects of cell identity are conserved through geometrically distinct features rather than a single shared axis. Third, the per-type divergence ranking is precise within an atlas but does not replicate across atlases, an atlas-resolution limit rather than a resolved biological signal. A donor-controlled within-atlas comparison indicates the cross-species signal exceeds within-individual variation, though its cross arm remains cross-atlas rather than protocol-matched.</w:t>
      </w:r>
    </w:p>
    <w:p>
      <w:pPr>
        <w:spacing w:line="480" w:lineRule="auto" w:after="0" w:before="0"/>
        <w:jc w:val="both"/>
      </w:pPr>
      <w:r>
        <w:rPr>
          <w:rFonts w:ascii="Arial" w:hAnsi="Arial" w:eastAsia="Arial" w:cs="Arial"/>
          <w:b w:val="0"/>
          <w:i w:val="0"/>
          <w:sz w:val="24"/>
        </w:rPr>
        <w:t>Three scoping caveats qualify these claims. First, conservation in 1:1 ortholog space is itself conservation-pre-selected: the geometric coherence is a property of cross-species transformations among already-conserved transcripts, not a claim about the full transcriptome. Because matched types are defined by shared marker-based Cell Ontology labels over 1:1 orthologs, some global coherence is expected a priori, so the quantitative questions are its magnitude, its decomposition into distinct geometric layers, and which per-type structure it carries. A parsimonious account is that this coherence reflects shared, evolutionarily conserved identity and housekeeping programs rather than a novel evolutionary constraint. Second, matching by shared Cell Ontology label is an operational, canonical-marker correspondence, not a test of evolutionary homology in the sister-cell-type sense[17], so a matched label may reflect convergent rather than homologous similarity, and for broad parent labels (for example stromal cell, epithelial cell, generic monocyte, or mature NK T cell) it may aggregate subtypes whose cross-species correspondence is not established. Third, the divergence range is sampled at two well-powered points (~90 Mya via mouse, ~75 Mya via mouse lemur) and one weakly-powered point (~25 Mya via macaque), so the conclusion is that geometric coherence holds at deep mammalian divergence and is suggestive at shallow divergence.</w:t>
      </w:r>
    </w:p>
    <w:p>
      <w:pPr>
        <w:spacing w:line="480" w:lineRule="auto" w:after="0" w:before="0"/>
        <w:jc w:val="both"/>
      </w:pPr>
      <w:r>
        <w:rPr>
          <w:rFonts w:ascii="Arial" w:hAnsi="Arial" w:eastAsia="Arial" w:cs="Arial"/>
          <w:b w:val="0"/>
          <w:i w:val="0"/>
          <w:sz w:val="24"/>
        </w:rPr>
        <w:t>In practical terms, CellWarp delivers a calibrated, reproducible measure of global cross-species geometric coherence, together with an explicit boundary on its interpretation: within-type covariance orientation is conserved only as a statistic, and per-type divergence rankings, though precise within an atlas, do not yet replicate across atlases. The usable output is therefore a global coherence statistic and a documented limit on per-type inference, not a resolved map of which individual cell types have diverged most.</w:t>
      </w:r>
    </w:p>
    <w:p>
      <w:pPr>
        <w:pStyle w:val="Heading1"/>
        <w:spacing w:line="480" w:lineRule="auto" w:after="240" w:before="480"/>
        <w:jc w:val="left"/>
      </w:pPr>
      <w:r>
        <w:rPr>
          <w:rFonts w:ascii="Arial" w:hAnsi="Arial" w:eastAsia="Arial" w:cs="Arial"/>
          <w:b/>
          <w:color w:val="000000"/>
          <w:sz w:val="32"/>
        </w:rPr>
        <w:t>Results</w:t>
      </w:r>
    </w:p>
    <w:p>
      <w:pPr>
        <w:pStyle w:val="Heading2"/>
        <w:spacing w:line="480" w:lineRule="auto" w:after="120" w:before="360"/>
        <w:jc w:val="left"/>
      </w:pPr>
      <w:r>
        <w:rPr>
          <w:rFonts w:ascii="Arial" w:hAnsi="Arial" w:eastAsia="Arial" w:cs="Arial"/>
          <w:b/>
          <w:color w:val="000000"/>
          <w:sz w:val="28"/>
        </w:rPr>
        <w:t>1. Cross-species transcriptomic geometry is globally coherent</w:t>
      </w:r>
    </w:p>
    <w:p>
      <w:pPr>
        <w:spacing w:line="480" w:lineRule="auto" w:after="0" w:before="0"/>
        <w:jc w:val="both"/>
      </w:pPr>
      <w:r>
        <w:rPr>
          <w:rFonts w:ascii="Arial" w:hAnsi="Arial" w:eastAsia="Arial" w:cs="Arial"/>
          <w:b w:val="0"/>
          <w:i w:val="0"/>
          <w:sz w:val="24"/>
        </w:rPr>
        <w:t>The spatial configuration of cell types in transcriptomic expression space is preserved across mammalian species: Procrustes superimposition of 35 human–mouse matched cell-type centroids (16,959 shared 1:1 ortholog genes, 33-component PCA, 95.2% variance retained; Figure 1A; Materials and Methods) yields an observed-to-null ratio of 0.522 (Figure 1B; p &lt; 10</w:t>
      </w:r>
      <w:r>
        <w:rPr>
          <w:rFonts w:ascii="Arial" w:hAnsi="Arial" w:eastAsia="Arial" w:cs="Arial"/>
          <w:b w:val="0"/>
          <w:i w:val="0"/>
          <w:sz w:val="24"/>
          <w:vertAlign w:val="superscript"/>
        </w:rPr>
        <w:t>−6</w:t>
      </w:r>
      <w:r>
        <w:rPr>
          <w:rFonts w:ascii="Arial" w:hAnsi="Arial" w:eastAsia="Arial" w:cs="Arial"/>
          <w:b w:val="0"/>
          <w:i w:val="0"/>
          <w:sz w:val="24"/>
        </w:rPr>
        <w:t>, 1,000,000 permutations; lower obs/null indicates stronger coherence). Lineage-level structure is strongly preserved, and per-type correspondence persists within it: a lineage-stratified permutation test, permuting labels only within five lineage blocks, remained significant at obs/null = 0.668 (Figure 1C; p &lt; 10</w:t>
      </w:r>
      <w:r>
        <w:rPr>
          <w:rFonts w:ascii="Arial" w:hAnsi="Arial" w:eastAsia="Arial" w:cs="Arial"/>
          <w:b w:val="0"/>
          <w:i w:val="0"/>
          <w:sz w:val="24"/>
          <w:vertAlign w:val="superscript"/>
        </w:rPr>
        <w:t>−4</w:t>
      </w:r>
      <w:r>
        <w:rPr>
          <w:rFonts w:ascii="Arial" w:hAnsi="Arial" w:eastAsia="Arial" w:cs="Arial"/>
          <w:b w:val="0"/>
          <w:i w:val="0"/>
          <w:sz w:val="24"/>
        </w:rPr>
        <w:t>; carried largely by the immune block), weaker than the global value but still establishing positional precision beyond lineage-level clustering.</w:t>
      </w:r>
    </w:p>
    <w:p>
      <w:pPr>
        <w:spacing w:line="480" w:lineRule="auto" w:after="0" w:before="0"/>
        <w:jc w:val="both"/>
      </w:pPr>
      <w:r>
        <w:rPr>
          <w:rFonts w:ascii="Arial" w:hAnsi="Arial" w:eastAsia="Arial" w:cs="Arial"/>
          <w:b w:val="0"/>
          <w:i w:val="0"/>
          <w:sz w:val="24"/>
        </w:rPr>
        <w:t>This coherence also carries information beyond the marker-based matching that defined the landmarks: the observed configuration outperforms a finer marker-similarity-stratified null (which permutes labels only within expression-similar groups) through clustering granularity K = 14, fading only at K ≥ 15 where the within-group permutation space degenerates to singletons and pairs (Table S10, Figure S8), and the per-type residual is independent of marker-distinctness (how transcriptionally distinct a type's markers are; Spearman ρ = −0.14, p = 0.44). The coherence therefore exceeds the ontology-matched 1:1-ortholog pre-selection, though it is partly expected from it. It is robust to per-gene normalization: under per-gene standardization (z-scoring across centroids, or scanpy-style scaling across cells) the configuration stays coherent (obs/null 0.522 → 0.606 / 0.487) and the per-type ranking is largely preserved (Spearman ρ = 0.54 / 0.76; Table S9), a control distinct from the ribosomal/housekeeping gene-exclusion check (Table S7). This global configuration is the robust, replicable core of the result; the per-type divergence rankings derived from it, by contrast, are precise within an atlas but do not replicate across atlases (§5, §8).</w:t>
      </w:r>
    </w:p>
    <w:p>
      <w:pPr>
        <w:spacing w:line="480" w:lineRule="auto" w:after="0" w:before="0"/>
        <w:jc w:val="both"/>
      </w:pPr>
      <w:r>
        <w:rPr>
          <w:rFonts w:ascii="Arial" w:hAnsi="Arial" w:eastAsia="Arial" w:cs="Arial"/>
          <w:b w:val="0"/>
          <w:i w:val="0"/>
          <w:sz w:val="24"/>
        </w:rPr>
        <w:t>CellWarp was applied to two additional species pairs: human–macaque (~25 Mya divergence, n = 12 types from Qu et al.[18]) and human–mouse-lemur (~75 Mya, n = 15 types; Materials and Methods, Mouse lemur analysis). Both showed geometric coherence (human–macaque p = 0.0043, obs/null = 0.810, significant only before multiple-testing correction; human–mouse-lemur p &lt; 10</w:t>
      </w:r>
      <w:r>
        <w:rPr>
          <w:rFonts w:ascii="Arial" w:hAnsi="Arial" w:eastAsia="Arial" w:cs="Arial"/>
          <w:b w:val="0"/>
          <w:i w:val="0"/>
          <w:sz w:val="24"/>
          <w:vertAlign w:val="superscript"/>
        </w:rPr>
        <w:t>−4</w:t>
      </w:r>
      <w:r>
        <w:rPr>
          <w:rFonts w:ascii="Arial" w:hAnsi="Arial" w:eastAsia="Arial" w:cs="Arial"/>
          <w:b w:val="0"/>
          <w:i w:val="0"/>
          <w:sz w:val="24"/>
        </w:rPr>
        <w:t>, obs/null = 0.346); these observed-to-null ratios are not interpretable as evolutionary distances and are not comparable across species pairs (they are confounded by atlas and tissue composition; §6). The human–mouse-lemur signal held despite the smallest type count (n = 15) and an independent data source (Tabula Microcebus[19]). Geometric coherence is therefore detectable beyond human–mouse, in a single-atlas mouse-lemur comparison and (suggestively) in human–macaque; because obs/null is not comparable across pairs, these results do not define an evolutionary gradient over 25–90 million years[15].</w:t>
      </w:r>
    </w:p>
    <w:p>
      <w:pPr>
        <w:spacing w:line="480" w:lineRule="auto" w:after="0" w:before="0"/>
        <w:jc w:val="both"/>
      </w:pPr>
      <w:r>
        <w:rPr>
          <w:rFonts w:ascii="Arial" w:hAnsi="Arial" w:eastAsia="Arial" w:cs="Arial"/>
          <w:b w:val="0"/>
          <w:i w:val="0"/>
          <w:sz w:val="24"/>
        </w:rPr>
        <w:t>Bootstrap resampling confirmed that the signal was stable to cell sampling. Across 100 iterations with 50% cell subsampling per type per species, the Procrustes distance (the sum of squared displacements between aligned configurations) varied with a coefficient of variation of 0.004 (Figure 1D) (Materials and Methods, Bootstrap robustness). Leave-one-out cross-validation confirmed the predictive stability of the transformation: for each of the 35 cell types, the rotation trained on the remaining 34 predicted the held-out type's position in human expression space better than random pairing (Figure 1E; 35/35; mean error-to-null ratio = 0.42) (Materials and Methods, Leave-one-out cross-validation).</w:t>
      </w:r>
    </w:p>
    <w:p>
      <w:pPr>
        <w:spacing w:line="480" w:lineRule="auto" w:after="0" w:before="0"/>
        <w:jc w:val="both"/>
      </w:pPr>
      <w:r>
        <w:rPr>
          <w:rFonts w:ascii="Arial" w:hAnsi="Arial" w:eastAsia="Arial" w:cs="Arial"/>
          <w:b w:val="0"/>
          <w:i w:val="0"/>
          <w:sz w:val="24"/>
        </w:rPr>
        <w:t>As a direct test of whether joint PCA drives the geometric coherence result, the analysis was repeated using PCA computed independently on each species' centroids, with subspaces aligned via Procrustes on loading matrices (pairing-free). The independent-PCA analysis yielded obs/null = 0.473 (Figure S1A; p &lt; 10</w:t>
      </w:r>
      <w:r>
        <w:rPr>
          <w:rFonts w:ascii="Arial" w:hAnsi="Arial" w:eastAsia="Arial" w:cs="Arial"/>
          <w:b w:val="0"/>
          <w:i w:val="0"/>
          <w:sz w:val="24"/>
          <w:vertAlign w:val="superscript"/>
        </w:rPr>
        <w:t>−6</w:t>
      </w:r>
      <w:r>
        <w:rPr>
          <w:rFonts w:ascii="Arial" w:hAnsi="Arial" w:eastAsia="Arial" w:cs="Arial"/>
          <w:b w:val="0"/>
          <w:i w:val="0"/>
          <w:sz w:val="24"/>
        </w:rPr>
        <w:t>, one million permutations), stronger than joint-PCA's 0.522, ruling out joint-PCA inflation as the source of coherence (an artifact-ruling control, not independent corroboration of the headline; Materials and Methods, Independent PCA sensitivity analysis). The per-type divergence ranking correlation between independent- and joint-PCA was ρ = 0.915 (Figure S1B); only 2 of 35 types shifted more than 10 ranks, and extremes were stable (CD8+ T cell remained rank 35). A Mantel test confirmed that pairwise distance structure among the 35 cell-type centroids is conserved across species without assuming a single linear transformation (Pearson r = 0.789, Spearman ρ = 0.737; both p &lt; 0.001 from 10,000 matrix-label permutations), a consistency check on the Procrustes framework under a weaker geometric assumption rather than an independent validation.</w:t>
      </w:r>
    </w:p>
    <w:p>
      <w:pPr>
        <w:spacing w:line="480" w:lineRule="auto" w:after="0" w:before="0"/>
        <w:jc w:val="both"/>
      </w:pPr>
      <w:r>
        <w:rPr>
          <w:rFonts w:ascii="Arial" w:hAnsi="Arial" w:eastAsia="Arial" w:cs="Arial"/>
          <w:b w:val="0"/>
          <w:i w:val="0"/>
          <w:sz w:val="24"/>
        </w:rPr>
        <w:t>To benchmark the cross-species signal against within-species variation, a within-species tissue-partition control was applied, comparing cell-type geometry across tissue-partition pairs within each species' atlas (24 tissue pairs, mean obs/null = 0.466; Figure S2E; Materials and Methods, Expanded negative controls); 71% of these pairs showed stronger coherence than the cross-species value, indicating the metric is sensitive to tissue-composition structure and not only to cross-species divergence. Because cross-atlas comparisons confound biological variation with protocol heterogeneity (dissected in Discussion), a protocol-controlled within-atlas donor-split design is presented in §3.</w:t>
      </w:r>
    </w:p>
    <w:p>
      <w:pPr>
        <w:pStyle w:val="Heading2"/>
        <w:spacing w:line="480" w:lineRule="auto" w:after="120" w:before="360"/>
        <w:jc w:val="left"/>
      </w:pPr>
      <w:r>
        <w:rPr>
          <w:rFonts w:ascii="Arial" w:hAnsi="Arial" w:eastAsia="Arial" w:cs="Arial"/>
          <w:b/>
          <w:color w:val="000000"/>
          <w:sz w:val="28"/>
        </w:rPr>
        <w:t>2. Conserved master-regulator programs carry the cell-type geometry</w:t>
      </w:r>
    </w:p>
    <w:p>
      <w:pPr>
        <w:spacing w:line="480" w:lineRule="auto" w:after="0" w:before="0"/>
        <w:jc w:val="both"/>
      </w:pPr>
      <w:r>
        <w:rPr>
          <w:rFonts w:ascii="Arial" w:hAnsi="Arial" w:eastAsia="Arial" w:cs="Arial"/>
          <w:b w:val="0"/>
          <w:i w:val="0"/>
          <w:sz w:val="24"/>
        </w:rPr>
        <w:t>Having shown that the cross-species geometry is conserved (§1), the analysis next asked which genes carry it. For each 1:1 ortholog, the cross-species conservation of its cell-type-specificity profile was quantified as the Pearson correlation (C) between the gene's expression across the 35 matched cell-type centroids in human versus mouse (Table S11). Because C is computed directly on centroids and is mean-centered and scale-invariant, it captures conservation of a gene's cell-type-specificity pattern rather than its magnitude, and is not circular with the geometry result: the within-data axis-loading metric (each gene's loading on the between-type axes the Procrustes alignment uses, the procrustes_contribution metric) gives a different ordering (Spearman ρ = 0.27; Materials and Methods, Per-gene cross-species conservation score and master-TF enrichment). C varied continuously across genes with no discrete conserved module (Figure 2A; Table S11) and is therefore reported as a ranked, continuous quantity rather than a thresholded set.</w:t>
      </w:r>
    </w:p>
    <w:p>
      <w:pPr>
        <w:spacing w:line="480" w:lineRule="auto" w:after="0" w:before="0"/>
        <w:jc w:val="both"/>
      </w:pPr>
      <w:r>
        <w:rPr>
          <w:rFonts w:ascii="Arial" w:hAnsi="Arial" w:eastAsia="Arial" w:cs="Arial"/>
          <w:b w:val="0"/>
          <w:i w:val="0"/>
          <w:sz w:val="24"/>
        </w:rPr>
        <w:t>C was not explained by expression level (Spearman ρ = 0.22) and was only marginally correlated with cell-type specificity itself (Spearman ρ = 0.06 against a Tau cell-type-specificity index; Figure 2B). The most-conserved end of C was strongly enriched for canonical lineage-defining ("master") transcription factors: the 73 pre-specified master regulators testable in the ortholog set had a median conservation percentile of 0.94, versus 0.54 for an expression-matched background and 0.76 for a background matched jointly on expression and specificity (p &lt; 10</w:t>
      </w:r>
      <w:r>
        <w:rPr>
          <w:rFonts w:ascii="Arial" w:hAnsi="Arial" w:eastAsia="Arial" w:cs="Arial"/>
          <w:b w:val="0"/>
          <w:i w:val="0"/>
          <w:sz w:val="24"/>
          <w:vertAlign w:val="superscript"/>
        </w:rPr>
        <w:t>−6</w:t>
      </w:r>
      <w:r>
        <w:rPr>
          <w:rFonts w:ascii="Arial" w:hAnsi="Arial" w:eastAsia="Arial" w:cs="Arial"/>
          <w:b w:val="0"/>
          <w:i w:val="0"/>
          <w:sz w:val="24"/>
        </w:rPr>
        <w:t xml:space="preserve"> against both; Figure 2C). The marginal independence from Tau (ρ = 0.06) does not by itself rule out the alternative that cell-type-specific genes are trivially easier to correlate across species; that confound is neutralized by the joint expression-and-specificity-matched background, which raises the comparison baseline from 0.54 to 0.76 and so absorbs roughly half of the naive enrichment. The residual gap of about 0.20 in percentile units, from 0.76 to 0.94, is the conservation-specific master-regulator signal. Under the same joint matching the broader canonical-marker (CellMarker) enrichment attenuates from 1.89-fold to 1.156-fold (p = 0.011) while the transcription-factor enrichment is retained (1.67-fold to 1.47-fold), so the conservation-specific signal is concentrated in the master-regulator/identity-TF program; broad markers attenuate more strongly under joint matching. The master-TF set is enriched collectively, as a group at the conserved end (median percentile 0.94), with individual members spanning the full range of C, including low-expression regulators that are individually noisier (for example ASCL2 falls in the divergent quartile and SPI1 in the intermediate range). Immune and hematopoietic lineages are over-represented in both the 35-type set and the master-TF list, so this enrichment is weighted toward those programs.</w:t>
      </w:r>
    </w:p>
    <w:p>
      <w:pPr>
        <w:spacing w:line="480" w:lineRule="auto" w:after="0" w:before="0"/>
        <w:jc w:val="both"/>
      </w:pPr>
      <w:r>
        <w:rPr>
          <w:rFonts w:ascii="Arial" w:hAnsi="Arial" w:eastAsia="Arial" w:cs="Arial"/>
          <w:b w:val="0"/>
          <w:i w:val="0"/>
          <w:sz w:val="24"/>
        </w:rPr>
        <w:t>To test whether the conserved end of C carries the cross-species geometry rather than merely labeling it, the joint-PCA and Procrustes obs/null was rebuilt on the conserved-C set, on the divergent-C set, and on expression-matched-random gene sets of the same size as the conserved set (Materials and Methods). The conserved set gave obs/null = 0.384, far below both the divergent set (0.709) and the expression-matched-random sets (0.525 ± 0.012 across 20 such sets), placing it more than 11 standard deviations below the matched-random mean. Because the random sets are matched to the conserved set's expression distribution, expression amplitude is held fixed and only conservation status differs, so the conserved set's stronger alignment reflects conservation rather than abundance. As pre-specified, the conserved set's absolute obs/null is partly expected from selection (its genes were chosen for a conserved cross-species pattern), so the informative contrasts are conserved versus divergent and conserved versus expression-matched-random; both favor the conserved set. This links C to the geometry and indicates, with the caveat above, that the conserved cell-type geometry is carried disproportionately by the most cross-species-conserved genes, the set most enriched for master regulators.</w:t>
      </w:r>
    </w:p>
    <w:p>
      <w:pPr>
        <w:spacing w:line="480" w:lineRule="auto" w:after="0" w:before="0"/>
        <w:jc w:val="both"/>
      </w:pPr>
      <w:r>
        <w:rPr>
          <w:rFonts w:ascii="Arial" w:hAnsi="Arial" w:eastAsia="Arial" w:cs="Arial"/>
          <w:b w:val="0"/>
          <w:i w:val="0"/>
          <w:sz w:val="24"/>
        </w:rPr>
        <w:t>The per-gene result was reproducible across resampling, protocol, and re-acquisition. Across 100 random donor splits, in which both donor atlases were partitioned into disjoint halves (Tabula Sapiens into halves of 12 and 12, Tabula Muris Senis into halves of 22 and 22; 200 halves in total), per-gene C agreed between the two halves at Spearman ρ = 0.80 (median), 0.14 below the 0.94 within-donor cell-sampling ceiling and within the pre-specified tolerance of 0.15, and far above the 0.015 gene-shuffle null (Figure 2D); the master-TF enrichment was recovered in all 200 halves and in each sequencing protocol independently (10x and Smart-seq2 percentiles both 0.91). This per-gene-C reproducibility split is a distinct analysis from, and is drawn independently of, the cross-versus-within obs/null donor-split control in §3. These 200 halves are non-independent draws from finite donor pools, most acutely Tabula Sapiens, where 5 of 24 donors contribute about 73% of cells, so they bound sampling reproducibility rather than provide independent replication. As a validity check, a fresh re-acquisition of the cells from CZ CELLxGENE Census recovered the headline conservation (obs/null = 0.521 versus the primary 0.522) and a per-gene C correlated with the deposited C at Spearman ρ = 0.989, above the pre-specified 0.95; this is a reproduction check, not an independent replication. These results are consistent with the core-regulatory-complex expectation[17] that cell-type identity is specified by conserved regulators, with single-cell analyses of conserved versus divergent gene-regulatory programs in the neocortex[20] and with whole-body cross-species regulatory conservation[21], and with formal decompositions of cross-species divergence into identity, covariance, and module components[22]; they are offered as quantification through a geometric-morphometrics lens, not as new biology. The two-layer decomposition reported below (§4; Layer 1 centroid position and Layer 2 covariance orientation) is a geometric decomposition, distinct in kind from latent-variable factorizations of cross-species divergence such as ANTIPODE[22], which infers identity, covariance, and module components as model latents.</w:t>
      </w:r>
    </w:p>
    <w:p>
      <w:pPr>
        <w:spacing w:line="480" w:lineRule="auto" w:after="0" w:before="0"/>
        <w:jc w:val="both"/>
      </w:pPr>
      <w:r>
        <w:rPr>
          <w:rFonts w:ascii="Arial" w:hAnsi="Arial" w:eastAsia="Arial" w:cs="Arial"/>
          <w:b w:val="0"/>
          <w:i w:val="0"/>
          <w:sz w:val="24"/>
        </w:rPr>
        <w:t>Three boundaries apply. First, C is used as a ranked, continuous quantity: its distribution is formally distinguishable from unimodal (Hartigan dip p = 2.8 × 10</w:t>
      </w:r>
      <w:r>
        <w:rPr>
          <w:rFonts w:ascii="Arial" w:hAnsi="Arial" w:eastAsia="Arial" w:cs="Arial"/>
          <w:b w:val="0"/>
          <w:i w:val="0"/>
          <w:sz w:val="24"/>
          <w:vertAlign w:val="superscript"/>
        </w:rPr>
        <w:t>−5</w:t>
      </w:r>
      <w:r>
        <w:rPr>
          <w:rFonts w:ascii="Arial" w:hAnsi="Arial" w:eastAsia="Arial" w:cs="Arial"/>
          <w:b w:val="0"/>
          <w:i w:val="0"/>
          <w:sz w:val="24"/>
        </w:rPr>
        <w:t>) but the dip is negligibly small (D = 0.007), a broad continuum, and the conserved-gene set at any threshold is donor-sensitive (top-quartile Jaccard = 0.58), so no fixed membership list is claimed. Second, this is an attribution of which genes carry the geometry, not a mechanism, as no regulatory data were added. Third, per-gene C attenuates across the protocol switch within this study (cross-protocol Spearman ρ = 0.59 versus 0.80 across donors), so a cross-dataset per-gene replication on an independent human–mouse atlas pair is the single most informative next experiment for the per-gene claim, although the master-TF result itself is protocol-invariant.</w:t>
      </w:r>
    </w:p>
    <w:p>
      <w:pPr>
        <w:pStyle w:val="Heading2"/>
        <w:spacing w:line="480" w:lineRule="auto" w:after="120" w:before="360"/>
        <w:jc w:val="left"/>
      </w:pPr>
      <w:r>
        <w:rPr>
          <w:rFonts w:ascii="Arial" w:hAnsi="Arial" w:eastAsia="Arial" w:cs="Arial"/>
          <w:b/>
          <w:color w:val="000000"/>
          <w:sz w:val="28"/>
        </w:rPr>
        <w:t>3. A donor-split control isolates the cross-species signal from within-species variation</w:t>
      </w:r>
    </w:p>
    <w:p>
      <w:pPr>
        <w:spacing w:line="480" w:lineRule="auto" w:after="0" w:before="0"/>
        <w:jc w:val="both"/>
      </w:pPr>
      <w:r>
        <w:rPr>
          <w:rFonts w:ascii="Arial" w:hAnsi="Arial" w:eastAsia="Arial" w:cs="Arial"/>
          <w:b w:val="0"/>
          <w:i w:val="0"/>
          <w:sz w:val="24"/>
        </w:rPr>
        <w:t>A within-atlas donor-split design was applied to separate cross-species divergence from individual variation. The cross arm compares one Tabula Sapiens donor-half against Tabula Muris Senis (a cross-atlas and cross-species comparison); the within arm compares two non-overlapping Tabula Sapiens donor-halves (within-atlas individual variation). The contrast is therefore cross-(atlas and species) versus within-(atlas and individual) rather than a protocol-matched comparison. The Tabula Sapiens donor pool was partitioned into two non-overlapping groups (100 random balanced splits; Materials and Methods, Donor-split within-species control). For each split, within-species Procrustes (human half 1 vs. human half 2) and cross-species Procrustes (human half 1 vs. mouse) were computed in a shared PCA space (Figure 3E). The coherence hierarchy fell in the order expected if cross-species divergence exceeds within-species individual variation: self-comparison (0.033) &lt; donor-split within-species (median obs/null = 0.375, 95% CI: 0.318–0.423) &lt; cross-species (0.527, 95% CI: 0.485–0.584) &lt; permutation null (1.0). Cross-species divergence consistently exceeded within-species individual variation (delta = +0.159, 95% CI: +0.100–+0.218; sign-consistent across all 100 donor resamples), with non-overlapping 95% CIs. These 100 resamples are non-independent draws from a single 24-donor atlas (Tabula Sapiens), not independent replication; the small, donor-skewed pool likely underestimates population-level individual variation, biasing the delta upward, so the result is reported as a robust direction rather than a calibrated effect size. Because cross-atlas within-species comparisons confound individual variation with protocol heterogeneity (Discussion), this within-atlas donor control is a prerequisite for the individual-variation comparison rather than a supplementary check; confirmation across independent atlases with balanced donor coverage would further strengthen it.</w:t>
      </w:r>
    </w:p>
    <w:p>
      <w:pPr>
        <w:pStyle w:val="Heading2"/>
        <w:spacing w:line="480" w:lineRule="auto" w:after="120" w:before="360"/>
        <w:jc w:val="left"/>
      </w:pPr>
      <w:r>
        <w:rPr>
          <w:rFonts w:ascii="Arial" w:hAnsi="Arial" w:eastAsia="Arial" w:cs="Arial"/>
          <w:b/>
          <w:color w:val="000000"/>
          <w:sz w:val="28"/>
        </w:rPr>
        <w:t>4. Centroid and within-type covariance geometry are conserved through distinct features</w:t>
      </w:r>
    </w:p>
    <w:p>
      <w:pPr>
        <w:spacing w:line="480" w:lineRule="auto" w:after="0" w:before="0"/>
        <w:jc w:val="both"/>
      </w:pPr>
      <w:r>
        <w:rPr>
          <w:rFonts w:ascii="Arial" w:hAnsi="Arial" w:eastAsia="Arial" w:cs="Arial"/>
          <w:b w:val="0"/>
          <w:i w:val="0"/>
          <w:sz w:val="24"/>
        </w:rPr>
        <w:t>The global Procrustes result establishes that cell-type centroids are geometrically coherent across species, but it does not specify which aspects of within-type geometry are conserved alongside centroid position. To characterize the full structure of cross-species conservation, the human–mouse geometric relationship was decomposed into two independently measurable layers: Layer 1 (centroid position, capturing where each cell type sits in expression space relative to all other types) and Layer 2 (covariance ellipsoid orientation, capturing the principal axes of single-cell variation within each type). Layer 1 has already been established as significant by the primary Procrustes test (§1; p &lt; 10</w:t>
      </w:r>
      <w:r>
        <w:rPr>
          <w:rFonts w:ascii="Arial" w:hAnsi="Arial" w:eastAsia="Arial" w:cs="Arial"/>
          <w:b w:val="0"/>
          <w:i w:val="0"/>
          <w:sz w:val="24"/>
          <w:vertAlign w:val="superscript"/>
        </w:rPr>
        <w:t>−6</w:t>
      </w:r>
      <w:r>
        <w:rPr>
          <w:rFonts w:ascii="Arial" w:hAnsi="Arial" w:eastAsia="Arial" w:cs="Arial"/>
          <w:b w:val="0"/>
          <w:i w:val="0"/>
          <w:sz w:val="24"/>
        </w:rPr>
        <w:t>). Layer 2 was tested using the Krzanowski[23] subspace similarity statistic S against a label-shuffle null (Materials and Methods, Two-layer geometric conservation).</w:t>
      </w:r>
    </w:p>
    <w:p>
      <w:pPr>
        <w:spacing w:line="480" w:lineRule="auto" w:after="0" w:before="0"/>
        <w:jc w:val="both"/>
      </w:pPr>
      <w:r>
        <w:rPr>
          <w:rFonts w:ascii="Arial" w:hAnsi="Arial" w:eastAsia="Arial" w:cs="Arial"/>
          <w:b w:val="0"/>
          <w:i w:val="0"/>
          <w:sz w:val="24"/>
        </w:rPr>
        <w:t>Layer 2 alignment, measured as the Krzanowski[23] subspace similarity statistic S at k = 5, was S = 0.483 vs. null mean = 0.375 (Figure 4C; p &lt; 10</w:t>
      </w:r>
      <w:r>
        <w:rPr>
          <w:rFonts w:ascii="Arial" w:hAnsi="Arial" w:eastAsia="Arial" w:cs="Arial"/>
          <w:b w:val="0"/>
          <w:i w:val="0"/>
          <w:sz w:val="24"/>
          <w:vertAlign w:val="superscript"/>
        </w:rPr>
        <w:t>−4</w:t>
      </w:r>
      <w:r>
        <w:rPr>
          <w:rFonts w:ascii="Arial" w:hAnsi="Arial" w:eastAsia="Arial" w:cs="Arial"/>
          <w:b w:val="0"/>
          <w:i w:val="0"/>
          <w:sz w:val="24"/>
        </w:rPr>
        <w:t>, 10,000 permutations), measured without constraint to the Layer 1 alignment.</w:t>
      </w:r>
    </w:p>
    <w:p>
      <w:pPr>
        <w:spacing w:line="480" w:lineRule="auto" w:after="0" w:before="0"/>
        <w:jc w:val="both"/>
      </w:pPr>
      <w:r>
        <w:rPr>
          <w:rFonts w:ascii="Arial" w:hAnsi="Arial" w:eastAsia="Arial" w:cs="Arial"/>
          <w:b w:val="0"/>
          <w:i w:val="0"/>
          <w:sz w:val="24"/>
        </w:rPr>
        <w:t>The two layers carry different geometric information: the centroid-optimal rotation compresses Layer 2 alignment by roughly half (S = 0.483 → 0.230 at k = 5; Figure 4B), and a residual ellipsoid-orientation statistic persists under that rotation (S = 0.230 versus null mean 0.180; margin = 0.050; p &lt; 10</w:t>
      </w:r>
      <w:r>
        <w:rPr>
          <w:rFonts w:ascii="Arial" w:hAnsi="Arial" w:eastAsia="Arial" w:cs="Arial"/>
          <w:b w:val="0"/>
          <w:i w:val="0"/>
          <w:sz w:val="24"/>
          <w:vertAlign w:val="superscript"/>
        </w:rPr>
        <w:t>−4</w:t>
      </w:r>
      <w:r>
        <w:rPr>
          <w:rFonts w:ascii="Arial" w:hAnsi="Arial" w:eastAsia="Arial" w:cs="Arial"/>
          <w:b w:val="0"/>
          <w:i w:val="0"/>
          <w:sz w:val="24"/>
        </w:rPr>
        <w:t>; Figure 4C). That the conserved within-type orientation is not absorbed by the centroid-optimal alignment demonstrates that centroid position and covariance ellipsoid orientation encode distinct geometric information, with the biological content of Layer 2 partially characterized below. Per-type Layer 1 residuals and Layer 2 alignment scores were not significantly correlated (Spearman ρ = −0.266, p = 0.123, n = 35; Figure 4D), consistent with, though not confirming, independence of the two layers at the per-type level. The weak negative correlation suggests that, where coupling exists, it is in the expected direction: types more displaced in centroid position tend to also show weaker ellipsoid alignment.</w:t>
      </w:r>
    </w:p>
    <w:p>
      <w:pPr>
        <w:spacing w:line="480" w:lineRule="auto" w:after="0" w:before="0"/>
        <w:jc w:val="both"/>
      </w:pPr>
      <w:r>
        <w:rPr>
          <w:rFonts w:ascii="Arial" w:hAnsi="Arial" w:eastAsia="Arial" w:cs="Arial"/>
          <w:b w:val="0"/>
          <w:i w:val="0"/>
          <w:sz w:val="24"/>
        </w:rPr>
        <w:t>The leading within-type covariance axis (the first conserved principal component, CPC1; Materials and Methods, Conserved principal component genes; Table S6) is dominated by ribosomal protein genes in 25 of 35 cell types, but this dominance is a property of the unscaled covariance, a weighting effect rather than a biological signal: under per-gene standardization the conserved within-type axis instead resolves to canonical cell-type markers (Scheme B: B cell MS4A1, plasma cell TNFRSF17, hepatocyte APOB, endothelial EMCN, NK NKG7, basal KRT14, smooth muscle RGS5; ribosomal-dominated types collapse from 25/35 to 1/35; Table S9). The load-bearing basis for treating Layer 2 as a conserved statistic rather than a shared biological axis is therefore not "ribosomal = housekeeping" but the cross-protocol non-replication of its driver genes (below). The 10 cell-type-specific cases under the primary weighting are reported in Table S6, with rank-1 drivers spanning secretory (AGR2, SSR4), cytotoxic (PARP8), metabolic (FTH1, NAMPT), and lineage-specialized (CFD, S100A8) programs. A sensitivity analysis excluding ribosomal-protein genes confirms the Layer 2 signal is not carried solely by ribosomes (Materials and Methods, Sensitivity to ribosomal-protein-gene contribution).</w:t>
      </w:r>
    </w:p>
    <w:p>
      <w:pPr>
        <w:spacing w:line="480" w:lineRule="auto" w:after="0" w:before="0"/>
        <w:jc w:val="both"/>
      </w:pPr>
      <w:r>
        <w:rPr>
          <w:rFonts w:ascii="Arial" w:hAnsi="Arial" w:eastAsia="Arial" w:cs="Arial"/>
          <w:b w:val="0"/>
          <w:i w:val="0"/>
          <w:sz w:val="24"/>
        </w:rPr>
        <w:t>Layer 2 was replicated on the PanSci snRNA-seq atlas (16 matched cell types, 17-component joint PCA on the same 16,959-gene ortholog space; Materials and Methods, Layer 2 PanSci replication). Pre-rotation Krzanowski S at k = 5 was 0.396 (null mean 0.302; p &lt; 10</w:t>
      </w:r>
      <w:r>
        <w:rPr>
          <w:rFonts w:ascii="Arial" w:hAnsi="Arial" w:eastAsia="Arial" w:cs="Arial"/>
          <w:b w:val="0"/>
          <w:i w:val="0"/>
          <w:sz w:val="24"/>
          <w:vertAlign w:val="superscript"/>
        </w:rPr>
        <w:t>−4</w:t>
      </w:r>
      <w:r>
        <w:rPr>
          <w:rFonts w:ascii="Arial" w:hAnsi="Arial" w:eastAsia="Arial" w:cs="Arial"/>
          <w:b w:val="0"/>
          <w:i w:val="0"/>
          <w:sz w:val="24"/>
        </w:rPr>
        <w:t>). Under the centroid-optimal Procrustes rotation, post-rotation S at k = 5 was 0.402 (null mean 0.360; p &lt; 10</w:t>
      </w:r>
      <w:r>
        <w:rPr>
          <w:rFonts w:ascii="Arial" w:hAnsi="Arial" w:eastAsia="Arial" w:cs="Arial"/>
          <w:b w:val="0"/>
          <w:i w:val="0"/>
          <w:sz w:val="24"/>
          <w:vertAlign w:val="superscript"/>
        </w:rPr>
        <w:t>−4</w:t>
      </w:r>
      <w:r>
        <w:rPr>
          <w:rFonts w:ascii="Arial" w:hAnsi="Arial" w:eastAsia="Arial" w:cs="Arial"/>
          <w:b w:val="0"/>
          <w:i w:val="0"/>
          <w:sz w:val="24"/>
        </w:rPr>
        <w:t>). The post-rotation result reproduces the Layer 2 statistic under the same conditional framing as the primary analysis. Unlike the primary 10x configuration, the centroid-optimal rotation does not compress Layer 2 alignment in PanSci (post-rotation S = 0.402 vs. pre-rotation S = 0.396 at k = 5, no compression detected), indicating that the geometric relationship between the centroid-optimal R and the within-type ellipsoid axes is dataset-specific. The CPC1 driver classification on PanSci is uniformly cell-type-specific: 0 of 16 types have a ribosomal rank-1 driver (vs 25 of 35 in primary 10x; Table S6, PanSci columns added), with rank-1 drivers including endothelial CALCRL, hepatocyte DPYD, monocyte DOCK2, and lymphoid ARHGAP15 and MBNL1. Because the PanSci Layer 2 analysis is computed against the same Tabula Sapiens human-10x covariance used in the primary analysis, it is a cross-protocol sensitivity test rather than an independent replication of Layer 2. The Krzanowski statistic clears its null in both datasets, but the leading within-type driver genes differ across the protocol switch: ribosomal-dominated in cytoplasmic 10x and cell-type-specific in snRNA-seq, where ribosomal-mRNA capture is suppressed. The conserved quantity is therefore the covariance-orientation statistic, not a single shared set of biological driver genes. Whether cross-species within-type covariance orientation is conserved at all is a question this framework is among the first to pose for single-cell cell-type covariance (comparative quantitative-genetics frameworks for covariance and G-matrix evolution provide antecedents); the honestly-scoped result is that it is conserved as a statistic whose dominant biological axis is protocol-dependent. A Layer 2 test on a fully independent atlas pair (e.g., Sun2023[24]) remains identified as follow-up.</w:t>
      </w:r>
    </w:p>
    <w:p>
      <w:pPr>
        <w:pStyle w:val="Heading2"/>
        <w:spacing w:line="480" w:lineRule="auto" w:after="120" w:before="360"/>
        <w:jc w:val="left"/>
      </w:pPr>
      <w:r>
        <w:rPr>
          <w:rFonts w:ascii="Arial" w:hAnsi="Arial" w:eastAsia="Arial" w:cs="Arial"/>
          <w:b/>
          <w:color w:val="000000"/>
          <w:sz w:val="28"/>
        </w:rPr>
        <w:t>5. Geometric coherence replicates across independent atlases</w:t>
      </w:r>
    </w:p>
    <w:p>
      <w:pPr>
        <w:spacing w:line="480" w:lineRule="auto" w:after="0" w:before="0"/>
        <w:jc w:val="both"/>
      </w:pPr>
      <w:r>
        <w:rPr>
          <w:rFonts w:ascii="Arial" w:hAnsi="Arial" w:eastAsia="Arial" w:cs="Arial"/>
          <w:b w:val="0"/>
          <w:i w:val="0"/>
          <w:sz w:val="24"/>
        </w:rPr>
        <w:t>The core Procrustes coherence result, established in the primary Tabula Sapiens[25] / Tabula Muris Senis[26] analysis (obs/null = 0.522, p &lt; 10</w:t>
      </w:r>
      <w:r>
        <w:rPr>
          <w:rFonts w:ascii="Arial" w:hAnsi="Arial" w:eastAsia="Arial" w:cs="Arial"/>
          <w:b w:val="0"/>
          <w:i w:val="0"/>
          <w:sz w:val="24"/>
          <w:vertAlign w:val="superscript"/>
        </w:rPr>
        <w:t>−6</w:t>
      </w:r>
      <w:r>
        <w:rPr>
          <w:rFonts w:ascii="Arial" w:hAnsi="Arial" w:eastAsia="Arial" w:cs="Arial"/>
          <w:b w:val="0"/>
          <w:i w:val="0"/>
          <w:sz w:val="24"/>
        </w:rPr>
        <w:t>; §1), was tested against three direct replication datasets, each sharing one atlas side with the primary analysis, and one fully independent pooled-heterogeneity replication that shares neither (Materials and Methods, Replication datasets). The Sun et al.[24] mouse atlas (10x Chromium 3′ v3, nine tissues; Figure 3A; n = 15 matched types) yielded obs/null = 0.554, p &lt; 10</w:t>
      </w:r>
      <w:r>
        <w:rPr>
          <w:rFonts w:ascii="Arial" w:hAnsi="Arial" w:eastAsia="Arial" w:cs="Arial"/>
          <w:b w:val="0"/>
          <w:i w:val="0"/>
          <w:sz w:val="24"/>
          <w:vertAlign w:val="superscript"/>
        </w:rPr>
        <w:t>−4</w:t>
      </w:r>
      <w:r>
        <w:rPr>
          <w:rFonts w:ascii="Arial" w:hAnsi="Arial" w:eastAsia="Arial" w:cs="Arial"/>
          <w:b w:val="0"/>
          <w:i w:val="0"/>
          <w:sz w:val="24"/>
        </w:rPr>
        <w:t>. PanSci[27] (EasySci snRNA-seq combinatorial indexing, a sequencing technology independent of both 10x Chromium datasets; Figure 3B; n = 16) yielded obs/null = 0.552, p &lt; 10</w:t>
      </w:r>
      <w:r>
        <w:rPr>
          <w:rFonts w:ascii="Arial" w:hAnsi="Arial" w:eastAsia="Arial" w:cs="Arial"/>
          <w:b w:val="0"/>
          <w:i w:val="0"/>
          <w:sz w:val="24"/>
          <w:vertAlign w:val="superscript"/>
        </w:rPr>
        <w:t>−4</w:t>
      </w:r>
      <w:r>
        <w:rPr>
          <w:rFonts w:ascii="Arial" w:hAnsi="Arial" w:eastAsia="Arial" w:cs="Arial"/>
          <w:b w:val="0"/>
          <w:i w:val="0"/>
          <w:sz w:val="24"/>
        </w:rPr>
        <w:t>. CellHint[28] (a human-side sensitivity check on a harmonized meta-atlas whose centroids derive from cross-atlas harmonization across multiple sources rather than a single independent atlas; 2.87M cells across nine tissues; Figure 3C; n = 15) yielded obs/null = 0.448, p &lt; 10</w:t>
      </w:r>
      <w:r>
        <w:rPr>
          <w:rFonts w:ascii="Arial" w:hAnsi="Arial" w:eastAsia="Arial" w:cs="Arial"/>
          <w:b w:val="0"/>
          <w:i w:val="0"/>
          <w:sz w:val="24"/>
          <w:vertAlign w:val="superscript"/>
        </w:rPr>
        <w:t>−4</w:t>
      </w:r>
      <w:r>
        <w:rPr>
          <w:rFonts w:ascii="Arial" w:hAnsi="Arial" w:eastAsia="Arial" w:cs="Arial"/>
          <w:b w:val="0"/>
          <w:i w:val="0"/>
          <w:sz w:val="24"/>
        </w:rPr>
        <w:t>. Replication on the mouse side (Sun et al., PanSci) and the human side (CellHint) jointly establishes that the coherence signal is not specific to either of the primary reference atlases (Figure 3D).</w:t>
      </w:r>
    </w:p>
    <w:p>
      <w:pPr>
        <w:spacing w:line="480" w:lineRule="auto" w:after="0" w:before="0"/>
        <w:jc w:val="both"/>
      </w:pPr>
      <w:r>
        <w:rPr>
          <w:rFonts w:ascii="Arial" w:hAnsi="Arial" w:eastAsia="Arial" w:cs="Arial"/>
          <w:b w:val="0"/>
          <w:i w:val="0"/>
          <w:sz w:val="24"/>
        </w:rPr>
        <w:t>Sun2023[24], PanSci[27], and CellHint[28] replicate at obs/null = 0.448–0.554 (range comparable to the primary 0.522); a pooled-heterogeneity replication on pooled CZ CELLxGENE Census[29] data (n = 22 shared types) gives a weaker but significant signal (obs/null = 0.811, p &lt; 10</w:t>
      </w:r>
      <w:r>
        <w:rPr>
          <w:rFonts w:ascii="Arial" w:hAnsi="Arial" w:eastAsia="Arial" w:cs="Arial"/>
          <w:b w:val="0"/>
          <w:i w:val="0"/>
          <w:sz w:val="24"/>
          <w:vertAlign w:val="superscript"/>
        </w:rPr>
        <w:t>−4</w:t>
      </w:r>
      <w:r>
        <w:rPr>
          <w:rFonts w:ascii="Arial" w:hAnsi="Arial" w:eastAsia="Arial" w:cs="Arial"/>
          <w:b w:val="0"/>
          <w:i w:val="0"/>
          <w:sz w:val="24"/>
        </w:rPr>
        <w:t>), closer to the failure-threshold range. The Andrews et al.[30] and MCA × HCA non-replications are reported in Figure S2F alongside the four successes (obs/null range 0.448–0.811, all p ≤ 0.0001).</w:t>
      </w:r>
    </w:p>
    <w:p>
      <w:pPr>
        <w:spacing w:line="480" w:lineRule="auto" w:after="0" w:before="0"/>
        <w:jc w:val="both"/>
      </w:pPr>
      <w:r>
        <w:rPr>
          <w:rFonts w:ascii="Arial" w:hAnsi="Arial" w:eastAsia="Arial" w:cs="Arial"/>
          <w:b w:val="0"/>
          <w:i w:val="0"/>
          <w:sz w:val="24"/>
        </w:rPr>
        <w:t>The Andrews et al.[30] liver-specific atlas yielded obs/null = 0.797 (n = 6), p = 0.116; the effect size is comparable to the human–macaque coherence (0.810) but does not reach significance at n = 6, consistent with both reduced statistical power and the framework's multi-tissue requirement. The Mouse Cell Atlas[31] (MCA) × Human Cell Atlas[32] (HCA) aggregated dataset yielded obs/null = 1.003, p = 0.542 (n = 17), attributable to microwell-seq technology mismatch in MCA, which compresses centroid distances below the resolution threshold for geometric coherence. A within-human diagnostic comparing HCA centroids against Tabula Sapiens centroids on a 6-type subset confirmed that human centroid geometry is consistent across independent atlases (HCA × Tabula Sapiens obs/null = 0.728, p = 0.003, n = 6), localizing the failure to MCA. Two non-replications were observed in atlases with distinguishing technical features (single-tissue scope, low sequencing depth; Materials and Methods, Replication diagnostics); these features are reported as candidate explanations (reduced n alone explains much of the variance at n = 6; the multi-tissue requirement is suggested but not formally tested) pending pre-specified replication in future analyses.</w:t>
      </w:r>
    </w:p>
    <w:p>
      <w:pPr>
        <w:spacing w:line="480" w:lineRule="auto" w:after="0" w:before="0"/>
        <w:jc w:val="both"/>
      </w:pPr>
      <w:r>
        <w:rPr>
          <w:rFonts w:ascii="Arial" w:hAnsi="Arial" w:eastAsia="Arial" w:cs="Arial"/>
          <w:b w:val="0"/>
          <w:i w:val="0"/>
          <w:sz w:val="24"/>
        </w:rPr>
        <w:t>The global geometric coherence signal replicates across four atlas pairings (three direct replications plus one pooled-heterogeneity replication). The per-cell-type divergence ranking does not replicate in any of the four tested cases (cross-atlas Spearman ρ = +0.15 [Sun2023]; +0.19 [PanSci]; −0.05 [pan-Census]; −0.139 [CellHint, matched 15-type baseline; declining to −0.042 under fully harmonized ontology and tissue composition, Table S4]); this is reported as a finding about the dataset-dependence of centroid-based residual rankings, not as a framework limitation. The apparent unharmonized CellHint ρ = −0.386 is an analytic artifact of comparing residuals across incompatible PCA subspaces rather than a biological cross-atlas disagreement.</w:t>
      </w:r>
    </w:p>
    <w:p>
      <w:pPr>
        <w:pStyle w:val="Heading2"/>
        <w:spacing w:line="480" w:lineRule="auto" w:after="120" w:before="360"/>
        <w:jc w:val="left"/>
      </w:pPr>
      <w:r>
        <w:rPr>
          <w:rFonts w:ascii="Arial" w:hAnsi="Arial" w:eastAsia="Arial" w:cs="Arial"/>
          <w:b/>
          <w:color w:val="000000"/>
          <w:sz w:val="28"/>
        </w:rPr>
        <w:t>6. Macaque extension: matched-n controls and per-type ranking dependence</w:t>
      </w:r>
    </w:p>
    <w:p>
      <w:pPr>
        <w:spacing w:line="480" w:lineRule="auto" w:after="0" w:before="0"/>
        <w:jc w:val="both"/>
      </w:pPr>
      <w:r>
        <w:rPr>
          <w:rFonts w:ascii="Arial" w:hAnsi="Arial" w:eastAsia="Arial" w:cs="Arial"/>
          <w:b w:val="0"/>
          <w:i w:val="0"/>
          <w:sz w:val="24"/>
        </w:rPr>
        <w:t>To test whether cross-species geometric coherence extends beyond the human–mouse pair, CellWarp was applied to a human–macaque pairwise analysis using cell type centroids from Qu et al.[18] (Materials and Methods, Macaque extension). A three-way human–mouse–macaque ortholog intersection yielded 13,927 genes (82.1% of the 16,959-gene human–mouse space), and 12 cell types were matched between Tabula Sapiens[25] and Qu et al.[18].</w:t>
      </w:r>
    </w:p>
    <w:p>
      <w:pPr>
        <w:spacing w:line="480" w:lineRule="auto" w:after="0" w:before="0"/>
        <w:jc w:val="both"/>
      </w:pPr>
      <w:r>
        <w:rPr>
          <w:rFonts w:ascii="Arial" w:hAnsi="Arial" w:eastAsia="Arial" w:cs="Arial"/>
          <w:b w:val="0"/>
          <w:i w:val="0"/>
          <w:sz w:val="24"/>
        </w:rPr>
        <w:t>Procrustes coherence was detected (Figure 5A; obs/null = 0.810, p = 0.0043, n = 12, 10,000 permutations), though the corrected p-value was 0.22 (k = 52; Table 1, not significant); the result is reported as suggestive at this sample size and as a third-species directional confirmation, not as a separately-confirmatory test. A matched-n human–mouse control on the same 12 cell-type subset was stronger (obs/null = 0.440 vs. 0.810; higher obs/null = weaker coherence), so the macaque signal is materially weaker than human–mouse at matched granularity despite the shallower divergence (~25 vs. ~90 Mya); this weaker signal is most parsimoniously explained by tissue-composition differences in the Qu atlas, particularly the immune subset (Discussion), rather than by genuine cross-species transcriptional divergence. More generally, obs/null magnitudes are not interpretable as evolutionary distances across species pairs: they are confounded by atlas and tissue composition (the macaque/mouse ordering inverts at matched granularity), so the defensible cross-pair statement is that coherence is detectable at three divergence depths, qualitative rather than ordinal.</w:t>
      </w:r>
    </w:p>
    <w:p>
      <w:pPr>
        <w:spacing w:line="480" w:lineRule="auto" w:after="0" w:before="0"/>
        <w:jc w:val="both"/>
      </w:pPr>
      <w:r>
        <w:rPr>
          <w:rFonts w:ascii="Arial" w:hAnsi="Arial" w:eastAsia="Arial" w:cs="Arial"/>
          <w:b w:val="0"/>
          <w:i w:val="0"/>
          <w:sz w:val="24"/>
        </w:rPr>
        <w:t>Excluding the five immune types (B cell, macrophage, monocyte, neutrophil, plasma cell) yielded obs/null = 0.733, p = 0.013 on the residual 7-type non-immune subset (Figure 5B); the matched-n human–mouse control on the same subset stayed stronger (obs/null = 0.485, p = 0.0006), so tissue-composition asymmetry accounts for only part of the macaque–human–mouse gap (Materials and Methods, Macaque extension).</w:t>
      </w:r>
    </w:p>
    <w:p>
      <w:pPr>
        <w:spacing w:line="480" w:lineRule="auto" w:after="0" w:before="0"/>
        <w:jc w:val="both"/>
      </w:pPr>
      <w:r>
        <w:rPr>
          <w:rFonts w:ascii="Arial" w:hAnsi="Arial" w:eastAsia="Arial" w:cs="Arial"/>
          <w:b w:val="0"/>
          <w:i w:val="0"/>
          <w:sz w:val="24"/>
        </w:rPr>
        <w:t>The full per-type divergence ranking did not replicate between species pairs (Spearman ρ = 0.147, p = 0.649, n = 12), consistent with the broader pattern of dataset-dependent per-type rankings observed throughout this work. The parallel human–mouse-lemur comparison shows the same pattern (ρ = 0.157, p = 0.576, n = 15; Materials and Methods, Mouse lemur analysis).</w:t>
      </w:r>
    </w:p>
    <w:p>
      <w:pPr>
        <w:spacing w:line="480" w:lineRule="auto" w:after="0" w:before="0"/>
        <w:jc w:val="both"/>
      </w:pPr>
      <w:r>
        <w:rPr>
          <w:rFonts w:ascii="Arial" w:hAnsi="Arial" w:eastAsia="Arial" w:cs="Arial"/>
          <w:b w:val="0"/>
          <w:i w:val="0"/>
          <w:sz w:val="24"/>
        </w:rPr>
        <w:t>Hepatocyte illustrates this dependence most strikingly: rank 12/12 (most conserved, 2.0% of total sum of squared residuals) in the human–mouse 12-type matched control versus rank 1/12 (most flexible, 47.3% of total sum of squared residuals) in the human–macaque analysis, a complete rank reversal under symmetric preprocessing. One asymmetry remains: unlike the marker-defined human and mouse hepatocytes, the macaque hepatocyte is defined by organ-partitioning the Qu 'Epithelial cell' annotation (Organ = Liver) without marker re-annotation, so it may include non-hepatocyte epithelial cells; the reversal for this type may therefore be partly definitional rather than biological (Figure 5C). The reversal is not macaque-specific: hepatocyte also moves from most-conserved in the primary atlas to the most flexible type in the Sun2023 and CellHint replications (Table S1) and is classified as rank-volatile across atlases. It is therefore an instance of the general cross-atlas non-replication of per-type rankings rather than evidence of macaque-specific hepatocyte divergence.</w:t>
      </w:r>
    </w:p>
    <w:p>
      <w:pPr>
        <w:pStyle w:val="Heading2"/>
        <w:spacing w:line="480" w:lineRule="auto" w:after="120" w:before="360"/>
        <w:jc w:val="left"/>
      </w:pPr>
      <w:r>
        <w:rPr>
          <w:rFonts w:ascii="Arial" w:hAnsi="Arial" w:eastAsia="Arial" w:cs="Arial"/>
          <w:b/>
          <w:color w:val="000000"/>
          <w:sz w:val="28"/>
        </w:rPr>
        <w:t>7. Per-cell-type divergence is precisely estimated but biologically unresolved</w:t>
      </w:r>
    </w:p>
    <w:p>
      <w:pPr>
        <w:spacing w:line="480" w:lineRule="auto" w:after="0" w:before="0"/>
        <w:jc w:val="both"/>
      </w:pPr>
      <w:r>
        <w:rPr>
          <w:rFonts w:ascii="Arial" w:hAnsi="Arial" w:eastAsia="Arial" w:cs="Arial"/>
          <w:b w:val="0"/>
          <w:i w:val="0"/>
          <w:sz w:val="24"/>
        </w:rPr>
        <w:t>Per-type cross-species divergence is quantified throughout as the Procrustes residual (higher = more divergent, lower = more conserved); the per-type ranking orders cell types by residual (rank 1 = most divergent). The following analyses characterize per-cell-type Layer 1 residuals (centroid displacements) within the primary Tabula Sapiens / Tabula Muris Senis atlas pair; Layer 2 per-type alignment is reported in Figure 4A but is not further dissected per type given the n = 35 sample size. These rankings are precisely estimated within an atlas (bootstrap median 95% CI width = 3 ranks) but do not replicate across atlases (§5, §8); results are atlas-specific and exploratory. Of the 35 matched types, 8 are absent from every cross-atlas replication and cross-species extension, and a further 7 appear in only one (Table S1), so per-type conclusions for those 15 types rest on the primary human–mouse pair alone.</w:t>
      </w:r>
    </w:p>
    <w:p>
      <w:pPr>
        <w:spacing w:line="480" w:lineRule="auto" w:after="0" w:before="0"/>
        <w:jc w:val="both"/>
      </w:pPr>
      <w:r>
        <w:rPr>
          <w:rFonts w:ascii="Arial" w:hAnsi="Arial" w:eastAsia="Arial" w:cs="Arial"/>
          <w:b w:val="0"/>
          <w:i w:val="0"/>
          <w:sz w:val="24"/>
        </w:rPr>
        <w:t>Per-cell-type Procrustes residuals ranked across the 35 matched cell types appear continuous and unimodal upon visual inspection (Figure 6A), with no natural separation between conserved and divergent classes. Within this atlas pair (an ordering that does not replicate across atlases), CD8+ T cell (rank 35/35), endothelial cell (rank 33/35), and hepatocyte (rank 32/35) are among the least divergent; stromal cell (rank 1/35), epithelial cell (rank 2/35), and hematopoietic precursor cell (rank 3/35) are among the most divergent. The extremes span immune, structural, metabolic, epithelial, and progenitor categories without obvious lineage, ontogeny, or tissue grouping. The three most-displaced types (stromal cell, epithelial cell, hematopoietic precursor cell) are also the three broadest CL parent labels in the matched set. Because such broad labels are operational marker-based matches rather than homology assertions, their residuals confound cross-species divergence with cross-species differences in subtype composition, which the framework does not separate (Materials and Methods, Data acquisition and cell type selection). Consistent with a composition contribution, the cross-atlas data show that types drawn from fewer tissues exhibit larger ranking shifts across atlases (tissue count vs rank shift ρ = −0.526, p = 0.044, n = 15; Table S3). Per-type 1:1-ortholog retention of marker genes does not account for the ranking: marker-ortholog retention was not significantly associated with per-type divergence (CellMarker markers ρ = +0.31, p = 0.09, n = 32; canonical markers ρ = −0.06, NS; Table S8), though the canonical marker sets are too sparse to fully exclude it. Both observations are consistent with per-type divergence being sensitive to the joint distribution of annotation granularity and tissue coverage across the atlas pair. The three least-divergent types (CD8+ T cell, endothelial cell, and hepatocyte) are also among the most consistently sampled across tissues in both atlases, so their low divergence reflects shared tissue distribution in addition to (or partially confounded with) cross-species transcriptional conservation. A post-hoc enrichment check found the overall 500-gene identity set (the top 500 genes by centroid variance) significantly enriched for CellMarker 2.0[33] canonical markers (4.49-fold, p = 2.10 × 10</w:t>
      </w:r>
      <w:r>
        <w:rPr>
          <w:rFonts w:ascii="Arial" w:hAnsi="Arial" w:eastAsia="Arial" w:cs="Arial"/>
          <w:b w:val="0"/>
          <w:i w:val="0"/>
          <w:sz w:val="24"/>
          <w:vertAlign w:val="superscript"/>
        </w:rPr>
        <w:t>−13</w:t>
      </w:r>
      <w:r>
        <w:rPr>
          <w:rFonts w:ascii="Arial" w:hAnsi="Arial" w:eastAsia="Arial" w:cs="Arial"/>
          <w:b w:val="0"/>
          <w:i w:val="0"/>
          <w:sz w:val="24"/>
        </w:rPr>
        <w:t>). The per-cell-type test, on each type's top 50 centroid-deviation genes, passed in 5 of 6 tested types under CellMarker; the sixth, CD4+ T cell, is sparsely annotated in CellMarker, and against the held-out Human Protein Atlas[34] (HPA) reference all six types passed, CD4+ T cell included (Figure S6; Materials and Methods, CellMarker identity gene set comparison).</w:t>
      </w:r>
    </w:p>
    <w:p>
      <w:pPr>
        <w:spacing w:line="480" w:lineRule="auto" w:after="0" w:before="0"/>
        <w:jc w:val="both"/>
      </w:pPr>
      <w:r>
        <w:rPr>
          <w:rFonts w:ascii="Arial" w:hAnsi="Arial" w:eastAsia="Arial" w:cs="Arial"/>
          <w:b w:val="0"/>
          <w:i w:val="0"/>
          <w:sz w:val="24"/>
        </w:rPr>
        <w:t>Although the residual genes themselves are biologically interpretable, the per-type divergence ranking they produce resists biological explanation. Per-type cell count was uncorrelated with the Procrustes residual (Spearman ρ = 0.052, p = 0.768, n = 35; Figure 6B), ruling out the prediction that cell types with more cells yield more stable centroids. Of 15 biological-feature correlates tested against the Procrustes residual (full table in Table S1), only progenitor/stem cell status reached significance (ρ = 0.43, p = 0.01); the progenitor effect was pre-specified to be confirmed under the 10x-only protocol-homogeneous subset (Methods), and under that subset, p = 0.119. The effect is reported as a trend pending replication in a protocol-homogeneous atlas. Multivariate models (elastic net, random forest) fail to predict the residual (LOO-CV R[2] &lt; 0 for both), reflecting overfitting at n = 35 with 15 predictors. The per-type divergence ranking is robust to gene-subset sampling: computed on a small landmark set (907 L1000[35] genes, 5.3% of the ortholog space), the ranking correlated with the full-space ranking at ρ = 0.852 (Figure 7A; empirical p = 0.031 against random same-size subsets). SAMap correspondence scores did not significantly correlate with CellWarp Procrustes residuals (a weak, non-significant inverse trend; ρ = −0.247, p = 0.153; Figure S5), consistent with the two frameworks tracking different biological properties; CellHint cross-atlas rankings similarly did not correlate at any harmonization level (matched 15-type baseline ρ = −0.139; fully harmonized ρ = −0.042 at n = 12; Table S4), one component of the broader cross-atlas instability of per-type rankings. The biological basis of per-type divergence ranking remains an open question and is not advanced here.</w:t>
      </w:r>
    </w:p>
    <w:p>
      <w:pPr>
        <w:pStyle w:val="Heading2"/>
        <w:spacing w:line="480" w:lineRule="auto" w:after="120" w:before="360"/>
        <w:jc w:val="left"/>
      </w:pPr>
      <w:r>
        <w:rPr>
          <w:rFonts w:ascii="Arial" w:hAnsi="Arial" w:eastAsia="Arial" w:cs="Arial"/>
          <w:b/>
          <w:color w:val="000000"/>
          <w:sz w:val="28"/>
        </w:rPr>
        <w:t>8. Simulation characterizes pipeline power and ranking behavior</w:t>
      </w:r>
    </w:p>
    <w:p>
      <w:pPr>
        <w:spacing w:line="480" w:lineRule="auto" w:after="0" w:before="0"/>
        <w:jc w:val="both"/>
      </w:pPr>
      <w:r>
        <w:rPr>
          <w:rFonts w:ascii="Arial" w:hAnsi="Arial" w:eastAsia="Arial" w:cs="Arial"/>
          <w:b w:val="0"/>
          <w:i w:val="0"/>
          <w:sz w:val="24"/>
        </w:rPr>
        <w:t>A simulation study was conducted to characterize the CellWarp pipeline's statistical properties (Materials and Methods, Simulation study). The global coherence test achieves 100% detection power at the calibrated observed signal strength across all type counts tested (n = 15, 25, 35; Figure S1C), with the permutation null well-calibrated (false positive rate = 4.8% at α = 0.05; Figure S1F); pipeline-induced false significance is not a concern. The mouse lemur extension (n = 15) operates within the tested range; the macaque extension (n = 12) operates just below it, suggesting it is unlikely to be power-limited at the observed signal strengths. Per-type ranking recovery, in contrast, saturates near ρ ≈ 0.42 in the calibrated signal regime (a regime-specific plateau, not a universal ceiling), regardless of cell count per type (Figure S1D, Table S2); within this regime, cell-count increases cannot lift recovery further. Within-atlas test-retest is near-perfect (ρ = 0.994 at 200 cells/type; Figure S1E), but this measures pipeline reliability (test-retest reproduces the same pipeline output) rather than accuracy against ground truth. The observed cross-atlas ranking instability (ρ ≈ 0.15) is therefore not attributable to centroid sampling noise specifically; atlas composition differences and protocol heterogeneity remain the operative explanations. Increasing cells per type will not address these sources of variation; harmonized multi-atlas studies are needed (Table S2).</w:t>
      </w:r>
    </w:p>
    <w:p>
      <w:pPr>
        <w:spacing w:line="480" w:lineRule="auto" w:after="0" w:before="0"/>
        <w:jc w:val="both"/>
      </w:pPr>
      <w:r>
        <w:rPr>
          <w:rFonts w:ascii="Arial" w:hAnsi="Arial" w:eastAsia="Arial" w:cs="Arial"/>
          <w:b w:val="0"/>
          <w:i w:val="0"/>
          <w:sz w:val="24"/>
        </w:rPr>
        <w:t>Bootstrap resampling confirmed within-atlas ranking precision: all 35 types were classified as stable (CI width ≤ 10), with a median 95% CI width of 3 ranks and a maximum of 7 (Figure S3A; Table S2). A within-atlas / cross-atlas inversion is visible across all 20 cross-atlas-comparable types: bootstrap CI width vs. mean cross-atlas rank shift correlated at ρ = −0.410 (p = 0.073, n = 20; Figure S3B), with types most precisely ranked within an atlas showing the largest rank shifts across atlases, consistent with extreme rankings being atlas-composition-dependent rather than biologically conserved. The per-type divergence ranking is therefore precisely estimated within an atlas yet biologically unattributable across atlases, the boundary that scopes the per-type interpretation throughout.</w:t>
      </w:r>
    </w:p>
    <w:p>
      <w:pPr>
        <w:sectPr>
          <w:footerReference w:type="default" r:id="rId9"/>
          <w:pgSz w:w="12240" w:h="15840"/>
          <w:pgMar w:top="1440" w:right="1440" w:bottom="1440" w:left="1440" w:header="720" w:footer="720" w:gutter="0"/>
          <w:cols w:space="720"/>
          <w:docGrid w:linePitch="360"/>
          <w:lnNumType w:countBy="1" w:restart="continuous"/>
        </w:sectPr>
      </w:pPr>
    </w:p>
    <w:p>
      <w:pPr>
        <w:spacing w:line="480" w:lineRule="auto" w:after="0" w:before="0"/>
        <w:jc w:val="both"/>
      </w:pPr>
      <w:r>
        <w:rPr>
          <w:rFonts w:ascii="Arial" w:hAnsi="Arial" w:eastAsia="Arial" w:cs="Arial"/>
          <w:b w:val="0"/>
          <w:i w:val="0"/>
          <w:sz w:val="24"/>
        </w:rPr>
        <w:t>Table 1. Inventory of the principal inferential tests (k = 52), with 9 descriptive, aggregate, or diagnostic tests also listed but excluded from the multiple-testing family, related to all figures. Each test is classified as confirmatory or exploratory, with raw p-values and Bonferroni-corrected p-values (k = 52 inferential tests; 9 descriptive/exploratory tests are excluded from the multiple-testing denominator). Test categories span global coherence, multi-species extension, replication, two-layer decomposition, ranking validation, donor-split control, and mechanistic nulls. Diagnostic rows (T63–T65) and aggregate-statistic rows (T03, T04, T09, T10, T18, T62) are excluded from the inferential denominator (k = 52 = 61 total − 9 excluded). Effect-size scales differ by statistic: obs/null &lt; 1 indicates coherence (lower = stronger); Spearman ρ ∈ [−1, +1]; Krzanowski S ∈ [0, 1]; delta expressed in obs/null units. The single-family Bonferroni correction across all 52 inventoried inferential tests is a deliberate choice of maximal conservatism; no subfamily partitioning is applied within the inventory. The pre-specified per-gene conservation module (§2 master-TF enrichment; Materials and Methods) is evaluated as a separate family against its own matched-null thresholds, outside this k = 52 inventory; its enrichment p-values (&lt; 10</w:t>
      </w:r>
      <w:r>
        <w:rPr>
          <w:rFonts w:ascii="Arial" w:hAnsi="Arial" w:eastAsia="Arial" w:cs="Arial"/>
          <w:b w:val="0"/>
          <w:i w:val="0"/>
          <w:sz w:val="24"/>
          <w:vertAlign w:val="superscript"/>
        </w:rPr>
        <w:t>−6</w:t>
      </w:r>
      <w:r>
        <w:rPr>
          <w:rFonts w:ascii="Arial" w:hAnsi="Arial" w:eastAsia="Arial" w:cs="Arial"/>
          <w:b w:val="0"/>
          <w:i w:val="0"/>
          <w:sz w:val="24"/>
        </w:rPr>
        <w:t>) survive any correction. Status denotes design status (pre-specified vs post-hoc), not confirmed outcome.</w:t>
      </w:r>
    </w:p>
    <w:tbl>
      <w:tblPr>
        <w:tblStyle w:val="TableGrid"/>
        <w:tblW w:type="auto" w:w="0"/>
        <w:jc w:val="center"/>
        <w:tblLayout w:type="fixed"/>
        <w:tblLook w:firstColumn="1" w:firstRow="1" w:lastColumn="0" w:lastRow="0" w:noHBand="0" w:noVBand="1" w:val="04A0"/>
      </w:tblPr>
      <w:tblGrid>
        <w:gridCol w:w="1244"/>
        <w:gridCol w:w="1244"/>
        <w:gridCol w:w="1244"/>
        <w:gridCol w:w="1244"/>
        <w:gridCol w:w="1244"/>
        <w:gridCol w:w="1244"/>
        <w:gridCol w:w="1244"/>
        <w:gridCol w:w="1244"/>
        <w:gridCol w:w="1244"/>
        <w:gridCol w:w="1244"/>
        <w:gridCol w:w="1244"/>
      </w:tblGrid>
      <w:tr>
        <w:tc>
          <w:tcPr>
            <w:tcW w:type="dxa" w:w="378"/>
          </w:tcPr>
          <w:p>
            <w:pPr>
              <w:spacing w:line="240" w:lineRule="auto" w:after="40" w:before="40"/>
            </w:pPr>
            <w:r>
              <w:rPr>
                <w:rFonts w:ascii="Arial" w:hAnsi="Arial" w:eastAsia="Arial" w:cs="Arial"/>
                <w:b/>
                <w:i w:val="0"/>
                <w:sz w:val="18"/>
              </w:rPr>
              <w:t>ID</w:t>
            </w:r>
          </w:p>
        </w:tc>
        <w:tc>
          <w:tcPr>
            <w:tcW w:type="dxa" w:w="1135"/>
          </w:tcPr>
          <w:p>
            <w:pPr>
              <w:spacing w:line="240" w:lineRule="auto" w:after="40" w:before="40"/>
            </w:pPr>
            <w:r>
              <w:rPr>
                <w:rFonts w:ascii="Arial" w:hAnsi="Arial" w:eastAsia="Arial" w:cs="Arial"/>
                <w:b/>
                <w:i w:val="0"/>
                <w:sz w:val="18"/>
              </w:rPr>
              <w:t>Category</w:t>
            </w:r>
          </w:p>
        </w:tc>
        <w:tc>
          <w:tcPr>
            <w:tcW w:type="dxa" w:w="4539"/>
          </w:tcPr>
          <w:p>
            <w:pPr>
              <w:spacing w:line="240" w:lineRule="auto" w:after="40" w:before="40"/>
            </w:pPr>
            <w:r>
              <w:rPr>
                <w:rFonts w:ascii="Arial" w:hAnsi="Arial" w:eastAsia="Arial" w:cs="Arial"/>
                <w:b/>
                <w:i w:val="0"/>
                <w:sz w:val="18"/>
              </w:rPr>
              <w:t>Description</w:t>
            </w:r>
          </w:p>
        </w:tc>
        <w:tc>
          <w:tcPr>
            <w:tcW w:type="dxa" w:w="1513"/>
          </w:tcPr>
          <w:p>
            <w:pPr>
              <w:spacing w:line="240" w:lineRule="auto" w:after="40" w:before="40"/>
            </w:pPr>
            <w:r>
              <w:rPr>
                <w:rFonts w:ascii="Arial" w:hAnsi="Arial" w:eastAsia="Arial" w:cs="Arial"/>
                <w:b/>
                <w:i w:val="0"/>
                <w:sz w:val="18"/>
              </w:rPr>
              <w:t>Test Type</w:t>
            </w:r>
          </w:p>
        </w:tc>
        <w:tc>
          <w:tcPr>
            <w:tcW w:type="dxa" w:w="441"/>
          </w:tcPr>
          <w:p>
            <w:pPr>
              <w:spacing w:line="240" w:lineRule="auto" w:after="40" w:before="40"/>
            </w:pPr>
            <w:r>
              <w:rPr>
                <w:rFonts w:ascii="Arial" w:hAnsi="Arial" w:eastAsia="Arial" w:cs="Arial"/>
                <w:b/>
                <w:i w:val="0"/>
                <w:sz w:val="18"/>
              </w:rPr>
              <w:t>n</w:t>
            </w:r>
          </w:p>
        </w:tc>
        <w:tc>
          <w:tcPr>
            <w:tcW w:type="dxa" w:w="693"/>
          </w:tcPr>
          <w:p>
            <w:pPr>
              <w:spacing w:line="240" w:lineRule="auto" w:after="40" w:before="40"/>
            </w:pPr>
            <w:r>
              <w:rPr>
                <w:rFonts w:ascii="Arial" w:hAnsi="Arial" w:eastAsia="Arial" w:cs="Arial"/>
                <w:b/>
                <w:i w:val="0"/>
                <w:sz w:val="18"/>
              </w:rPr>
              <w:t>Statistic</w:t>
            </w:r>
          </w:p>
        </w:tc>
        <w:tc>
          <w:tcPr>
            <w:tcW w:type="dxa" w:w="693"/>
          </w:tcPr>
          <w:p>
            <w:pPr>
              <w:spacing w:line="240" w:lineRule="auto" w:after="40" w:before="40"/>
            </w:pPr>
            <w:r>
              <w:rPr>
                <w:rFonts w:ascii="Arial" w:hAnsi="Arial" w:eastAsia="Arial" w:cs="Arial"/>
                <w:b/>
                <w:i w:val="0"/>
                <w:sz w:val="18"/>
              </w:rPr>
              <w:t>Value</w:t>
            </w:r>
          </w:p>
        </w:tc>
        <w:tc>
          <w:tcPr>
            <w:tcW w:type="dxa" w:w="820"/>
          </w:tcPr>
          <w:p>
            <w:pPr>
              <w:spacing w:line="240" w:lineRule="auto" w:after="40" w:before="40"/>
            </w:pPr>
            <w:r>
              <w:rPr>
                <w:rFonts w:ascii="Arial" w:hAnsi="Arial" w:eastAsia="Arial" w:cs="Arial"/>
                <w:b/>
                <w:i w:val="0"/>
                <w:sz w:val="18"/>
              </w:rPr>
              <w:t>Raw p</w:t>
            </w:r>
          </w:p>
        </w:tc>
        <w:tc>
          <w:tcPr>
            <w:tcW w:type="dxa" w:w="883"/>
          </w:tcPr>
          <w:p>
            <w:pPr>
              <w:spacing w:line="240" w:lineRule="auto" w:after="40" w:before="40"/>
            </w:pPr>
            <w:r>
              <w:rPr>
                <w:rFonts w:ascii="Arial" w:hAnsi="Arial" w:eastAsia="Arial" w:cs="Arial"/>
                <w:b/>
                <w:i w:val="0"/>
                <w:sz w:val="18"/>
              </w:rPr>
              <w:t>Bonferroni p (k=52)</w:t>
            </w:r>
          </w:p>
        </w:tc>
        <w:tc>
          <w:tcPr>
            <w:tcW w:type="dxa" w:w="1702"/>
          </w:tcPr>
          <w:p>
            <w:pPr>
              <w:spacing w:line="240" w:lineRule="auto" w:after="40" w:before="40"/>
            </w:pPr>
            <w:r>
              <w:rPr>
                <w:rFonts w:ascii="Arial" w:hAnsi="Arial" w:eastAsia="Arial" w:cs="Arial"/>
                <w:b/>
                <w:i w:val="0"/>
                <w:sz w:val="18"/>
              </w:rPr>
              <w:t>Status</w:t>
            </w:r>
          </w:p>
        </w:tc>
        <w:tc>
          <w:tcPr>
            <w:tcW w:type="dxa" w:w="883"/>
          </w:tcPr>
          <w:p>
            <w:pPr>
              <w:spacing w:line="240" w:lineRule="auto" w:after="40" w:before="40"/>
            </w:pPr>
            <w:r>
              <w:rPr>
                <w:rFonts w:ascii="Arial" w:hAnsi="Arial" w:eastAsia="Arial" w:cs="Arial"/>
                <w:b/>
                <w:i w:val="0"/>
                <w:sz w:val="18"/>
              </w:rPr>
              <w:t>Figure/Table</w:t>
            </w:r>
          </w:p>
        </w:tc>
      </w:tr>
      <w:tr>
        <w:tc>
          <w:tcPr>
            <w:tcW w:type="dxa" w:w="378"/>
          </w:tcPr>
          <w:p>
            <w:pPr>
              <w:spacing w:line="240" w:lineRule="auto" w:after="40" w:before="40"/>
            </w:pPr>
            <w:r>
              <w:rPr>
                <w:rFonts w:ascii="Arial" w:hAnsi="Arial" w:eastAsia="Arial" w:cs="Arial"/>
                <w:b w:val="0"/>
                <w:i w:val="0"/>
                <w:sz w:val="18"/>
              </w:rPr>
              <w:t>T01</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Primary Procrustes coherence (human-mouse, 35 types, 1M perms)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0.522</w:t>
            </w:r>
          </w:p>
        </w:tc>
        <w:tc>
          <w:tcPr>
            <w:tcW w:type="dxa" w:w="820"/>
          </w:tcPr>
          <w:p>
            <w:pPr>
              <w:spacing w:line="240" w:lineRule="auto" w:after="40" w:before="40"/>
            </w:pPr>
            <w:r>
              <w:rPr>
                <w:rFonts w:ascii="Arial" w:hAnsi="Arial" w:eastAsia="Arial" w:cs="Arial"/>
                <w:b w:val="0"/>
                <w:i w:val="0"/>
                <w:sz w:val="18"/>
              </w:rPr>
              <w:t>&lt; 1e-6</w:t>
            </w:r>
          </w:p>
        </w:tc>
        <w:tc>
          <w:tcPr>
            <w:tcW w:type="dxa" w:w="883"/>
          </w:tcPr>
          <w:p>
            <w:pPr>
              <w:spacing w:line="240" w:lineRule="auto" w:after="40" w:before="40"/>
            </w:pPr>
            <w:r>
              <w:rPr>
                <w:rFonts w:ascii="Arial" w:hAnsi="Arial" w:eastAsia="Arial" w:cs="Arial"/>
                <w:b w:val="0"/>
                <w:i w:val="0"/>
                <w:sz w:val="18"/>
              </w:rPr>
              <w:t>&lt; 5.2e-5</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1B</w:t>
            </w:r>
          </w:p>
        </w:tc>
      </w:tr>
      <w:tr>
        <w:tc>
          <w:tcPr>
            <w:tcW w:type="dxa" w:w="378"/>
          </w:tcPr>
          <w:p>
            <w:pPr>
              <w:spacing w:line="240" w:lineRule="auto" w:after="40" w:before="40"/>
            </w:pPr>
            <w:r>
              <w:rPr>
                <w:rFonts w:ascii="Arial" w:hAnsi="Arial" w:eastAsia="Arial" w:cs="Arial"/>
                <w:b w:val="0"/>
                <w:i w:val="0"/>
                <w:sz w:val="18"/>
              </w:rPr>
              <w:t>T02</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Lineage-stratified permutation (within-block labels)</w:t>
            </w:r>
          </w:p>
        </w:tc>
        <w:tc>
          <w:tcPr>
            <w:tcW w:type="dxa" w:w="1513"/>
          </w:tcPr>
          <w:p>
            <w:pPr>
              <w:spacing w:line="240" w:lineRule="auto" w:after="40" w:before="40"/>
            </w:pPr>
            <w:r>
              <w:rPr>
                <w:rFonts w:ascii="Arial" w:hAnsi="Arial" w:eastAsia="Arial" w:cs="Arial"/>
                <w:b w:val="0"/>
                <w:i w:val="0"/>
                <w:sz w:val="18"/>
              </w:rPr>
              <w:t>Label permutation (stratified)</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0.668</w:t>
            </w:r>
          </w:p>
        </w:tc>
        <w:tc>
          <w:tcPr>
            <w:tcW w:type="dxa" w:w="820"/>
          </w:tcPr>
          <w:p>
            <w:pPr>
              <w:spacing w:line="240" w:lineRule="auto" w:after="40" w:before="40"/>
            </w:pPr>
            <w:r>
              <w:rPr>
                <w:rFonts w:ascii="Arial" w:hAnsi="Arial" w:eastAsia="Arial" w:cs="Arial"/>
                <w:b w:val="0"/>
                <w:i w:val="0"/>
                <w:sz w:val="18"/>
              </w:rPr>
              <w:t>0.0001</w:t>
            </w:r>
          </w:p>
        </w:tc>
        <w:tc>
          <w:tcPr>
            <w:tcW w:type="dxa" w:w="883"/>
          </w:tcPr>
          <w:p>
            <w:pPr>
              <w:spacing w:line="240" w:lineRule="auto" w:after="40" w:before="40"/>
            </w:pPr>
            <w:r>
              <w:rPr>
                <w:rFonts w:ascii="Arial" w:hAnsi="Arial" w:eastAsia="Arial" w:cs="Arial"/>
                <w:b w:val="0"/>
                <w:i w:val="0"/>
                <w:sz w:val="18"/>
              </w:rPr>
              <w:t>0.0052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1C</w:t>
            </w:r>
          </w:p>
        </w:tc>
      </w:tr>
      <w:tr>
        <w:tc>
          <w:tcPr>
            <w:tcW w:type="dxa" w:w="378"/>
          </w:tcPr>
          <w:p>
            <w:pPr>
              <w:spacing w:line="240" w:lineRule="auto" w:after="40" w:before="40"/>
            </w:pPr>
            <w:r>
              <w:rPr>
                <w:rFonts w:ascii="Arial" w:hAnsi="Arial" w:eastAsia="Arial" w:cs="Arial"/>
                <w:b w:val="0"/>
                <w:i w:val="0"/>
                <w:sz w:val="18"/>
              </w:rPr>
              <w:t>T03</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Bootstrap stability (100 iter, 50% subsample)</w:t>
            </w:r>
          </w:p>
        </w:tc>
        <w:tc>
          <w:tcPr>
            <w:tcW w:type="dxa" w:w="1513"/>
          </w:tcPr>
          <w:p>
            <w:pPr>
              <w:spacing w:line="240" w:lineRule="auto" w:after="40" w:before="40"/>
            </w:pPr>
            <w:r>
              <w:rPr>
                <w:rFonts w:ascii="Arial" w:hAnsi="Arial" w:eastAsia="Arial" w:cs="Arial"/>
                <w:b w:val="0"/>
                <w:i w:val="0"/>
                <w:sz w:val="18"/>
              </w:rPr>
              <w:t>Bootstrap CV</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CV</w:t>
            </w:r>
          </w:p>
        </w:tc>
        <w:tc>
          <w:tcPr>
            <w:tcW w:type="dxa" w:w="693"/>
          </w:tcPr>
          <w:p>
            <w:pPr>
              <w:spacing w:line="240" w:lineRule="auto" w:after="40" w:before="40"/>
            </w:pPr>
            <w:r>
              <w:rPr>
                <w:rFonts w:ascii="Arial" w:hAnsi="Arial" w:eastAsia="Arial" w:cs="Arial"/>
                <w:b w:val="0"/>
                <w:i w:val="0"/>
                <w:sz w:val="18"/>
              </w:rPr>
              <w:t>0.004</w:t>
            </w:r>
          </w:p>
        </w:tc>
        <w:tc>
          <w:tcPr>
            <w:tcW w:type="dxa" w:w="820"/>
          </w:tcPr>
          <w:p>
            <w:pPr>
              <w:spacing w:line="240" w:lineRule="auto" w:after="40" w:before="40"/>
            </w:pPr>
            <w:r>
              <w:rPr>
                <w:rFonts w:ascii="Arial" w:hAnsi="Arial" w:eastAsia="Arial" w:cs="Arial"/>
                <w:b w:val="0"/>
                <w:i w:val="0"/>
                <w:sz w:val="18"/>
              </w:rPr>
              <w:t>100/100 sig</w:t>
            </w:r>
          </w:p>
        </w:tc>
        <w:tc>
          <w:tcPr>
            <w:tcW w:type="dxa" w:w="883"/>
          </w:tcPr>
          <w:p>
            <w:pPr>
              <w:spacing w:line="240" w:lineRule="auto" w:after="40" w:before="40"/>
            </w:pPr>
            <w:r>
              <w:rPr>
                <w:rFonts w:ascii="Arial" w:hAnsi="Arial" w:eastAsia="Arial" w:cs="Arial"/>
                <w:b w:val="0"/>
                <w:i w:val="0"/>
                <w:sz w:val="18"/>
              </w:rPr>
              <w:t>–</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1D</w:t>
            </w:r>
          </w:p>
        </w:tc>
      </w:tr>
      <w:tr>
        <w:tc>
          <w:tcPr>
            <w:tcW w:type="dxa" w:w="378"/>
          </w:tcPr>
          <w:p>
            <w:pPr>
              <w:spacing w:line="240" w:lineRule="auto" w:after="40" w:before="40"/>
            </w:pPr>
            <w:r>
              <w:rPr>
                <w:rFonts w:ascii="Arial" w:hAnsi="Arial" w:eastAsia="Arial" w:cs="Arial"/>
                <w:b w:val="0"/>
                <w:i w:val="0"/>
                <w:sz w:val="18"/>
              </w:rPr>
              <w:t>T04</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LOOCV predictive stability (35 folds)</w:t>
            </w:r>
          </w:p>
        </w:tc>
        <w:tc>
          <w:tcPr>
            <w:tcW w:type="dxa" w:w="1513"/>
          </w:tcPr>
          <w:p>
            <w:pPr>
              <w:spacing w:line="240" w:lineRule="auto" w:after="40" w:before="40"/>
            </w:pPr>
            <w:r>
              <w:rPr>
                <w:rFonts w:ascii="Arial" w:hAnsi="Arial" w:eastAsia="Arial" w:cs="Arial"/>
                <w:b w:val="0"/>
                <w:i w:val="0"/>
                <w:sz w:val="18"/>
              </w:rPr>
              <w:t>Leave-one-out CV</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mean err/null</w:t>
            </w:r>
          </w:p>
        </w:tc>
        <w:tc>
          <w:tcPr>
            <w:tcW w:type="dxa" w:w="693"/>
          </w:tcPr>
          <w:p>
            <w:pPr>
              <w:spacing w:line="240" w:lineRule="auto" w:after="40" w:before="40"/>
            </w:pPr>
            <w:r>
              <w:rPr>
                <w:rFonts w:ascii="Arial" w:hAnsi="Arial" w:eastAsia="Arial" w:cs="Arial"/>
                <w:b w:val="0"/>
                <w:i w:val="0"/>
                <w:sz w:val="18"/>
              </w:rPr>
              <w:t>0.4201</w:t>
            </w:r>
          </w:p>
        </w:tc>
        <w:tc>
          <w:tcPr>
            <w:tcW w:type="dxa" w:w="820"/>
          </w:tcPr>
          <w:p>
            <w:pPr>
              <w:spacing w:line="240" w:lineRule="auto" w:after="40" w:before="40"/>
            </w:pPr>
            <w:r>
              <w:rPr>
                <w:rFonts w:ascii="Arial" w:hAnsi="Arial" w:eastAsia="Arial" w:cs="Arial"/>
                <w:b w:val="0"/>
                <w:i w:val="0"/>
                <w:sz w:val="18"/>
              </w:rPr>
              <w:t>35/35 &lt; 1.0</w:t>
            </w:r>
          </w:p>
        </w:tc>
        <w:tc>
          <w:tcPr>
            <w:tcW w:type="dxa" w:w="883"/>
          </w:tcPr>
          <w:p>
            <w:pPr>
              <w:spacing w:line="240" w:lineRule="auto" w:after="40" w:before="40"/>
            </w:pPr>
            <w:r>
              <w:rPr>
                <w:rFonts w:ascii="Arial" w:hAnsi="Arial" w:eastAsia="Arial" w:cs="Arial"/>
                <w:b w:val="0"/>
                <w:i w:val="0"/>
                <w:sz w:val="18"/>
              </w:rPr>
              <w:t>–</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1E</w:t>
            </w:r>
          </w:p>
        </w:tc>
      </w:tr>
      <w:tr>
        <w:tc>
          <w:tcPr>
            <w:tcW w:type="dxa" w:w="378"/>
          </w:tcPr>
          <w:p>
            <w:pPr>
              <w:spacing w:line="240" w:lineRule="auto" w:after="40" w:before="40"/>
            </w:pPr>
            <w:r>
              <w:rPr>
                <w:rFonts w:ascii="Arial" w:hAnsi="Arial" w:eastAsia="Arial" w:cs="Arial"/>
                <w:b w:val="0"/>
                <w:i w:val="0"/>
                <w:sz w:val="18"/>
              </w:rPr>
              <w:t>T05</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Independent PCA sensitivity (1M perms)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0.473</w:t>
            </w:r>
          </w:p>
        </w:tc>
        <w:tc>
          <w:tcPr>
            <w:tcW w:type="dxa" w:w="820"/>
          </w:tcPr>
          <w:p>
            <w:pPr>
              <w:spacing w:line="240" w:lineRule="auto" w:after="40" w:before="40"/>
            </w:pPr>
            <w:r>
              <w:rPr>
                <w:rFonts w:ascii="Arial" w:hAnsi="Arial" w:eastAsia="Arial" w:cs="Arial"/>
                <w:b w:val="0"/>
                <w:i w:val="0"/>
                <w:sz w:val="18"/>
              </w:rPr>
              <w:t>&lt; 1e-6</w:t>
            </w:r>
          </w:p>
        </w:tc>
        <w:tc>
          <w:tcPr>
            <w:tcW w:type="dxa" w:w="883"/>
          </w:tcPr>
          <w:p>
            <w:pPr>
              <w:spacing w:line="240" w:lineRule="auto" w:after="40" w:before="40"/>
            </w:pPr>
            <w:r>
              <w:rPr>
                <w:rFonts w:ascii="Arial" w:hAnsi="Arial" w:eastAsia="Arial" w:cs="Arial"/>
                <w:b w:val="0"/>
                <w:i w:val="0"/>
                <w:sz w:val="18"/>
              </w:rPr>
              <w:t>&lt; 5.2e-5</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S1A</w:t>
            </w:r>
          </w:p>
        </w:tc>
      </w:tr>
      <w:tr>
        <w:tc>
          <w:tcPr>
            <w:tcW w:type="dxa" w:w="378"/>
          </w:tcPr>
          <w:p>
            <w:pPr>
              <w:spacing w:line="240" w:lineRule="auto" w:after="40" w:before="40"/>
            </w:pPr>
            <w:r>
              <w:rPr>
                <w:rFonts w:ascii="Arial" w:hAnsi="Arial" w:eastAsia="Arial" w:cs="Arial"/>
                <w:b w:val="0"/>
                <w:i w:val="0"/>
                <w:sz w:val="18"/>
              </w:rPr>
              <w:t>T06</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Independent vs joint PCA ranking correlation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0.915</w:t>
            </w:r>
          </w:p>
        </w:tc>
        <w:tc>
          <w:tcPr>
            <w:tcW w:type="dxa" w:w="820"/>
          </w:tcPr>
          <w:p>
            <w:pPr>
              <w:spacing w:line="240" w:lineRule="auto" w:after="40" w:before="40"/>
            </w:pPr>
            <w:r>
              <w:rPr>
                <w:rFonts w:ascii="Arial" w:hAnsi="Arial" w:eastAsia="Arial" w:cs="Arial"/>
                <w:b w:val="0"/>
                <w:i w:val="0"/>
                <w:sz w:val="18"/>
              </w:rPr>
              <w:t>&lt; 1e-13</w:t>
            </w:r>
          </w:p>
        </w:tc>
        <w:tc>
          <w:tcPr>
            <w:tcW w:type="dxa" w:w="883"/>
          </w:tcPr>
          <w:p>
            <w:pPr>
              <w:spacing w:line="240" w:lineRule="auto" w:after="40" w:before="40"/>
            </w:pPr>
            <w:r>
              <w:rPr>
                <w:rFonts w:ascii="Arial" w:hAnsi="Arial" w:eastAsia="Arial" w:cs="Arial"/>
                <w:b w:val="0"/>
                <w:i w:val="0"/>
                <w:sz w:val="18"/>
              </w:rPr>
              <w:t>&lt; 5.2e-12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S1B</w:t>
            </w:r>
          </w:p>
        </w:tc>
      </w:tr>
      <w:tr>
        <w:tc>
          <w:tcPr>
            <w:tcW w:type="dxa" w:w="378"/>
          </w:tcPr>
          <w:p>
            <w:pPr>
              <w:spacing w:line="240" w:lineRule="auto" w:after="40" w:before="40"/>
            </w:pPr>
            <w:r>
              <w:rPr>
                <w:rFonts w:ascii="Arial" w:hAnsi="Arial" w:eastAsia="Arial" w:cs="Arial"/>
                <w:b w:val="0"/>
                <w:i w:val="0"/>
                <w:sz w:val="18"/>
              </w:rPr>
              <w:t>T07</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Mantel test – pairwise distance conservation (Pearson)</w:t>
            </w:r>
          </w:p>
        </w:tc>
        <w:tc>
          <w:tcPr>
            <w:tcW w:type="dxa" w:w="1513"/>
          </w:tcPr>
          <w:p>
            <w:pPr>
              <w:spacing w:line="240" w:lineRule="auto" w:after="40" w:before="40"/>
            </w:pPr>
            <w:r>
              <w:rPr>
                <w:rFonts w:ascii="Arial" w:hAnsi="Arial" w:eastAsia="Arial" w:cs="Arial"/>
                <w:b w:val="0"/>
                <w:i w:val="0"/>
                <w:sz w:val="18"/>
              </w:rPr>
              <w:t>Mantel permutation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r</w:t>
            </w:r>
          </w:p>
        </w:tc>
        <w:tc>
          <w:tcPr>
            <w:tcW w:type="dxa" w:w="693"/>
          </w:tcPr>
          <w:p>
            <w:pPr>
              <w:spacing w:line="240" w:lineRule="auto" w:after="40" w:before="40"/>
            </w:pPr>
            <w:r>
              <w:rPr>
                <w:rFonts w:ascii="Arial" w:hAnsi="Arial" w:eastAsia="Arial" w:cs="Arial"/>
                <w:b w:val="0"/>
                <w:i w:val="0"/>
                <w:sz w:val="18"/>
              </w:rPr>
              <w:t>0.789</w:t>
            </w:r>
          </w:p>
        </w:tc>
        <w:tc>
          <w:tcPr>
            <w:tcW w:type="dxa" w:w="820"/>
          </w:tcPr>
          <w:p>
            <w:pPr>
              <w:spacing w:line="240" w:lineRule="auto" w:after="40" w:before="40"/>
            </w:pPr>
            <w:r>
              <w:rPr>
                <w:rFonts w:ascii="Arial" w:hAnsi="Arial" w:eastAsia="Arial" w:cs="Arial"/>
                <w:b w:val="0"/>
                <w:i w:val="0"/>
                <w:sz w:val="18"/>
              </w:rPr>
              <w:t>&lt; 0.001</w:t>
            </w:r>
          </w:p>
        </w:tc>
        <w:tc>
          <w:tcPr>
            <w:tcW w:type="dxa" w:w="883"/>
          </w:tcPr>
          <w:p>
            <w:pPr>
              <w:spacing w:line="240" w:lineRule="auto" w:after="40" w:before="40"/>
            </w:pPr>
            <w:r>
              <w:rPr>
                <w:rFonts w:ascii="Arial" w:hAnsi="Arial" w:eastAsia="Arial" w:cs="Arial"/>
                <w:b w:val="0"/>
                <w:i w:val="0"/>
                <w:sz w:val="18"/>
              </w:rPr>
              <w:t>&lt; 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T08</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Mantel test – pairwise distance conservation (Spearman)</w:t>
            </w:r>
          </w:p>
        </w:tc>
        <w:tc>
          <w:tcPr>
            <w:tcW w:type="dxa" w:w="1513"/>
          </w:tcPr>
          <w:p>
            <w:pPr>
              <w:spacing w:line="240" w:lineRule="auto" w:after="40" w:before="40"/>
            </w:pPr>
            <w:r>
              <w:rPr>
                <w:rFonts w:ascii="Arial" w:hAnsi="Arial" w:eastAsia="Arial" w:cs="Arial"/>
                <w:b w:val="0"/>
                <w:i w:val="0"/>
                <w:sz w:val="18"/>
              </w:rPr>
              <w:t>Mantel permutation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0.737</w:t>
            </w:r>
          </w:p>
        </w:tc>
        <w:tc>
          <w:tcPr>
            <w:tcW w:type="dxa" w:w="820"/>
          </w:tcPr>
          <w:p>
            <w:pPr>
              <w:spacing w:line="240" w:lineRule="auto" w:after="40" w:before="40"/>
            </w:pPr>
            <w:r>
              <w:rPr>
                <w:rFonts w:ascii="Arial" w:hAnsi="Arial" w:eastAsia="Arial" w:cs="Arial"/>
                <w:b w:val="0"/>
                <w:i w:val="0"/>
                <w:sz w:val="18"/>
              </w:rPr>
              <w:t>&lt; 0.001</w:t>
            </w:r>
          </w:p>
        </w:tc>
        <w:tc>
          <w:tcPr>
            <w:tcW w:type="dxa" w:w="883"/>
          </w:tcPr>
          <w:p>
            <w:pPr>
              <w:spacing w:line="240" w:lineRule="auto" w:after="40" w:before="40"/>
            </w:pPr>
            <w:r>
              <w:rPr>
                <w:rFonts w:ascii="Arial" w:hAnsi="Arial" w:eastAsia="Arial" w:cs="Arial"/>
                <w:b w:val="0"/>
                <w:i w:val="0"/>
                <w:sz w:val="18"/>
              </w:rPr>
              <w:t>&lt; 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T09</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Donor-split within-species Procrustes (median of 100 splits)</w:t>
            </w:r>
          </w:p>
        </w:tc>
        <w:tc>
          <w:tcPr>
            <w:tcW w:type="dxa" w:w="1513"/>
          </w:tcPr>
          <w:p>
            <w:pPr>
              <w:spacing w:line="240" w:lineRule="auto" w:after="40" w:before="40"/>
            </w:pPr>
            <w:r>
              <w:rPr>
                <w:rFonts w:ascii="Arial" w:hAnsi="Arial" w:eastAsia="Arial" w:cs="Arial"/>
                <w:b w:val="0"/>
                <w:i w:val="0"/>
                <w:sz w:val="18"/>
              </w:rPr>
              <w:t>Permutation test (donor-split)</w:t>
            </w:r>
          </w:p>
        </w:tc>
        <w:tc>
          <w:tcPr>
            <w:tcW w:type="dxa" w:w="441"/>
          </w:tcPr>
          <w:p>
            <w:pPr>
              <w:spacing w:line="240" w:lineRule="auto" w:after="40" w:before="40"/>
            </w:pPr>
            <w:r>
              <w:rPr>
                <w:rFonts w:ascii="Arial" w:hAnsi="Arial" w:eastAsia="Arial" w:cs="Arial"/>
                <w:b w:val="0"/>
                <w:i w:val="0"/>
                <w:sz w:val="18"/>
              </w:rPr>
              <w:t>27–32 types per split</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0.375</w:t>
            </w:r>
          </w:p>
        </w:tc>
        <w:tc>
          <w:tcPr>
            <w:tcW w:type="dxa" w:w="820"/>
          </w:tcPr>
          <w:p>
            <w:pPr>
              <w:spacing w:line="240" w:lineRule="auto" w:after="40" w:before="40"/>
            </w:pPr>
            <w:r>
              <w:rPr>
                <w:rFonts w:ascii="Arial" w:hAnsi="Arial" w:eastAsia="Arial" w:cs="Arial"/>
                <w:b w:val="0"/>
                <w:i w:val="0"/>
                <w:sz w:val="18"/>
              </w:rPr>
              <w:t>all p &lt; 0.01 (100/100)</w:t>
            </w:r>
          </w:p>
        </w:tc>
        <w:tc>
          <w:tcPr>
            <w:tcW w:type="dxa" w:w="883"/>
          </w:tcPr>
          <w:p>
            <w:pPr>
              <w:spacing w:line="240" w:lineRule="auto" w:after="40" w:before="40"/>
            </w:pPr>
            <w:r>
              <w:rPr>
                <w:rFonts w:ascii="Arial" w:hAnsi="Arial" w:eastAsia="Arial" w:cs="Arial"/>
                <w:b w:val="0"/>
                <w:i w:val="0"/>
                <w:sz w:val="18"/>
              </w:rPr>
              <w:t>–</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3E</w:t>
            </w:r>
          </w:p>
        </w:tc>
      </w:tr>
      <w:tr>
        <w:tc>
          <w:tcPr>
            <w:tcW w:type="dxa" w:w="378"/>
          </w:tcPr>
          <w:p>
            <w:pPr>
              <w:spacing w:line="240" w:lineRule="auto" w:after="40" w:before="40"/>
            </w:pPr>
            <w:r>
              <w:rPr>
                <w:rFonts w:ascii="Arial" w:hAnsi="Arial" w:eastAsia="Arial" w:cs="Arial"/>
                <w:b w:val="0"/>
                <w:i w:val="0"/>
                <w:sz w:val="18"/>
              </w:rPr>
              <w:t>T10</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Donor-split cross-species matched Procrustes (median of 100 splits)</w:t>
            </w:r>
          </w:p>
        </w:tc>
        <w:tc>
          <w:tcPr>
            <w:tcW w:type="dxa" w:w="1513"/>
          </w:tcPr>
          <w:p>
            <w:pPr>
              <w:spacing w:line="240" w:lineRule="auto" w:after="40" w:before="40"/>
            </w:pPr>
            <w:r>
              <w:rPr>
                <w:rFonts w:ascii="Arial" w:hAnsi="Arial" w:eastAsia="Arial" w:cs="Arial"/>
                <w:b w:val="0"/>
                <w:i w:val="0"/>
                <w:sz w:val="18"/>
              </w:rPr>
              <w:t>Permutation test (donor-split)</w:t>
            </w:r>
          </w:p>
        </w:tc>
        <w:tc>
          <w:tcPr>
            <w:tcW w:type="dxa" w:w="441"/>
          </w:tcPr>
          <w:p>
            <w:pPr>
              <w:spacing w:line="240" w:lineRule="auto" w:after="40" w:before="40"/>
            </w:pPr>
            <w:r>
              <w:rPr>
                <w:rFonts w:ascii="Arial" w:hAnsi="Arial" w:eastAsia="Arial" w:cs="Arial"/>
                <w:b w:val="0"/>
                <w:i w:val="0"/>
                <w:sz w:val="18"/>
              </w:rPr>
              <w:t>27–32 types per split</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0.527</w:t>
            </w:r>
          </w:p>
        </w:tc>
        <w:tc>
          <w:tcPr>
            <w:tcW w:type="dxa" w:w="820"/>
          </w:tcPr>
          <w:p>
            <w:pPr>
              <w:spacing w:line="240" w:lineRule="auto" w:after="40" w:before="40"/>
            </w:pPr>
            <w:r>
              <w:rPr>
                <w:rFonts w:ascii="Arial" w:hAnsi="Arial" w:eastAsia="Arial" w:cs="Arial"/>
                <w:b w:val="0"/>
                <w:i w:val="0"/>
                <w:sz w:val="18"/>
              </w:rPr>
              <w:t>all p &lt; 0.01 (100/100)</w:t>
            </w:r>
          </w:p>
        </w:tc>
        <w:tc>
          <w:tcPr>
            <w:tcW w:type="dxa" w:w="883"/>
          </w:tcPr>
          <w:p>
            <w:pPr>
              <w:spacing w:line="240" w:lineRule="auto" w:after="40" w:before="40"/>
            </w:pPr>
            <w:r>
              <w:rPr>
                <w:rFonts w:ascii="Arial" w:hAnsi="Arial" w:eastAsia="Arial" w:cs="Arial"/>
                <w:b w:val="0"/>
                <w:i w:val="0"/>
                <w:sz w:val="18"/>
              </w:rPr>
              <w:t>–</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3E</w:t>
            </w:r>
          </w:p>
        </w:tc>
      </w:tr>
      <w:tr>
        <w:tc>
          <w:tcPr>
            <w:tcW w:type="dxa" w:w="378"/>
          </w:tcPr>
          <w:p>
            <w:pPr>
              <w:spacing w:line="240" w:lineRule="auto" w:after="40" w:before="40"/>
            </w:pPr>
            <w:r>
              <w:rPr>
                <w:rFonts w:ascii="Arial" w:hAnsi="Arial" w:eastAsia="Arial" w:cs="Arial"/>
                <w:b w:val="0"/>
                <w:i w:val="0"/>
                <w:sz w:val="18"/>
              </w:rPr>
              <w:t>T11</w:t>
            </w:r>
          </w:p>
        </w:tc>
        <w:tc>
          <w:tcPr>
            <w:tcW w:type="dxa" w:w="1135"/>
          </w:tcPr>
          <w:p>
            <w:pPr>
              <w:spacing w:line="240" w:lineRule="auto" w:after="40" w:before="40"/>
            </w:pPr>
            <w:r>
              <w:rPr>
                <w:rFonts w:ascii="Arial" w:hAnsi="Arial" w:eastAsia="Arial" w:cs="Arial"/>
                <w:b w:val="0"/>
                <w:i w:val="0"/>
                <w:sz w:val="18"/>
              </w:rPr>
              <w:t>Global coherence</w:t>
            </w:r>
          </w:p>
        </w:tc>
        <w:tc>
          <w:tcPr>
            <w:tcW w:type="dxa" w:w="4539"/>
          </w:tcPr>
          <w:p>
            <w:pPr>
              <w:spacing w:line="240" w:lineRule="auto" w:after="40" w:before="40"/>
            </w:pPr>
            <w:r>
              <w:rPr>
                <w:rFonts w:ascii="Arial" w:hAnsi="Arial" w:eastAsia="Arial" w:cs="Arial"/>
                <w:b w:val="0"/>
                <w:i w:val="0"/>
                <w:sz w:val="18"/>
              </w:rPr>
              <w:t>Donor-split delta (cross-species minus within-species)</w:t>
            </w:r>
          </w:p>
        </w:tc>
        <w:tc>
          <w:tcPr>
            <w:tcW w:type="dxa" w:w="1513"/>
          </w:tcPr>
          <w:p>
            <w:pPr>
              <w:spacing w:line="240" w:lineRule="auto" w:after="40" w:before="40"/>
            </w:pPr>
            <w:r>
              <w:rPr>
                <w:rFonts w:ascii="Arial" w:hAnsi="Arial" w:eastAsia="Arial" w:cs="Arial"/>
                <w:b w:val="0"/>
                <w:i w:val="0"/>
                <w:sz w:val="18"/>
              </w:rPr>
              <w:t>Resampling (100 random donor splits)</w:t>
            </w:r>
          </w:p>
        </w:tc>
        <w:tc>
          <w:tcPr>
            <w:tcW w:type="dxa" w:w="441"/>
          </w:tcPr>
          <w:p>
            <w:pPr>
              <w:spacing w:line="240" w:lineRule="auto" w:after="40" w:before="40"/>
            </w:pPr>
            <w:r>
              <w:rPr>
                <w:rFonts w:ascii="Arial" w:hAnsi="Arial" w:eastAsia="Arial" w:cs="Arial"/>
                <w:b w:val="0"/>
                <w:i w:val="0"/>
                <w:sz w:val="18"/>
              </w:rPr>
              <w:t>100 splits</w:t>
            </w:r>
          </w:p>
        </w:tc>
        <w:tc>
          <w:tcPr>
            <w:tcW w:type="dxa" w:w="693"/>
          </w:tcPr>
          <w:p>
            <w:pPr>
              <w:spacing w:line="240" w:lineRule="auto" w:after="40" w:before="40"/>
            </w:pPr>
            <w:r>
              <w:rPr>
                <w:rFonts w:ascii="Arial" w:hAnsi="Arial" w:eastAsia="Arial" w:cs="Arial"/>
                <w:b w:val="0"/>
                <w:i w:val="0"/>
                <w:sz w:val="18"/>
              </w:rPr>
              <w:t>delta</w:t>
            </w:r>
          </w:p>
        </w:tc>
        <w:tc>
          <w:tcPr>
            <w:tcW w:type="dxa" w:w="693"/>
          </w:tcPr>
          <w:p>
            <w:pPr>
              <w:spacing w:line="240" w:lineRule="auto" w:after="40" w:before="40"/>
            </w:pPr>
            <w:r>
              <w:rPr>
                <w:rFonts w:ascii="Arial" w:hAnsi="Arial" w:eastAsia="Arial" w:cs="Arial"/>
                <w:b w:val="0"/>
                <w:i w:val="0"/>
                <w:sz w:val="18"/>
              </w:rPr>
              <w:t>+0.159 [95% CI: +0.100, +0.218]</w:t>
            </w:r>
          </w:p>
        </w:tc>
        <w:tc>
          <w:tcPr>
            <w:tcW w:type="dxa" w:w="820"/>
          </w:tcPr>
          <w:p>
            <w:pPr>
              <w:spacing w:line="240" w:lineRule="auto" w:after="40" w:before="40"/>
            </w:pPr>
            <w:r>
              <w:rPr>
                <w:rFonts w:ascii="Arial" w:hAnsi="Arial" w:eastAsia="Arial" w:cs="Arial"/>
                <w:b w:val="0"/>
                <w:i w:val="0"/>
                <w:sz w:val="18"/>
              </w:rPr>
              <w:t>CI excludes 0 (resampling design; see Methods)</w:t>
            </w:r>
          </w:p>
        </w:tc>
        <w:tc>
          <w:tcPr>
            <w:tcW w:type="dxa" w:w="883"/>
          </w:tcPr>
          <w:p>
            <w:pPr>
              <w:spacing w:line="240" w:lineRule="auto" w:after="40" w:before="40"/>
            </w:pPr>
            <w:r>
              <w:rPr>
                <w:rFonts w:ascii="Arial" w:hAnsi="Arial" w:eastAsia="Arial" w:cs="Arial"/>
                <w:b w:val="0"/>
                <w:i w:val="0"/>
                <w:sz w:val="18"/>
              </w:rPr>
              <w:t>direction-robust (100/100; resampling)</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3E</w:t>
            </w:r>
          </w:p>
        </w:tc>
      </w:tr>
      <w:tr>
        <w:tc>
          <w:tcPr>
            <w:tcW w:type="dxa" w:w="378"/>
          </w:tcPr>
          <w:p>
            <w:pPr>
              <w:spacing w:line="240" w:lineRule="auto" w:after="40" w:before="40"/>
            </w:pPr>
            <w:r>
              <w:rPr>
                <w:rFonts w:ascii="Arial" w:hAnsi="Arial" w:eastAsia="Arial" w:cs="Arial"/>
                <w:b w:val="0"/>
                <w:i w:val="0"/>
                <w:sz w:val="18"/>
              </w:rPr>
              <w:t>T12</w:t>
            </w:r>
          </w:p>
        </w:tc>
        <w:tc>
          <w:tcPr>
            <w:tcW w:type="dxa" w:w="1135"/>
          </w:tcPr>
          <w:p>
            <w:pPr>
              <w:spacing w:line="240" w:lineRule="auto" w:after="40" w:before="40"/>
            </w:pPr>
            <w:r>
              <w:rPr>
                <w:rFonts w:ascii="Arial" w:hAnsi="Arial" w:eastAsia="Arial" w:cs="Arial"/>
                <w:b w:val="0"/>
                <w:i w:val="0"/>
                <w:sz w:val="18"/>
              </w:rPr>
              <w:t>Multi-species</w:t>
            </w:r>
          </w:p>
        </w:tc>
        <w:tc>
          <w:tcPr>
            <w:tcW w:type="dxa" w:w="4539"/>
          </w:tcPr>
          <w:p>
            <w:pPr>
              <w:spacing w:line="240" w:lineRule="auto" w:after="40" w:before="40"/>
            </w:pPr>
            <w:r>
              <w:rPr>
                <w:rFonts w:ascii="Arial" w:hAnsi="Arial" w:eastAsia="Arial" w:cs="Arial"/>
                <w:b w:val="0"/>
                <w:i w:val="0"/>
                <w:sz w:val="18"/>
              </w:rPr>
              <w:t>Human–macaque Procrustes coherence (12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12</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0.81</w:t>
            </w:r>
          </w:p>
        </w:tc>
        <w:tc>
          <w:tcPr>
            <w:tcW w:type="dxa" w:w="820"/>
          </w:tcPr>
          <w:p>
            <w:pPr>
              <w:spacing w:line="240" w:lineRule="auto" w:after="40" w:before="40"/>
            </w:pPr>
            <w:r>
              <w:rPr>
                <w:rFonts w:ascii="Arial" w:hAnsi="Arial" w:eastAsia="Arial" w:cs="Arial"/>
                <w:b w:val="0"/>
                <w:i w:val="0"/>
                <w:sz w:val="18"/>
              </w:rPr>
              <w:t>0.0043</w:t>
            </w:r>
          </w:p>
        </w:tc>
        <w:tc>
          <w:tcPr>
            <w:tcW w:type="dxa" w:w="883"/>
          </w:tcPr>
          <w:p>
            <w:pPr>
              <w:spacing w:line="240" w:lineRule="auto" w:after="40" w:before="40"/>
            </w:pPr>
            <w:r>
              <w:rPr>
                <w:rFonts w:ascii="Arial" w:hAnsi="Arial" w:eastAsia="Arial" w:cs="Arial"/>
                <w:b w:val="0"/>
                <w:i w:val="0"/>
                <w:sz w:val="18"/>
              </w:rPr>
              <w:t>0.2236</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5A</w:t>
            </w:r>
          </w:p>
        </w:tc>
      </w:tr>
      <w:tr>
        <w:tc>
          <w:tcPr>
            <w:tcW w:type="dxa" w:w="378"/>
          </w:tcPr>
          <w:p>
            <w:pPr>
              <w:spacing w:line="240" w:lineRule="auto" w:after="40" w:before="40"/>
            </w:pPr>
            <w:r>
              <w:rPr>
                <w:rFonts w:ascii="Arial" w:hAnsi="Arial" w:eastAsia="Arial" w:cs="Arial"/>
                <w:b w:val="0"/>
                <w:i w:val="0"/>
                <w:sz w:val="18"/>
              </w:rPr>
              <w:t>T13</w:t>
            </w:r>
          </w:p>
        </w:tc>
        <w:tc>
          <w:tcPr>
            <w:tcW w:type="dxa" w:w="1135"/>
          </w:tcPr>
          <w:p>
            <w:pPr>
              <w:spacing w:line="240" w:lineRule="auto" w:after="40" w:before="40"/>
            </w:pPr>
            <w:r>
              <w:rPr>
                <w:rFonts w:ascii="Arial" w:hAnsi="Arial" w:eastAsia="Arial" w:cs="Arial"/>
                <w:b w:val="0"/>
                <w:i w:val="0"/>
                <w:sz w:val="18"/>
              </w:rPr>
              <w:t>Multi-species</w:t>
            </w:r>
          </w:p>
        </w:tc>
        <w:tc>
          <w:tcPr>
            <w:tcW w:type="dxa" w:w="4539"/>
          </w:tcPr>
          <w:p>
            <w:pPr>
              <w:spacing w:line="240" w:lineRule="auto" w:after="40" w:before="40"/>
            </w:pPr>
            <w:r>
              <w:rPr>
                <w:rFonts w:ascii="Arial" w:hAnsi="Arial" w:eastAsia="Arial" w:cs="Arial"/>
                <w:b w:val="0"/>
                <w:i w:val="0"/>
                <w:sz w:val="18"/>
              </w:rPr>
              <w:t>Human–mouse-lemur Procrustes coherence (15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15</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0.346</w:t>
            </w:r>
          </w:p>
        </w:tc>
        <w:tc>
          <w:tcPr>
            <w:tcW w:type="dxa" w:w="820"/>
          </w:tcPr>
          <w:p>
            <w:pPr>
              <w:spacing w:line="240" w:lineRule="auto" w:after="40" w:before="40"/>
            </w:pPr>
            <w:r>
              <w:rPr>
                <w:rFonts w:ascii="Arial" w:hAnsi="Arial" w:eastAsia="Arial" w:cs="Arial"/>
                <w:b w:val="0"/>
                <w:i w:val="0"/>
                <w:sz w:val="18"/>
              </w:rPr>
              <w:t>0.0001</w:t>
            </w:r>
          </w:p>
        </w:tc>
        <w:tc>
          <w:tcPr>
            <w:tcW w:type="dxa" w:w="883"/>
          </w:tcPr>
          <w:p>
            <w:pPr>
              <w:spacing w:line="240" w:lineRule="auto" w:after="40" w:before="40"/>
            </w:pPr>
            <w:r>
              <w:rPr>
                <w:rFonts w:ascii="Arial" w:hAnsi="Arial" w:eastAsia="Arial" w:cs="Arial"/>
                <w:b w:val="0"/>
                <w:i w:val="0"/>
                <w:sz w:val="18"/>
              </w:rPr>
              <w:t>0.0052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T14</w:t>
            </w:r>
          </w:p>
        </w:tc>
        <w:tc>
          <w:tcPr>
            <w:tcW w:type="dxa" w:w="1135"/>
          </w:tcPr>
          <w:p>
            <w:pPr>
              <w:spacing w:line="240" w:lineRule="auto" w:after="40" w:before="40"/>
            </w:pPr>
            <w:r>
              <w:rPr>
                <w:rFonts w:ascii="Arial" w:hAnsi="Arial" w:eastAsia="Arial" w:cs="Arial"/>
                <w:b w:val="0"/>
                <w:i w:val="0"/>
                <w:sz w:val="18"/>
              </w:rPr>
              <w:t>Multi-species</w:t>
            </w:r>
          </w:p>
        </w:tc>
        <w:tc>
          <w:tcPr>
            <w:tcW w:type="dxa" w:w="4539"/>
          </w:tcPr>
          <w:p>
            <w:pPr>
              <w:spacing w:line="240" w:lineRule="auto" w:after="40" w:before="40"/>
            </w:pPr>
            <w:r>
              <w:rPr>
                <w:rFonts w:ascii="Arial" w:hAnsi="Arial" w:eastAsia="Arial" w:cs="Arial"/>
                <w:b w:val="0"/>
                <w:i w:val="0"/>
                <w:sz w:val="18"/>
              </w:rPr>
              <w:t>Macaque no-immune sensitivity (7 non-immune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7</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0.733</w:t>
            </w:r>
          </w:p>
        </w:tc>
        <w:tc>
          <w:tcPr>
            <w:tcW w:type="dxa" w:w="820"/>
          </w:tcPr>
          <w:p>
            <w:pPr>
              <w:spacing w:line="240" w:lineRule="auto" w:after="40" w:before="40"/>
            </w:pPr>
            <w:r>
              <w:rPr>
                <w:rFonts w:ascii="Arial" w:hAnsi="Arial" w:eastAsia="Arial" w:cs="Arial"/>
                <w:b w:val="0"/>
                <w:i w:val="0"/>
                <w:sz w:val="18"/>
              </w:rPr>
              <w:t>0.013</w:t>
            </w:r>
          </w:p>
        </w:tc>
        <w:tc>
          <w:tcPr>
            <w:tcW w:type="dxa" w:w="883"/>
          </w:tcPr>
          <w:p>
            <w:pPr>
              <w:spacing w:line="240" w:lineRule="auto" w:after="40" w:before="40"/>
            </w:pPr>
            <w:r>
              <w:rPr>
                <w:rFonts w:ascii="Arial" w:hAnsi="Arial" w:eastAsia="Arial" w:cs="Arial"/>
                <w:b w:val="0"/>
                <w:i w:val="0"/>
                <w:sz w:val="18"/>
              </w:rPr>
              <w:t>0.676</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5B</w:t>
            </w:r>
          </w:p>
        </w:tc>
      </w:tr>
      <w:tr>
        <w:tc>
          <w:tcPr>
            <w:tcW w:type="dxa" w:w="378"/>
          </w:tcPr>
          <w:p>
            <w:pPr>
              <w:spacing w:line="240" w:lineRule="auto" w:after="40" w:before="40"/>
            </w:pPr>
            <w:r>
              <w:rPr>
                <w:rFonts w:ascii="Arial" w:hAnsi="Arial" w:eastAsia="Arial" w:cs="Arial"/>
                <w:b w:val="0"/>
                <w:i w:val="0"/>
                <w:sz w:val="18"/>
              </w:rPr>
              <w:t>T15</w:t>
            </w:r>
          </w:p>
        </w:tc>
        <w:tc>
          <w:tcPr>
            <w:tcW w:type="dxa" w:w="1135"/>
          </w:tcPr>
          <w:p>
            <w:pPr>
              <w:spacing w:line="240" w:lineRule="auto" w:after="40" w:before="40"/>
            </w:pPr>
            <w:r>
              <w:rPr>
                <w:rFonts w:ascii="Arial" w:hAnsi="Arial" w:eastAsia="Arial" w:cs="Arial"/>
                <w:b w:val="0"/>
                <w:i w:val="0"/>
                <w:sz w:val="18"/>
              </w:rPr>
              <w:t>Multi-species</w:t>
            </w:r>
          </w:p>
        </w:tc>
        <w:tc>
          <w:tcPr>
            <w:tcW w:type="dxa" w:w="4539"/>
          </w:tcPr>
          <w:p>
            <w:pPr>
              <w:spacing w:line="240" w:lineRule="auto" w:after="40" w:before="40"/>
            </w:pPr>
            <w:r>
              <w:rPr>
                <w:rFonts w:ascii="Arial" w:hAnsi="Arial" w:eastAsia="Arial" w:cs="Arial"/>
                <w:b w:val="0"/>
                <w:i w:val="0"/>
                <w:sz w:val="18"/>
              </w:rPr>
              <w:t>Macaque ranking correlation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12</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0.147</w:t>
            </w:r>
          </w:p>
        </w:tc>
        <w:tc>
          <w:tcPr>
            <w:tcW w:type="dxa" w:w="820"/>
          </w:tcPr>
          <w:p>
            <w:pPr>
              <w:spacing w:line="240" w:lineRule="auto" w:after="40" w:before="40"/>
            </w:pPr>
            <w:r>
              <w:rPr>
                <w:rFonts w:ascii="Arial" w:hAnsi="Arial" w:eastAsia="Arial" w:cs="Arial"/>
                <w:b w:val="0"/>
                <w:i w:val="0"/>
                <w:sz w:val="18"/>
              </w:rPr>
              <w:t>0.649</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5C</w:t>
            </w:r>
          </w:p>
        </w:tc>
      </w:tr>
      <w:tr>
        <w:tc>
          <w:tcPr>
            <w:tcW w:type="dxa" w:w="378"/>
          </w:tcPr>
          <w:p>
            <w:pPr>
              <w:spacing w:line="240" w:lineRule="auto" w:after="40" w:before="40"/>
            </w:pPr>
            <w:r>
              <w:rPr>
                <w:rFonts w:ascii="Arial" w:hAnsi="Arial" w:eastAsia="Arial" w:cs="Arial"/>
                <w:b w:val="0"/>
                <w:i w:val="0"/>
                <w:sz w:val="18"/>
              </w:rPr>
              <w:t>T16</w:t>
            </w:r>
          </w:p>
        </w:tc>
        <w:tc>
          <w:tcPr>
            <w:tcW w:type="dxa" w:w="1135"/>
          </w:tcPr>
          <w:p>
            <w:pPr>
              <w:spacing w:line="240" w:lineRule="auto" w:after="40" w:before="40"/>
            </w:pPr>
            <w:r>
              <w:rPr>
                <w:rFonts w:ascii="Arial" w:hAnsi="Arial" w:eastAsia="Arial" w:cs="Arial"/>
                <w:b w:val="0"/>
                <w:i w:val="0"/>
                <w:sz w:val="18"/>
              </w:rPr>
              <w:t>Negative controls</w:t>
            </w:r>
          </w:p>
        </w:tc>
        <w:tc>
          <w:tcPr>
            <w:tcW w:type="dxa" w:w="4539"/>
          </w:tcPr>
          <w:p>
            <w:pPr>
              <w:spacing w:line="240" w:lineRule="auto" w:after="40" w:before="40"/>
            </w:pPr>
            <w:r>
              <w:rPr>
                <w:rFonts w:ascii="Arial" w:hAnsi="Arial" w:eastAsia="Arial" w:cs="Arial"/>
                <w:b w:val="0"/>
                <w:i w:val="0"/>
                <w:sz w:val="18"/>
              </w:rPr>
              <w:t>Human-vs-human within-species control (6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6</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0.607</w:t>
            </w:r>
          </w:p>
        </w:tc>
        <w:tc>
          <w:tcPr>
            <w:tcW w:type="dxa" w:w="820"/>
          </w:tcPr>
          <w:p>
            <w:pPr>
              <w:spacing w:line="240" w:lineRule="auto" w:after="40" w:before="40"/>
            </w:pPr>
            <w:r>
              <w:rPr>
                <w:rFonts w:ascii="Arial" w:hAnsi="Arial" w:eastAsia="Arial" w:cs="Arial"/>
                <w:b w:val="0"/>
                <w:i w:val="0"/>
                <w:sz w:val="18"/>
              </w:rPr>
              <w:t>0.0088</w:t>
            </w:r>
          </w:p>
        </w:tc>
        <w:tc>
          <w:tcPr>
            <w:tcW w:type="dxa" w:w="883"/>
          </w:tcPr>
          <w:p>
            <w:pPr>
              <w:spacing w:line="240" w:lineRule="auto" w:after="40" w:before="40"/>
            </w:pPr>
            <w:r>
              <w:rPr>
                <w:rFonts w:ascii="Arial" w:hAnsi="Arial" w:eastAsia="Arial" w:cs="Arial"/>
                <w:b w:val="0"/>
                <w:i w:val="0"/>
                <w:sz w:val="18"/>
              </w:rPr>
              <w:t>0.4576</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S7</w:t>
            </w:r>
          </w:p>
        </w:tc>
      </w:tr>
      <w:tr>
        <w:tc>
          <w:tcPr>
            <w:tcW w:type="dxa" w:w="378"/>
          </w:tcPr>
          <w:p>
            <w:pPr>
              <w:spacing w:line="240" w:lineRule="auto" w:after="40" w:before="40"/>
            </w:pPr>
            <w:r>
              <w:rPr>
                <w:rFonts w:ascii="Arial" w:hAnsi="Arial" w:eastAsia="Arial" w:cs="Arial"/>
                <w:b w:val="0"/>
                <w:i w:val="0"/>
                <w:sz w:val="18"/>
              </w:rPr>
              <w:t>T17</w:t>
            </w:r>
          </w:p>
        </w:tc>
        <w:tc>
          <w:tcPr>
            <w:tcW w:type="dxa" w:w="1135"/>
          </w:tcPr>
          <w:p>
            <w:pPr>
              <w:spacing w:line="240" w:lineRule="auto" w:after="40" w:before="40"/>
            </w:pPr>
            <w:r>
              <w:rPr>
                <w:rFonts w:ascii="Arial" w:hAnsi="Arial" w:eastAsia="Arial" w:cs="Arial"/>
                <w:b w:val="0"/>
                <w:i w:val="0"/>
                <w:sz w:val="18"/>
              </w:rPr>
              <w:t>Negative controls</w:t>
            </w:r>
          </w:p>
        </w:tc>
        <w:tc>
          <w:tcPr>
            <w:tcW w:type="dxa" w:w="4539"/>
          </w:tcPr>
          <w:p>
            <w:pPr>
              <w:spacing w:line="240" w:lineRule="auto" w:after="40" w:before="40"/>
            </w:pPr>
            <w:r>
              <w:rPr>
                <w:rFonts w:ascii="Arial" w:hAnsi="Arial" w:eastAsia="Arial" w:cs="Arial"/>
                <w:b w:val="0"/>
                <w:i w:val="0"/>
                <w:sz w:val="18"/>
              </w:rPr>
              <w:t>Human-vs-mouse matched-scale control (6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6</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0.317</w:t>
            </w:r>
          </w:p>
        </w:tc>
        <w:tc>
          <w:tcPr>
            <w:tcW w:type="dxa" w:w="820"/>
          </w:tcPr>
          <w:p>
            <w:pPr>
              <w:spacing w:line="240" w:lineRule="auto" w:after="40" w:before="40"/>
            </w:pPr>
            <w:r>
              <w:rPr>
                <w:rFonts w:ascii="Arial" w:hAnsi="Arial" w:eastAsia="Arial" w:cs="Arial"/>
                <w:b w:val="0"/>
                <w:i w:val="0"/>
                <w:sz w:val="18"/>
              </w:rPr>
              <w:t>0.0035</w:t>
            </w:r>
          </w:p>
        </w:tc>
        <w:tc>
          <w:tcPr>
            <w:tcW w:type="dxa" w:w="883"/>
          </w:tcPr>
          <w:p>
            <w:pPr>
              <w:spacing w:line="240" w:lineRule="auto" w:after="40" w:before="40"/>
            </w:pPr>
            <w:r>
              <w:rPr>
                <w:rFonts w:ascii="Arial" w:hAnsi="Arial" w:eastAsia="Arial" w:cs="Arial"/>
                <w:b w:val="0"/>
                <w:i w:val="0"/>
                <w:sz w:val="18"/>
              </w:rPr>
              <w:t>0.182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S7</w:t>
            </w:r>
          </w:p>
        </w:tc>
      </w:tr>
      <w:tr>
        <w:tc>
          <w:tcPr>
            <w:tcW w:type="dxa" w:w="378"/>
          </w:tcPr>
          <w:p>
            <w:pPr>
              <w:spacing w:line="240" w:lineRule="auto" w:after="40" w:before="40"/>
            </w:pPr>
            <w:r>
              <w:rPr>
                <w:rFonts w:ascii="Arial" w:hAnsi="Arial" w:eastAsia="Arial" w:cs="Arial"/>
                <w:b w:val="0"/>
                <w:i w:val="0"/>
                <w:sz w:val="18"/>
              </w:rPr>
              <w:t>T18</w:t>
            </w:r>
          </w:p>
        </w:tc>
        <w:tc>
          <w:tcPr>
            <w:tcW w:type="dxa" w:w="1135"/>
          </w:tcPr>
          <w:p>
            <w:pPr>
              <w:spacing w:line="240" w:lineRule="auto" w:after="40" w:before="40"/>
            </w:pPr>
            <w:r>
              <w:rPr>
                <w:rFonts w:ascii="Arial" w:hAnsi="Arial" w:eastAsia="Arial" w:cs="Arial"/>
                <w:b w:val="0"/>
                <w:i w:val="0"/>
                <w:sz w:val="18"/>
              </w:rPr>
              <w:t>Negative controls</w:t>
            </w:r>
          </w:p>
        </w:tc>
        <w:tc>
          <w:tcPr>
            <w:tcW w:type="dxa" w:w="4539"/>
          </w:tcPr>
          <w:p>
            <w:pPr>
              <w:spacing w:line="240" w:lineRule="auto" w:after="40" w:before="40"/>
            </w:pPr>
            <w:r>
              <w:rPr>
                <w:rFonts w:ascii="Arial" w:hAnsi="Arial" w:eastAsia="Arial" w:cs="Arial"/>
                <w:b w:val="0"/>
                <w:i w:val="0"/>
                <w:sz w:val="18"/>
              </w:rPr>
              <w:t>Within-species 24 tissue-pair controls</w:t>
            </w:r>
          </w:p>
        </w:tc>
        <w:tc>
          <w:tcPr>
            <w:tcW w:type="dxa" w:w="1513"/>
          </w:tcPr>
          <w:p>
            <w:pPr>
              <w:spacing w:line="240" w:lineRule="auto" w:after="40" w:before="40"/>
            </w:pPr>
            <w:r>
              <w:rPr>
                <w:rFonts w:ascii="Arial" w:hAnsi="Arial" w:eastAsia="Arial" w:cs="Arial"/>
                <w:b w:val="0"/>
                <w:i w:val="0"/>
                <w:sz w:val="18"/>
              </w:rPr>
              <w:t>Permutation (24 pairs)</w:t>
            </w:r>
          </w:p>
        </w:tc>
        <w:tc>
          <w:tcPr>
            <w:tcW w:type="dxa" w:w="441"/>
          </w:tcPr>
          <w:p>
            <w:pPr>
              <w:spacing w:line="240" w:lineRule="auto" w:after="40" w:before="40"/>
            </w:pPr>
            <w:r>
              <w:rPr>
                <w:rFonts w:ascii="Arial" w:hAnsi="Arial" w:eastAsia="Arial" w:cs="Arial"/>
                <w:b w:val="0"/>
                <w:i w:val="0"/>
                <w:sz w:val="18"/>
              </w:rPr>
              <w:t>24 pairs</w:t>
            </w:r>
          </w:p>
        </w:tc>
        <w:tc>
          <w:tcPr>
            <w:tcW w:type="dxa" w:w="693"/>
          </w:tcPr>
          <w:p>
            <w:pPr>
              <w:spacing w:line="240" w:lineRule="auto" w:after="40" w:before="40"/>
            </w:pPr>
            <w:r>
              <w:rPr>
                <w:rFonts w:ascii="Arial" w:hAnsi="Arial" w:eastAsia="Arial" w:cs="Arial"/>
                <w:b w:val="0"/>
                <w:i w:val="0"/>
                <w:sz w:val="18"/>
              </w:rPr>
              <w:t>mean obs/null</w:t>
            </w:r>
          </w:p>
        </w:tc>
        <w:tc>
          <w:tcPr>
            <w:tcW w:type="dxa" w:w="693"/>
          </w:tcPr>
          <w:p>
            <w:pPr>
              <w:spacing w:line="240" w:lineRule="auto" w:after="40" w:before="40"/>
            </w:pPr>
            <w:r>
              <w:rPr>
                <w:rFonts w:ascii="Arial" w:hAnsi="Arial" w:eastAsia="Arial" w:cs="Arial"/>
                <w:b w:val="0"/>
                <w:i w:val="0"/>
                <w:sz w:val="18"/>
              </w:rPr>
              <w:t>0.466</w:t>
            </w:r>
          </w:p>
        </w:tc>
        <w:tc>
          <w:tcPr>
            <w:tcW w:type="dxa" w:w="820"/>
          </w:tcPr>
          <w:p>
            <w:pPr>
              <w:spacing w:line="240" w:lineRule="auto" w:after="40" w:before="40"/>
            </w:pPr>
            <w:r>
              <w:rPr>
                <w:rFonts w:ascii="Arial" w:hAnsi="Arial" w:eastAsia="Arial" w:cs="Arial"/>
                <w:b w:val="0"/>
                <w:i w:val="0"/>
                <w:sz w:val="18"/>
              </w:rPr>
              <w:t>20/24 sig</w:t>
            </w:r>
          </w:p>
        </w:tc>
        <w:tc>
          <w:tcPr>
            <w:tcW w:type="dxa" w:w="883"/>
          </w:tcPr>
          <w:p>
            <w:pPr>
              <w:spacing w:line="240" w:lineRule="auto" w:after="40" w:before="40"/>
            </w:pPr>
            <w:r>
              <w:rPr>
                <w:rFonts w:ascii="Arial" w:hAnsi="Arial" w:eastAsia="Arial" w:cs="Arial"/>
                <w:b w:val="0"/>
                <w:i w:val="0"/>
                <w:sz w:val="18"/>
              </w:rPr>
              <w:t>–</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S2E</w:t>
            </w:r>
          </w:p>
        </w:tc>
      </w:tr>
      <w:tr>
        <w:tc>
          <w:tcPr>
            <w:tcW w:type="dxa" w:w="378"/>
          </w:tcPr>
          <w:p>
            <w:pPr>
              <w:spacing w:line="240" w:lineRule="auto" w:after="40" w:before="40"/>
            </w:pPr>
            <w:r>
              <w:rPr>
                <w:rFonts w:ascii="Arial" w:hAnsi="Arial" w:eastAsia="Arial" w:cs="Arial"/>
                <w:b w:val="0"/>
                <w:i w:val="0"/>
                <w:sz w:val="18"/>
              </w:rPr>
              <w:t>T19</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Sun2023 replication (15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15</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0.554</w:t>
            </w:r>
          </w:p>
        </w:tc>
        <w:tc>
          <w:tcPr>
            <w:tcW w:type="dxa" w:w="820"/>
          </w:tcPr>
          <w:p>
            <w:pPr>
              <w:spacing w:line="240" w:lineRule="auto" w:after="40" w:before="40"/>
            </w:pPr>
            <w:r>
              <w:rPr>
                <w:rFonts w:ascii="Arial" w:hAnsi="Arial" w:eastAsia="Arial" w:cs="Arial"/>
                <w:b w:val="0"/>
                <w:i w:val="0"/>
                <w:sz w:val="18"/>
              </w:rPr>
              <w:t>0.0001</w:t>
            </w:r>
          </w:p>
        </w:tc>
        <w:tc>
          <w:tcPr>
            <w:tcW w:type="dxa" w:w="883"/>
          </w:tcPr>
          <w:p>
            <w:pPr>
              <w:spacing w:line="240" w:lineRule="auto" w:after="40" w:before="40"/>
            </w:pPr>
            <w:r>
              <w:rPr>
                <w:rFonts w:ascii="Arial" w:hAnsi="Arial" w:eastAsia="Arial" w:cs="Arial"/>
                <w:b w:val="0"/>
                <w:i w:val="0"/>
                <w:sz w:val="18"/>
              </w:rPr>
              <w:t>0.0052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3A</w:t>
            </w:r>
          </w:p>
        </w:tc>
      </w:tr>
      <w:tr>
        <w:tc>
          <w:tcPr>
            <w:tcW w:type="dxa" w:w="378"/>
          </w:tcPr>
          <w:p>
            <w:pPr>
              <w:spacing w:line="240" w:lineRule="auto" w:after="40" w:before="40"/>
            </w:pPr>
            <w:r>
              <w:rPr>
                <w:rFonts w:ascii="Arial" w:hAnsi="Arial" w:eastAsia="Arial" w:cs="Arial"/>
                <w:b w:val="0"/>
                <w:i w:val="0"/>
                <w:sz w:val="18"/>
              </w:rPr>
              <w:t>T20</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PanSci replication (16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16</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0.552</w:t>
            </w:r>
          </w:p>
        </w:tc>
        <w:tc>
          <w:tcPr>
            <w:tcW w:type="dxa" w:w="820"/>
          </w:tcPr>
          <w:p>
            <w:pPr>
              <w:spacing w:line="240" w:lineRule="auto" w:after="40" w:before="40"/>
            </w:pPr>
            <w:r>
              <w:rPr>
                <w:rFonts w:ascii="Arial" w:hAnsi="Arial" w:eastAsia="Arial" w:cs="Arial"/>
                <w:b w:val="0"/>
                <w:i w:val="0"/>
                <w:sz w:val="18"/>
              </w:rPr>
              <w:t>0.0001</w:t>
            </w:r>
          </w:p>
        </w:tc>
        <w:tc>
          <w:tcPr>
            <w:tcW w:type="dxa" w:w="883"/>
          </w:tcPr>
          <w:p>
            <w:pPr>
              <w:spacing w:line="240" w:lineRule="auto" w:after="40" w:before="40"/>
            </w:pPr>
            <w:r>
              <w:rPr>
                <w:rFonts w:ascii="Arial" w:hAnsi="Arial" w:eastAsia="Arial" w:cs="Arial"/>
                <w:b w:val="0"/>
                <w:i w:val="0"/>
                <w:sz w:val="18"/>
              </w:rPr>
              <w:t>0.0052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3B</w:t>
            </w:r>
          </w:p>
        </w:tc>
      </w:tr>
      <w:tr>
        <w:tc>
          <w:tcPr>
            <w:tcW w:type="dxa" w:w="378"/>
          </w:tcPr>
          <w:p>
            <w:pPr>
              <w:spacing w:line="240" w:lineRule="auto" w:after="40" w:before="40"/>
            </w:pPr>
            <w:r>
              <w:rPr>
                <w:rFonts w:ascii="Arial" w:hAnsi="Arial" w:eastAsia="Arial" w:cs="Arial"/>
                <w:b w:val="0"/>
                <w:i w:val="0"/>
                <w:sz w:val="18"/>
              </w:rPr>
              <w:t>T21</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CellHint replication (15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15</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0.448</w:t>
            </w:r>
          </w:p>
        </w:tc>
        <w:tc>
          <w:tcPr>
            <w:tcW w:type="dxa" w:w="820"/>
          </w:tcPr>
          <w:p>
            <w:pPr>
              <w:spacing w:line="240" w:lineRule="auto" w:after="40" w:before="40"/>
            </w:pPr>
            <w:r>
              <w:rPr>
                <w:rFonts w:ascii="Arial" w:hAnsi="Arial" w:eastAsia="Arial" w:cs="Arial"/>
                <w:b w:val="0"/>
                <w:i w:val="0"/>
                <w:sz w:val="18"/>
              </w:rPr>
              <w:t>0.0001</w:t>
            </w:r>
          </w:p>
        </w:tc>
        <w:tc>
          <w:tcPr>
            <w:tcW w:type="dxa" w:w="883"/>
          </w:tcPr>
          <w:p>
            <w:pPr>
              <w:spacing w:line="240" w:lineRule="auto" w:after="40" w:before="40"/>
            </w:pPr>
            <w:r>
              <w:rPr>
                <w:rFonts w:ascii="Arial" w:hAnsi="Arial" w:eastAsia="Arial" w:cs="Arial"/>
                <w:b w:val="0"/>
                <w:i w:val="0"/>
                <w:sz w:val="18"/>
              </w:rPr>
              <w:t>0.0052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3C</w:t>
            </w:r>
          </w:p>
        </w:tc>
      </w:tr>
      <w:tr>
        <w:tc>
          <w:tcPr>
            <w:tcW w:type="dxa" w:w="378"/>
          </w:tcPr>
          <w:p>
            <w:pPr>
              <w:spacing w:line="240" w:lineRule="auto" w:after="40" w:before="40"/>
            </w:pPr>
            <w:r>
              <w:rPr>
                <w:rFonts w:ascii="Arial" w:hAnsi="Arial" w:eastAsia="Arial" w:cs="Arial"/>
                <w:b w:val="0"/>
                <w:i w:val="0"/>
                <w:sz w:val="18"/>
              </w:rPr>
              <w:t>T22</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Pan-Census replication (22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22</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0.811</w:t>
            </w:r>
          </w:p>
        </w:tc>
        <w:tc>
          <w:tcPr>
            <w:tcW w:type="dxa" w:w="820"/>
          </w:tcPr>
          <w:p>
            <w:pPr>
              <w:spacing w:line="240" w:lineRule="auto" w:after="40" w:before="40"/>
            </w:pPr>
            <w:r>
              <w:rPr>
                <w:rFonts w:ascii="Arial" w:hAnsi="Arial" w:eastAsia="Arial" w:cs="Arial"/>
                <w:b w:val="0"/>
                <w:i w:val="0"/>
                <w:sz w:val="18"/>
              </w:rPr>
              <w:t>0.0001</w:t>
            </w:r>
          </w:p>
        </w:tc>
        <w:tc>
          <w:tcPr>
            <w:tcW w:type="dxa" w:w="883"/>
          </w:tcPr>
          <w:p>
            <w:pPr>
              <w:spacing w:line="240" w:lineRule="auto" w:after="40" w:before="40"/>
            </w:pPr>
            <w:r>
              <w:rPr>
                <w:rFonts w:ascii="Arial" w:hAnsi="Arial" w:eastAsia="Arial" w:cs="Arial"/>
                <w:b w:val="0"/>
                <w:i w:val="0"/>
                <w:sz w:val="18"/>
              </w:rPr>
              <w:t>0.0052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S2F</w:t>
            </w:r>
          </w:p>
        </w:tc>
      </w:tr>
      <w:tr>
        <w:tc>
          <w:tcPr>
            <w:tcW w:type="dxa" w:w="378"/>
          </w:tcPr>
          <w:p>
            <w:pPr>
              <w:spacing w:line="240" w:lineRule="auto" w:after="40" w:before="40"/>
            </w:pPr>
            <w:r>
              <w:rPr>
                <w:rFonts w:ascii="Arial" w:hAnsi="Arial" w:eastAsia="Arial" w:cs="Arial"/>
                <w:b w:val="0"/>
                <w:i w:val="0"/>
                <w:sz w:val="18"/>
              </w:rPr>
              <w:t>T23</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Andrews liver non-replication</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6</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0.797</w:t>
            </w:r>
          </w:p>
        </w:tc>
        <w:tc>
          <w:tcPr>
            <w:tcW w:type="dxa" w:w="820"/>
          </w:tcPr>
          <w:p>
            <w:pPr>
              <w:spacing w:line="240" w:lineRule="auto" w:after="40" w:before="40"/>
            </w:pPr>
            <w:r>
              <w:rPr>
                <w:rFonts w:ascii="Arial" w:hAnsi="Arial" w:eastAsia="Arial" w:cs="Arial"/>
                <w:b w:val="0"/>
                <w:i w:val="0"/>
                <w:sz w:val="18"/>
              </w:rPr>
              <w:t>0.116</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S2F</w:t>
            </w:r>
          </w:p>
        </w:tc>
      </w:tr>
      <w:tr>
        <w:tc>
          <w:tcPr>
            <w:tcW w:type="dxa" w:w="378"/>
          </w:tcPr>
          <w:p>
            <w:pPr>
              <w:spacing w:line="240" w:lineRule="auto" w:after="40" w:before="40"/>
            </w:pPr>
            <w:r>
              <w:rPr>
                <w:rFonts w:ascii="Arial" w:hAnsi="Arial" w:eastAsia="Arial" w:cs="Arial"/>
                <w:b w:val="0"/>
                <w:i w:val="0"/>
                <w:sz w:val="18"/>
              </w:rPr>
              <w:t>T24</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MCA × HCA non-replication (17 types)</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17</w:t>
            </w:r>
          </w:p>
        </w:tc>
        <w:tc>
          <w:tcPr>
            <w:tcW w:type="dxa" w:w="693"/>
          </w:tcPr>
          <w:p>
            <w:pPr>
              <w:spacing w:line="240" w:lineRule="auto" w:after="40" w:before="40"/>
            </w:pPr>
            <w:r>
              <w:rPr>
                <w:rFonts w:ascii="Arial" w:hAnsi="Arial" w:eastAsia="Arial" w:cs="Arial"/>
                <w:b w:val="0"/>
                <w:i w:val="0"/>
                <w:sz w:val="18"/>
              </w:rPr>
              <w:t>obs/null</w:t>
            </w:r>
          </w:p>
        </w:tc>
        <w:tc>
          <w:tcPr>
            <w:tcW w:type="dxa" w:w="693"/>
          </w:tcPr>
          <w:p>
            <w:pPr>
              <w:spacing w:line="240" w:lineRule="auto" w:after="40" w:before="40"/>
            </w:pPr>
            <w:r>
              <w:rPr>
                <w:rFonts w:ascii="Arial" w:hAnsi="Arial" w:eastAsia="Arial" w:cs="Arial"/>
                <w:b w:val="0"/>
                <w:i w:val="0"/>
                <w:sz w:val="18"/>
              </w:rPr>
              <w:t>1.003</w:t>
            </w:r>
          </w:p>
        </w:tc>
        <w:tc>
          <w:tcPr>
            <w:tcW w:type="dxa" w:w="820"/>
          </w:tcPr>
          <w:p>
            <w:pPr>
              <w:spacing w:line="240" w:lineRule="auto" w:after="40" w:before="40"/>
            </w:pPr>
            <w:r>
              <w:rPr>
                <w:rFonts w:ascii="Arial" w:hAnsi="Arial" w:eastAsia="Arial" w:cs="Arial"/>
                <w:b w:val="0"/>
                <w:i w:val="0"/>
                <w:sz w:val="18"/>
              </w:rPr>
              <w:t>0.542</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S2F</w:t>
            </w:r>
          </w:p>
        </w:tc>
      </w:tr>
      <w:tr>
        <w:tc>
          <w:tcPr>
            <w:tcW w:type="dxa" w:w="378"/>
          </w:tcPr>
          <w:p>
            <w:pPr>
              <w:spacing w:line="240" w:lineRule="auto" w:after="40" w:before="40"/>
            </w:pPr>
            <w:r>
              <w:rPr>
                <w:rFonts w:ascii="Arial" w:hAnsi="Arial" w:eastAsia="Arial" w:cs="Arial"/>
                <w:b w:val="0"/>
                <w:i w:val="0"/>
                <w:sz w:val="18"/>
              </w:rPr>
              <w:t>T25</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Sun2023 ranking correlation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15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0.146</w:t>
            </w:r>
          </w:p>
        </w:tc>
        <w:tc>
          <w:tcPr>
            <w:tcW w:type="dxa" w:w="820"/>
          </w:tcPr>
          <w:p>
            <w:pPr>
              <w:spacing w:line="240" w:lineRule="auto" w:after="40" w:before="40"/>
            </w:pPr>
            <w:r>
              <w:rPr>
                <w:rFonts w:ascii="Arial" w:hAnsi="Arial" w:eastAsia="Arial" w:cs="Arial"/>
                <w:b w:val="0"/>
                <w:i w:val="0"/>
                <w:sz w:val="18"/>
              </w:rPr>
              <w:t>0.603</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T26</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PanSci ranking correlation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16</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0.194</w:t>
            </w:r>
          </w:p>
        </w:tc>
        <w:tc>
          <w:tcPr>
            <w:tcW w:type="dxa" w:w="820"/>
          </w:tcPr>
          <w:p>
            <w:pPr>
              <w:spacing w:line="240" w:lineRule="auto" w:after="40" w:before="40"/>
            </w:pPr>
            <w:r>
              <w:rPr>
                <w:rFonts w:ascii="Arial" w:hAnsi="Arial" w:eastAsia="Arial" w:cs="Arial"/>
                <w:b w:val="0"/>
                <w:i w:val="0"/>
                <w:sz w:val="18"/>
              </w:rPr>
              <w:t>0.471</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T27</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CellHint ranking correlation (matched 15-type baseline)</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15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-0.139</w:t>
            </w:r>
          </w:p>
        </w:tc>
        <w:tc>
          <w:tcPr>
            <w:tcW w:type="dxa" w:w="820"/>
          </w:tcPr>
          <w:p>
            <w:pPr>
              <w:spacing w:line="240" w:lineRule="auto" w:after="40" w:before="40"/>
            </w:pPr>
            <w:r>
              <w:rPr>
                <w:rFonts w:ascii="Arial" w:hAnsi="Arial" w:eastAsia="Arial" w:cs="Arial"/>
                <w:b w:val="0"/>
                <w:i w:val="0"/>
                <w:sz w:val="18"/>
              </w:rPr>
              <w:t>0.621</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S4A</w:t>
            </w:r>
          </w:p>
        </w:tc>
      </w:tr>
      <w:tr>
        <w:tc>
          <w:tcPr>
            <w:tcW w:type="dxa" w:w="378"/>
          </w:tcPr>
          <w:p>
            <w:pPr>
              <w:spacing w:line="240" w:lineRule="auto" w:after="40" w:before="40"/>
            </w:pPr>
            <w:r>
              <w:rPr>
                <w:rFonts w:ascii="Arial" w:hAnsi="Arial" w:eastAsia="Arial" w:cs="Arial"/>
                <w:b w:val="0"/>
                <w:i w:val="0"/>
                <w:sz w:val="18"/>
              </w:rPr>
              <w:t>T28</w:t>
            </w:r>
          </w:p>
        </w:tc>
        <w:tc>
          <w:tcPr>
            <w:tcW w:type="dxa" w:w="1135"/>
          </w:tcPr>
          <w:p>
            <w:pPr>
              <w:spacing w:line="240" w:lineRule="auto" w:after="40" w:before="40"/>
            </w:pPr>
            <w:r>
              <w:rPr>
                <w:rFonts w:ascii="Arial" w:hAnsi="Arial" w:eastAsia="Arial" w:cs="Arial"/>
                <w:b w:val="0"/>
                <w:i w:val="0"/>
                <w:sz w:val="18"/>
              </w:rPr>
              <w:t>Replication</w:t>
            </w:r>
          </w:p>
        </w:tc>
        <w:tc>
          <w:tcPr>
            <w:tcW w:type="dxa" w:w="4539"/>
          </w:tcPr>
          <w:p>
            <w:pPr>
              <w:spacing w:line="240" w:lineRule="auto" w:after="40" w:before="40"/>
            </w:pPr>
            <w:r>
              <w:rPr>
                <w:rFonts w:ascii="Arial" w:hAnsi="Arial" w:eastAsia="Arial" w:cs="Arial"/>
                <w:b w:val="0"/>
                <w:i w:val="0"/>
                <w:sz w:val="18"/>
              </w:rPr>
              <w:t>Pan-Census ranking correlation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22</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-0.05</w:t>
            </w:r>
          </w:p>
        </w:tc>
        <w:tc>
          <w:tcPr>
            <w:tcW w:type="dxa" w:w="820"/>
          </w:tcPr>
          <w:p>
            <w:pPr>
              <w:spacing w:line="240" w:lineRule="auto" w:after="40" w:before="40"/>
            </w:pPr>
            <w:r>
              <w:rPr>
                <w:rFonts w:ascii="Arial" w:hAnsi="Arial" w:eastAsia="Arial" w:cs="Arial"/>
                <w:b w:val="0"/>
                <w:i w:val="0"/>
                <w:sz w:val="18"/>
              </w:rPr>
              <w:t>0.817</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T30</w:t>
            </w:r>
          </w:p>
        </w:tc>
        <w:tc>
          <w:tcPr>
            <w:tcW w:type="dxa" w:w="1135"/>
          </w:tcPr>
          <w:p>
            <w:pPr>
              <w:spacing w:line="240" w:lineRule="auto" w:after="40" w:before="40"/>
            </w:pPr>
            <w:r>
              <w:rPr>
                <w:rFonts w:ascii="Arial" w:hAnsi="Arial" w:eastAsia="Arial" w:cs="Arial"/>
                <w:b w:val="0"/>
                <w:i w:val="0"/>
                <w:sz w:val="18"/>
              </w:rPr>
              <w:t>Two-layer</w:t>
            </w:r>
          </w:p>
        </w:tc>
        <w:tc>
          <w:tcPr>
            <w:tcW w:type="dxa" w:w="4539"/>
          </w:tcPr>
          <w:p>
            <w:pPr>
              <w:spacing w:line="240" w:lineRule="auto" w:after="40" w:before="40"/>
            </w:pPr>
            <w:r>
              <w:rPr>
                <w:rFonts w:ascii="Arial" w:hAnsi="Arial" w:eastAsia="Arial" w:cs="Arial"/>
                <w:b w:val="0"/>
                <w:i w:val="0"/>
                <w:sz w:val="18"/>
              </w:rPr>
              <w:t>Layer 2 (ellipsoid orientation, post-rotation) significance</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S</w:t>
            </w:r>
          </w:p>
        </w:tc>
        <w:tc>
          <w:tcPr>
            <w:tcW w:type="dxa" w:w="693"/>
          </w:tcPr>
          <w:p>
            <w:pPr>
              <w:spacing w:line="240" w:lineRule="auto" w:after="40" w:before="40"/>
            </w:pPr>
            <w:r>
              <w:rPr>
                <w:rFonts w:ascii="Arial" w:hAnsi="Arial" w:eastAsia="Arial" w:cs="Arial"/>
                <w:b w:val="0"/>
                <w:i w:val="0"/>
                <w:sz w:val="18"/>
              </w:rPr>
              <w:t>0.23</w:t>
            </w:r>
          </w:p>
        </w:tc>
        <w:tc>
          <w:tcPr>
            <w:tcW w:type="dxa" w:w="820"/>
          </w:tcPr>
          <w:p>
            <w:pPr>
              <w:spacing w:line="240" w:lineRule="auto" w:after="40" w:before="40"/>
            </w:pPr>
            <w:r>
              <w:rPr>
                <w:rFonts w:ascii="Arial" w:hAnsi="Arial" w:eastAsia="Arial" w:cs="Arial"/>
                <w:b w:val="0"/>
                <w:i w:val="0"/>
                <w:sz w:val="18"/>
              </w:rPr>
              <w:t>0.0001</w:t>
            </w:r>
          </w:p>
        </w:tc>
        <w:tc>
          <w:tcPr>
            <w:tcW w:type="dxa" w:w="883"/>
          </w:tcPr>
          <w:p>
            <w:pPr>
              <w:spacing w:line="240" w:lineRule="auto" w:after="40" w:before="40"/>
            </w:pPr>
            <w:r>
              <w:rPr>
                <w:rFonts w:ascii="Arial" w:hAnsi="Arial" w:eastAsia="Arial" w:cs="Arial"/>
                <w:b w:val="0"/>
                <w:i w:val="0"/>
                <w:sz w:val="18"/>
              </w:rPr>
              <w:t>0.0052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4C</w:t>
            </w:r>
          </w:p>
        </w:tc>
      </w:tr>
      <w:tr>
        <w:tc>
          <w:tcPr>
            <w:tcW w:type="dxa" w:w="378"/>
          </w:tcPr>
          <w:p>
            <w:pPr>
              <w:spacing w:line="240" w:lineRule="auto" w:after="40" w:before="40"/>
            </w:pPr>
            <w:r>
              <w:rPr>
                <w:rFonts w:ascii="Arial" w:hAnsi="Arial" w:eastAsia="Arial" w:cs="Arial"/>
                <w:b w:val="0"/>
                <w:i w:val="0"/>
                <w:sz w:val="18"/>
              </w:rPr>
              <w:t>T31</w:t>
            </w:r>
          </w:p>
        </w:tc>
        <w:tc>
          <w:tcPr>
            <w:tcW w:type="dxa" w:w="1135"/>
          </w:tcPr>
          <w:p>
            <w:pPr>
              <w:spacing w:line="240" w:lineRule="auto" w:after="40" w:before="40"/>
            </w:pPr>
            <w:r>
              <w:rPr>
                <w:rFonts w:ascii="Arial" w:hAnsi="Arial" w:eastAsia="Arial" w:cs="Arial"/>
                <w:b w:val="0"/>
                <w:i w:val="0"/>
                <w:sz w:val="18"/>
              </w:rPr>
              <w:t>Two-layer</w:t>
            </w:r>
          </w:p>
        </w:tc>
        <w:tc>
          <w:tcPr>
            <w:tcW w:type="dxa" w:w="4539"/>
          </w:tcPr>
          <w:p>
            <w:pPr>
              <w:spacing w:line="240" w:lineRule="auto" w:after="40" w:before="40"/>
            </w:pPr>
            <w:r>
              <w:rPr>
                <w:rFonts w:ascii="Arial" w:hAnsi="Arial" w:eastAsia="Arial" w:cs="Arial"/>
                <w:b w:val="0"/>
                <w:i w:val="0"/>
                <w:sz w:val="18"/>
              </w:rPr>
              <w:t>Layer 1 vs Layer 2 per-type independence</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-0.266</w:t>
            </w:r>
          </w:p>
        </w:tc>
        <w:tc>
          <w:tcPr>
            <w:tcW w:type="dxa" w:w="820"/>
          </w:tcPr>
          <w:p>
            <w:pPr>
              <w:spacing w:line="240" w:lineRule="auto" w:after="40" w:before="40"/>
            </w:pPr>
            <w:r>
              <w:rPr>
                <w:rFonts w:ascii="Arial" w:hAnsi="Arial" w:eastAsia="Arial" w:cs="Arial"/>
                <w:b w:val="0"/>
                <w:i w:val="0"/>
                <w:sz w:val="18"/>
              </w:rPr>
              <w:t>0.123</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4D</w:t>
            </w:r>
          </w:p>
        </w:tc>
      </w:tr>
      <w:tr>
        <w:tc>
          <w:tcPr>
            <w:tcW w:type="dxa" w:w="378"/>
          </w:tcPr>
          <w:p>
            <w:pPr>
              <w:spacing w:line="240" w:lineRule="auto" w:after="40" w:before="40"/>
            </w:pPr>
            <w:r>
              <w:rPr>
                <w:rFonts w:ascii="Arial" w:hAnsi="Arial" w:eastAsia="Arial" w:cs="Arial"/>
                <w:b w:val="0"/>
                <w:i w:val="0"/>
                <w:sz w:val="18"/>
              </w:rPr>
              <w:t>T32</w:t>
            </w:r>
          </w:p>
        </w:tc>
        <w:tc>
          <w:tcPr>
            <w:tcW w:type="dxa" w:w="1135"/>
          </w:tcPr>
          <w:p>
            <w:pPr>
              <w:spacing w:line="240" w:lineRule="auto" w:after="40" w:before="40"/>
            </w:pPr>
            <w:r>
              <w:rPr>
                <w:rFonts w:ascii="Arial" w:hAnsi="Arial" w:eastAsia="Arial" w:cs="Arial"/>
                <w:b w:val="0"/>
                <w:i w:val="0"/>
                <w:sz w:val="18"/>
              </w:rPr>
              <w:t>Two-layer</w:t>
            </w:r>
          </w:p>
        </w:tc>
        <w:tc>
          <w:tcPr>
            <w:tcW w:type="dxa" w:w="4539"/>
          </w:tcPr>
          <w:p>
            <w:pPr>
              <w:spacing w:line="240" w:lineRule="auto" w:after="40" w:before="40"/>
            </w:pPr>
            <w:r>
              <w:rPr>
                <w:rFonts w:ascii="Arial" w:hAnsi="Arial" w:eastAsia="Arial" w:cs="Arial"/>
                <w:b w:val="0"/>
                <w:i w:val="0"/>
                <w:sz w:val="18"/>
              </w:rPr>
              <w:t>Eigenvalue profile similarity permutation</w:t>
            </w:r>
          </w:p>
        </w:tc>
        <w:tc>
          <w:tcPr>
            <w:tcW w:type="dxa" w:w="1513"/>
          </w:tcPr>
          <w:p>
            <w:pPr>
              <w:spacing w:line="240" w:lineRule="auto" w:after="40" w:before="40"/>
            </w:pPr>
            <w:r>
              <w:rPr>
                <w:rFonts w:ascii="Arial" w:hAnsi="Arial" w:eastAsia="Arial" w:cs="Arial"/>
                <w:b w:val="0"/>
                <w:i w:val="0"/>
                <w:sz w:val="18"/>
              </w:rPr>
              <w:t>Permutation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mean r</w:t>
            </w:r>
          </w:p>
        </w:tc>
        <w:tc>
          <w:tcPr>
            <w:tcW w:type="dxa" w:w="693"/>
          </w:tcPr>
          <w:p>
            <w:pPr>
              <w:spacing w:line="240" w:lineRule="auto" w:after="40" w:before="40"/>
            </w:pPr>
            <w:r>
              <w:rPr>
                <w:rFonts w:ascii="Arial" w:hAnsi="Arial" w:eastAsia="Arial" w:cs="Arial"/>
                <w:b w:val="0"/>
                <w:i w:val="0"/>
                <w:sz w:val="18"/>
              </w:rPr>
              <w:t>0.953</w:t>
            </w:r>
          </w:p>
        </w:tc>
        <w:tc>
          <w:tcPr>
            <w:tcW w:type="dxa" w:w="820"/>
          </w:tcPr>
          <w:p>
            <w:pPr>
              <w:spacing w:line="240" w:lineRule="auto" w:after="40" w:before="40"/>
            </w:pPr>
            <w:r>
              <w:rPr>
                <w:rFonts w:ascii="Arial" w:hAnsi="Arial" w:eastAsia="Arial" w:cs="Arial"/>
                <w:b w:val="0"/>
                <w:i w:val="0"/>
                <w:sz w:val="18"/>
              </w:rPr>
              <w:t>0.866</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 (not carried)</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T33</w:t>
            </w:r>
          </w:p>
        </w:tc>
        <w:tc>
          <w:tcPr>
            <w:tcW w:type="dxa" w:w="1135"/>
          </w:tcPr>
          <w:p>
            <w:pPr>
              <w:spacing w:line="240" w:lineRule="auto" w:after="40" w:before="40"/>
            </w:pPr>
            <w:r>
              <w:rPr>
                <w:rFonts w:ascii="Arial" w:hAnsi="Arial" w:eastAsia="Arial" w:cs="Arial"/>
                <w:b w:val="0"/>
                <w:i w:val="0"/>
                <w:sz w:val="18"/>
              </w:rPr>
              <w:t>Two-layer</w:t>
            </w:r>
          </w:p>
        </w:tc>
        <w:tc>
          <w:tcPr>
            <w:tcW w:type="dxa" w:w="4539"/>
          </w:tcPr>
          <w:p>
            <w:pPr>
              <w:spacing w:line="240" w:lineRule="auto" w:after="40" w:before="40"/>
            </w:pPr>
            <w:r>
              <w:rPr>
                <w:rFonts w:ascii="Arial" w:hAnsi="Arial" w:eastAsia="Arial" w:cs="Arial"/>
                <w:b w:val="0"/>
                <w:i w:val="0"/>
                <w:sz w:val="18"/>
              </w:rPr>
              <w:t>Eigenvalue conservation vs Procrustes residual (post-hoc)</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0.395</w:t>
            </w:r>
          </w:p>
        </w:tc>
        <w:tc>
          <w:tcPr>
            <w:tcW w:type="dxa" w:w="820"/>
          </w:tcPr>
          <w:p>
            <w:pPr>
              <w:spacing w:line="240" w:lineRule="auto" w:after="40" w:before="40"/>
            </w:pPr>
            <w:r>
              <w:rPr>
                <w:rFonts w:ascii="Arial" w:hAnsi="Arial" w:eastAsia="Arial" w:cs="Arial"/>
                <w:b w:val="0"/>
                <w:i w:val="0"/>
                <w:sz w:val="18"/>
              </w:rPr>
              <w:t>0.019</w:t>
            </w:r>
          </w:p>
        </w:tc>
        <w:tc>
          <w:tcPr>
            <w:tcW w:type="dxa" w:w="883"/>
          </w:tcPr>
          <w:p>
            <w:pPr>
              <w:spacing w:line="240" w:lineRule="auto" w:after="40" w:before="40"/>
            </w:pPr>
            <w:r>
              <w:rPr>
                <w:rFonts w:ascii="Arial" w:hAnsi="Arial" w:eastAsia="Arial" w:cs="Arial"/>
                <w:b w:val="0"/>
                <w:i w:val="0"/>
                <w:sz w:val="18"/>
              </w:rPr>
              <w:t>0.988</w:t>
            </w:r>
          </w:p>
        </w:tc>
        <w:tc>
          <w:tcPr>
            <w:tcW w:type="dxa" w:w="1702"/>
          </w:tcPr>
          <w:p>
            <w:pPr>
              <w:spacing w:line="240" w:lineRule="auto" w:after="40" w:before="40"/>
            </w:pPr>
            <w:r>
              <w:rPr>
                <w:rFonts w:ascii="Arial" w:hAnsi="Arial" w:eastAsia="Arial" w:cs="Arial"/>
                <w:b w:val="0"/>
                <w:i w:val="0"/>
                <w:sz w:val="18"/>
              </w:rPr>
              <w:t>Exploratory (not carried)</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T34</w:t>
            </w:r>
          </w:p>
        </w:tc>
        <w:tc>
          <w:tcPr>
            <w:tcW w:type="dxa" w:w="1135"/>
          </w:tcPr>
          <w:p>
            <w:pPr>
              <w:spacing w:line="240" w:lineRule="auto" w:after="40" w:before="40"/>
            </w:pPr>
            <w:r>
              <w:rPr>
                <w:rFonts w:ascii="Arial" w:hAnsi="Arial" w:eastAsia="Arial" w:cs="Arial"/>
                <w:b w:val="0"/>
                <w:i w:val="0"/>
                <w:sz w:val="18"/>
              </w:rPr>
              <w:t>Ranking validation</w:t>
            </w:r>
          </w:p>
        </w:tc>
        <w:tc>
          <w:tcPr>
            <w:tcW w:type="dxa" w:w="4539"/>
          </w:tcPr>
          <w:p>
            <w:pPr>
              <w:spacing w:line="240" w:lineRule="auto" w:after="40" w:before="40"/>
            </w:pPr>
            <w:r>
              <w:rPr>
                <w:rFonts w:ascii="Arial" w:hAnsi="Arial" w:eastAsia="Arial" w:cs="Arial"/>
                <w:b w:val="0"/>
                <w:i w:val="0"/>
                <w:sz w:val="18"/>
              </w:rPr>
              <w:t>Overall 500-gene identity-set CellMarker enrichment (primary 16,959-gene background)</w:t>
            </w:r>
          </w:p>
        </w:tc>
        <w:tc>
          <w:tcPr>
            <w:tcW w:type="dxa" w:w="1513"/>
          </w:tcPr>
          <w:p>
            <w:pPr>
              <w:spacing w:line="240" w:lineRule="auto" w:after="40" w:before="40"/>
            </w:pPr>
            <w:r>
              <w:rPr>
                <w:rFonts w:ascii="Arial" w:hAnsi="Arial" w:eastAsia="Arial" w:cs="Arial"/>
                <w:b w:val="0"/>
                <w:i w:val="0"/>
                <w:sz w:val="18"/>
              </w:rPr>
              <w:t>Hypergeometric</w:t>
            </w:r>
          </w:p>
        </w:tc>
        <w:tc>
          <w:tcPr>
            <w:tcW w:type="dxa" w:w="441"/>
          </w:tcPr>
          <w:p>
            <w:pPr>
              <w:spacing w:line="240" w:lineRule="auto" w:after="40" w:before="40"/>
            </w:pPr>
            <w:r>
              <w:rPr>
                <w:rFonts w:ascii="Arial" w:hAnsi="Arial" w:eastAsia="Arial" w:cs="Arial"/>
                <w:b w:val="0"/>
                <w:i w:val="0"/>
                <w:sz w:val="18"/>
              </w:rPr>
              <w:t>500 genes</w:t>
            </w:r>
          </w:p>
        </w:tc>
        <w:tc>
          <w:tcPr>
            <w:tcW w:type="dxa" w:w="693"/>
          </w:tcPr>
          <w:p>
            <w:pPr>
              <w:spacing w:line="240" w:lineRule="auto" w:after="40" w:before="40"/>
            </w:pPr>
            <w:r>
              <w:rPr>
                <w:rFonts w:ascii="Arial" w:hAnsi="Arial" w:eastAsia="Arial" w:cs="Arial"/>
                <w:b w:val="0"/>
                <w:i w:val="0"/>
                <w:sz w:val="18"/>
              </w:rPr>
              <w:t>fold</w:t>
            </w:r>
          </w:p>
        </w:tc>
        <w:tc>
          <w:tcPr>
            <w:tcW w:type="dxa" w:w="693"/>
          </w:tcPr>
          <w:p>
            <w:pPr>
              <w:spacing w:line="240" w:lineRule="auto" w:after="40" w:before="40"/>
            </w:pPr>
            <w:r>
              <w:rPr>
                <w:rFonts w:ascii="Arial" w:hAnsi="Arial" w:eastAsia="Arial" w:cs="Arial"/>
                <w:b w:val="0"/>
                <w:i w:val="0"/>
                <w:sz w:val="18"/>
              </w:rPr>
              <w:t>4.49</w:t>
            </w:r>
          </w:p>
        </w:tc>
        <w:tc>
          <w:tcPr>
            <w:tcW w:type="dxa" w:w="820"/>
          </w:tcPr>
          <w:p>
            <w:pPr>
              <w:spacing w:line="240" w:lineRule="auto" w:after="40" w:before="40"/>
            </w:pPr>
            <w:r>
              <w:rPr>
                <w:rFonts w:ascii="Arial" w:hAnsi="Arial" w:eastAsia="Arial" w:cs="Arial"/>
                <w:b w:val="0"/>
                <w:i w:val="0"/>
                <w:sz w:val="18"/>
              </w:rPr>
              <w:t>2.1e-13</w:t>
            </w:r>
          </w:p>
        </w:tc>
        <w:tc>
          <w:tcPr>
            <w:tcW w:type="dxa" w:w="883"/>
          </w:tcPr>
          <w:p>
            <w:pPr>
              <w:spacing w:line="240" w:lineRule="auto" w:after="40" w:before="40"/>
            </w:pPr>
            <w:r>
              <w:rPr>
                <w:rFonts w:ascii="Arial" w:hAnsi="Arial" w:eastAsia="Arial" w:cs="Arial"/>
                <w:b w:val="0"/>
                <w:i w:val="0"/>
                <w:sz w:val="18"/>
              </w:rPr>
              <w:t>1.092e-11</w:t>
            </w:r>
          </w:p>
        </w:tc>
        <w:tc>
          <w:tcPr>
            <w:tcW w:type="dxa" w:w="1702"/>
          </w:tcPr>
          <w:p>
            <w:pPr>
              <w:spacing w:line="240" w:lineRule="auto" w:after="40" w:before="40"/>
            </w:pPr>
            <w:r>
              <w:rPr>
                <w:rFonts w:ascii="Arial" w:hAnsi="Arial" w:eastAsia="Arial" w:cs="Arial"/>
                <w:b w:val="0"/>
                <w:i w:val="0"/>
                <w:sz w:val="18"/>
              </w:rPr>
              <w:t>Exploratory (respecified)</w:t>
            </w:r>
          </w:p>
        </w:tc>
        <w:tc>
          <w:tcPr>
            <w:tcW w:type="dxa" w:w="883"/>
          </w:tcPr>
          <w:p>
            <w:pPr>
              <w:spacing w:line="240" w:lineRule="auto" w:after="40" w:before="40"/>
            </w:pPr>
            <w:r>
              <w:rPr>
                <w:rFonts w:ascii="Arial" w:hAnsi="Arial" w:eastAsia="Arial" w:cs="Arial"/>
                <w:b w:val="0"/>
                <w:i w:val="0"/>
                <w:sz w:val="18"/>
              </w:rPr>
              <w:t>Fig S6</w:t>
            </w:r>
          </w:p>
        </w:tc>
      </w:tr>
      <w:tr>
        <w:tc>
          <w:tcPr>
            <w:tcW w:type="dxa" w:w="378"/>
          </w:tcPr>
          <w:p>
            <w:pPr>
              <w:spacing w:line="240" w:lineRule="auto" w:after="40" w:before="40"/>
            </w:pPr>
            <w:r>
              <w:rPr>
                <w:rFonts w:ascii="Arial" w:hAnsi="Arial" w:eastAsia="Arial" w:cs="Arial"/>
                <w:b w:val="0"/>
                <w:i w:val="0"/>
                <w:sz w:val="18"/>
              </w:rPr>
              <w:t>T35</w:t>
            </w:r>
          </w:p>
        </w:tc>
        <w:tc>
          <w:tcPr>
            <w:tcW w:type="dxa" w:w="1135"/>
          </w:tcPr>
          <w:p>
            <w:pPr>
              <w:spacing w:line="240" w:lineRule="auto" w:after="40" w:before="40"/>
            </w:pPr>
            <w:r>
              <w:rPr>
                <w:rFonts w:ascii="Arial" w:hAnsi="Arial" w:eastAsia="Arial" w:cs="Arial"/>
                <w:b w:val="0"/>
                <w:i w:val="0"/>
                <w:sz w:val="18"/>
              </w:rPr>
              <w:t>Ranking validation</w:t>
            </w:r>
          </w:p>
        </w:tc>
        <w:tc>
          <w:tcPr>
            <w:tcW w:type="dxa" w:w="4539"/>
          </w:tcPr>
          <w:p>
            <w:pPr>
              <w:spacing w:line="240" w:lineRule="auto" w:after="40" w:before="40"/>
            </w:pPr>
            <w:r>
              <w:rPr>
                <w:rFonts w:ascii="Arial" w:hAnsi="Arial" w:eastAsia="Arial" w:cs="Arial"/>
                <w:b w:val="0"/>
                <w:i w:val="0"/>
                <w:sz w:val="18"/>
              </w:rPr>
              <w:t>Overall 500-gene identity-set CellMarker enrichment (expression-matched background)</w:t>
            </w:r>
          </w:p>
        </w:tc>
        <w:tc>
          <w:tcPr>
            <w:tcW w:type="dxa" w:w="1513"/>
          </w:tcPr>
          <w:p>
            <w:pPr>
              <w:spacing w:line="240" w:lineRule="auto" w:after="40" w:before="40"/>
            </w:pPr>
            <w:r>
              <w:rPr>
                <w:rFonts w:ascii="Arial" w:hAnsi="Arial" w:eastAsia="Arial" w:cs="Arial"/>
                <w:b w:val="0"/>
                <w:i w:val="0"/>
                <w:sz w:val="18"/>
              </w:rPr>
              <w:t>Hypergeometric</w:t>
            </w:r>
          </w:p>
        </w:tc>
        <w:tc>
          <w:tcPr>
            <w:tcW w:type="dxa" w:w="441"/>
          </w:tcPr>
          <w:p>
            <w:pPr>
              <w:spacing w:line="240" w:lineRule="auto" w:after="40" w:before="40"/>
            </w:pPr>
            <w:r>
              <w:rPr>
                <w:rFonts w:ascii="Arial" w:hAnsi="Arial" w:eastAsia="Arial" w:cs="Arial"/>
                <w:b w:val="0"/>
                <w:i w:val="0"/>
                <w:sz w:val="18"/>
              </w:rPr>
              <w:t>500 genes</w:t>
            </w:r>
          </w:p>
        </w:tc>
        <w:tc>
          <w:tcPr>
            <w:tcW w:type="dxa" w:w="693"/>
          </w:tcPr>
          <w:p>
            <w:pPr>
              <w:spacing w:line="240" w:lineRule="auto" w:after="40" w:before="40"/>
            </w:pPr>
            <w:r>
              <w:rPr>
                <w:rFonts w:ascii="Arial" w:hAnsi="Arial" w:eastAsia="Arial" w:cs="Arial"/>
                <w:b w:val="0"/>
                <w:i w:val="0"/>
                <w:sz w:val="18"/>
              </w:rPr>
              <w:t>fold</w:t>
            </w:r>
          </w:p>
        </w:tc>
        <w:tc>
          <w:tcPr>
            <w:tcW w:type="dxa" w:w="693"/>
          </w:tcPr>
          <w:p>
            <w:pPr>
              <w:spacing w:line="240" w:lineRule="auto" w:after="40" w:before="40"/>
            </w:pPr>
            <w:r>
              <w:rPr>
                <w:rFonts w:ascii="Arial" w:hAnsi="Arial" w:eastAsia="Arial" w:cs="Arial"/>
                <w:b w:val="0"/>
                <w:i w:val="0"/>
                <w:sz w:val="18"/>
              </w:rPr>
              <w:t>3.32</w:t>
            </w:r>
          </w:p>
        </w:tc>
        <w:tc>
          <w:tcPr>
            <w:tcW w:type="dxa" w:w="820"/>
          </w:tcPr>
          <w:p>
            <w:pPr>
              <w:spacing w:line="240" w:lineRule="auto" w:after="40" w:before="40"/>
            </w:pPr>
            <w:r>
              <w:rPr>
                <w:rFonts w:ascii="Arial" w:hAnsi="Arial" w:eastAsia="Arial" w:cs="Arial"/>
                <w:b w:val="0"/>
                <w:i w:val="0"/>
                <w:sz w:val="18"/>
              </w:rPr>
              <w:t>1.15e-12</w:t>
            </w:r>
          </w:p>
        </w:tc>
        <w:tc>
          <w:tcPr>
            <w:tcW w:type="dxa" w:w="883"/>
          </w:tcPr>
          <w:p>
            <w:pPr>
              <w:spacing w:line="240" w:lineRule="auto" w:after="40" w:before="40"/>
            </w:pPr>
            <w:r>
              <w:rPr>
                <w:rFonts w:ascii="Arial" w:hAnsi="Arial" w:eastAsia="Arial" w:cs="Arial"/>
                <w:b w:val="0"/>
                <w:i w:val="0"/>
                <w:sz w:val="18"/>
              </w:rPr>
              <w:t>5.98e-11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S6</w:t>
            </w:r>
          </w:p>
        </w:tc>
      </w:tr>
      <w:tr>
        <w:tc>
          <w:tcPr>
            <w:tcW w:type="dxa" w:w="378"/>
          </w:tcPr>
          <w:p>
            <w:pPr>
              <w:spacing w:line="240" w:lineRule="auto" w:after="40" w:before="40"/>
            </w:pPr>
            <w:r>
              <w:rPr>
                <w:rFonts w:ascii="Arial" w:hAnsi="Arial" w:eastAsia="Arial" w:cs="Arial"/>
                <w:b w:val="0"/>
                <w:i w:val="0"/>
                <w:sz w:val="18"/>
              </w:rPr>
              <w:t>T36</w:t>
            </w:r>
          </w:p>
        </w:tc>
        <w:tc>
          <w:tcPr>
            <w:tcW w:type="dxa" w:w="1135"/>
          </w:tcPr>
          <w:p>
            <w:pPr>
              <w:spacing w:line="240" w:lineRule="auto" w:after="40" w:before="40"/>
            </w:pPr>
            <w:r>
              <w:rPr>
                <w:rFonts w:ascii="Arial" w:hAnsi="Arial" w:eastAsia="Arial" w:cs="Arial"/>
                <w:b w:val="0"/>
                <w:i w:val="0"/>
                <w:sz w:val="18"/>
              </w:rPr>
              <w:t>Ranking validation</w:t>
            </w:r>
          </w:p>
        </w:tc>
        <w:tc>
          <w:tcPr>
            <w:tcW w:type="dxa" w:w="4539"/>
          </w:tcPr>
          <w:p>
            <w:pPr>
              <w:spacing w:line="240" w:lineRule="auto" w:after="40" w:before="40"/>
            </w:pPr>
            <w:r>
              <w:rPr>
                <w:rFonts w:ascii="Arial" w:hAnsi="Arial" w:eastAsia="Arial" w:cs="Arial"/>
                <w:b w:val="0"/>
                <w:i w:val="0"/>
                <w:sz w:val="18"/>
              </w:rPr>
              <w:t>Cell count vs Procrustes residual</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0.052</w:t>
            </w:r>
          </w:p>
        </w:tc>
        <w:tc>
          <w:tcPr>
            <w:tcW w:type="dxa" w:w="820"/>
          </w:tcPr>
          <w:p>
            <w:pPr>
              <w:spacing w:line="240" w:lineRule="auto" w:after="40" w:before="40"/>
            </w:pPr>
            <w:r>
              <w:rPr>
                <w:rFonts w:ascii="Arial" w:hAnsi="Arial" w:eastAsia="Arial" w:cs="Arial"/>
                <w:b w:val="0"/>
                <w:i w:val="0"/>
                <w:sz w:val="18"/>
              </w:rPr>
              <w:t>0.768</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6B</w:t>
            </w:r>
          </w:p>
        </w:tc>
      </w:tr>
      <w:tr>
        <w:tc>
          <w:tcPr>
            <w:tcW w:type="dxa" w:w="378"/>
          </w:tcPr>
          <w:p>
            <w:pPr>
              <w:spacing w:line="240" w:lineRule="auto" w:after="40" w:before="40"/>
            </w:pPr>
            <w:r>
              <w:rPr>
                <w:rFonts w:ascii="Arial" w:hAnsi="Arial" w:eastAsia="Arial" w:cs="Arial"/>
                <w:b w:val="0"/>
                <w:i w:val="0"/>
                <w:sz w:val="18"/>
              </w:rPr>
              <w:t>T37</w:t>
            </w:r>
          </w:p>
        </w:tc>
        <w:tc>
          <w:tcPr>
            <w:tcW w:type="dxa" w:w="1135"/>
          </w:tcPr>
          <w:p>
            <w:pPr>
              <w:spacing w:line="240" w:lineRule="auto" w:after="40" w:before="40"/>
            </w:pPr>
            <w:r>
              <w:rPr>
                <w:rFonts w:ascii="Arial" w:hAnsi="Arial" w:eastAsia="Arial" w:cs="Arial"/>
                <w:b w:val="0"/>
                <w:i w:val="0"/>
                <w:sz w:val="18"/>
              </w:rPr>
              <w:t>Ranking validation</w:t>
            </w:r>
          </w:p>
        </w:tc>
        <w:tc>
          <w:tcPr>
            <w:tcW w:type="dxa" w:w="4539"/>
          </w:tcPr>
          <w:p>
            <w:pPr>
              <w:spacing w:line="240" w:lineRule="auto" w:after="40" w:before="40"/>
            </w:pPr>
            <w:r>
              <w:rPr>
                <w:rFonts w:ascii="Arial" w:hAnsi="Arial" w:eastAsia="Arial" w:cs="Arial"/>
                <w:b w:val="0"/>
                <w:i w:val="0"/>
                <w:sz w:val="18"/>
              </w:rPr>
              <w:t>Cell count vs Procrustes residual (partial, lineage control)</w:t>
            </w:r>
          </w:p>
        </w:tc>
        <w:tc>
          <w:tcPr>
            <w:tcW w:type="dxa" w:w="1513"/>
          </w:tcPr>
          <w:p>
            <w:pPr>
              <w:spacing w:line="240" w:lineRule="auto" w:after="40" w:before="40"/>
            </w:pPr>
            <w:r>
              <w:rPr>
                <w:rFonts w:ascii="Arial" w:hAnsi="Arial" w:eastAsia="Arial" w:cs="Arial"/>
                <w:b w:val="0"/>
                <w:i w:val="0"/>
                <w:sz w:val="18"/>
              </w:rPr>
              <w:t>Partial 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partial ρ</w:t>
            </w:r>
          </w:p>
        </w:tc>
        <w:tc>
          <w:tcPr>
            <w:tcW w:type="dxa" w:w="693"/>
          </w:tcPr>
          <w:p>
            <w:pPr>
              <w:spacing w:line="240" w:lineRule="auto" w:after="40" w:before="40"/>
            </w:pPr>
            <w:r>
              <w:rPr>
                <w:rFonts w:ascii="Arial" w:hAnsi="Arial" w:eastAsia="Arial" w:cs="Arial"/>
                <w:b w:val="0"/>
                <w:i w:val="0"/>
                <w:sz w:val="18"/>
              </w:rPr>
              <w:t>0.061</w:t>
            </w:r>
          </w:p>
        </w:tc>
        <w:tc>
          <w:tcPr>
            <w:tcW w:type="dxa" w:w="820"/>
          </w:tcPr>
          <w:p>
            <w:pPr>
              <w:spacing w:line="240" w:lineRule="auto" w:after="40" w:before="40"/>
            </w:pPr>
            <w:r>
              <w:rPr>
                <w:rFonts w:ascii="Arial" w:hAnsi="Arial" w:eastAsia="Arial" w:cs="Arial"/>
                <w:b w:val="0"/>
                <w:i w:val="0"/>
                <w:sz w:val="18"/>
              </w:rPr>
              <w:t>0.732</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6B</w:t>
            </w:r>
          </w:p>
        </w:tc>
      </w:tr>
      <w:tr>
        <w:tc>
          <w:tcPr>
            <w:tcW w:type="dxa" w:w="378"/>
          </w:tcPr>
          <w:p>
            <w:pPr>
              <w:spacing w:line="240" w:lineRule="auto" w:after="40" w:before="40"/>
            </w:pPr>
            <w:r>
              <w:rPr>
                <w:rFonts w:ascii="Arial" w:hAnsi="Arial" w:eastAsia="Arial" w:cs="Arial"/>
                <w:b w:val="0"/>
                <w:i w:val="0"/>
                <w:sz w:val="18"/>
              </w:rPr>
              <w:t>T38</w:t>
            </w:r>
          </w:p>
        </w:tc>
        <w:tc>
          <w:tcPr>
            <w:tcW w:type="dxa" w:w="1135"/>
          </w:tcPr>
          <w:p>
            <w:pPr>
              <w:spacing w:line="240" w:lineRule="auto" w:after="40" w:before="40"/>
            </w:pPr>
            <w:r>
              <w:rPr>
                <w:rFonts w:ascii="Arial" w:hAnsi="Arial" w:eastAsia="Arial" w:cs="Arial"/>
                <w:b w:val="0"/>
                <w:i w:val="0"/>
                <w:sz w:val="18"/>
              </w:rPr>
              <w:t>Ranking validation</w:t>
            </w:r>
          </w:p>
        </w:tc>
        <w:tc>
          <w:tcPr>
            <w:tcW w:type="dxa" w:w="4539"/>
          </w:tcPr>
          <w:p>
            <w:pPr>
              <w:spacing w:line="240" w:lineRule="auto" w:after="40" w:before="40"/>
            </w:pPr>
            <w:r>
              <w:rPr>
                <w:rFonts w:ascii="Arial" w:hAnsi="Arial" w:eastAsia="Arial" w:cs="Arial"/>
                <w:b w:val="0"/>
                <w:i w:val="0"/>
                <w:sz w:val="18"/>
              </w:rPr>
              <w:t>L1000 ranking preservation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0.852</w:t>
            </w:r>
          </w:p>
        </w:tc>
        <w:tc>
          <w:tcPr>
            <w:tcW w:type="dxa" w:w="820"/>
          </w:tcPr>
          <w:p>
            <w:pPr>
              <w:spacing w:line="240" w:lineRule="auto" w:after="40" w:before="40"/>
            </w:pPr>
            <w:r>
              <w:rPr>
                <w:rFonts w:ascii="Arial" w:hAnsi="Arial" w:eastAsia="Arial" w:cs="Arial"/>
                <w:b w:val="0"/>
                <w:i w:val="0"/>
                <w:sz w:val="18"/>
              </w:rPr>
              <w:t>8.9e-11</w:t>
            </w:r>
          </w:p>
        </w:tc>
        <w:tc>
          <w:tcPr>
            <w:tcW w:type="dxa" w:w="883"/>
          </w:tcPr>
          <w:p>
            <w:pPr>
              <w:spacing w:line="240" w:lineRule="auto" w:after="40" w:before="40"/>
            </w:pPr>
            <w:r>
              <w:rPr>
                <w:rFonts w:ascii="Arial" w:hAnsi="Arial" w:eastAsia="Arial" w:cs="Arial"/>
                <w:b w:val="0"/>
                <w:i w:val="0"/>
                <w:sz w:val="18"/>
              </w:rPr>
              <w:t>4.628e-09</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7A</w:t>
            </w:r>
          </w:p>
        </w:tc>
      </w:tr>
      <w:tr>
        <w:tc>
          <w:tcPr>
            <w:tcW w:type="dxa" w:w="378"/>
          </w:tcPr>
          <w:p>
            <w:pPr>
              <w:spacing w:line="240" w:lineRule="auto" w:after="40" w:before="40"/>
            </w:pPr>
            <w:r>
              <w:rPr>
                <w:rFonts w:ascii="Arial" w:hAnsi="Arial" w:eastAsia="Arial" w:cs="Arial"/>
                <w:b w:val="0"/>
                <w:i w:val="0"/>
                <w:sz w:val="18"/>
              </w:rPr>
              <w:t>T39</w:t>
            </w:r>
          </w:p>
        </w:tc>
        <w:tc>
          <w:tcPr>
            <w:tcW w:type="dxa" w:w="1135"/>
          </w:tcPr>
          <w:p>
            <w:pPr>
              <w:spacing w:line="240" w:lineRule="auto" w:after="40" w:before="40"/>
            </w:pPr>
            <w:r>
              <w:rPr>
                <w:rFonts w:ascii="Arial" w:hAnsi="Arial" w:eastAsia="Arial" w:cs="Arial"/>
                <w:b w:val="0"/>
                <w:i w:val="0"/>
                <w:sz w:val="18"/>
              </w:rPr>
              <w:t>Ranking validation</w:t>
            </w:r>
          </w:p>
        </w:tc>
        <w:tc>
          <w:tcPr>
            <w:tcW w:type="dxa" w:w="4539"/>
          </w:tcPr>
          <w:p>
            <w:pPr>
              <w:spacing w:line="240" w:lineRule="auto" w:after="40" w:before="40"/>
            </w:pPr>
            <w:r>
              <w:rPr>
                <w:rFonts w:ascii="Arial" w:hAnsi="Arial" w:eastAsia="Arial" w:cs="Arial"/>
                <w:b w:val="0"/>
                <w:i w:val="0"/>
                <w:sz w:val="18"/>
              </w:rPr>
              <w:t>L1000 vs random baseline</w:t>
            </w:r>
          </w:p>
        </w:tc>
        <w:tc>
          <w:tcPr>
            <w:tcW w:type="dxa" w:w="1513"/>
          </w:tcPr>
          <w:p>
            <w:pPr>
              <w:spacing w:line="240" w:lineRule="auto" w:after="40" w:before="40"/>
            </w:pPr>
            <w:r>
              <w:rPr>
                <w:rFonts w:ascii="Arial" w:hAnsi="Arial" w:eastAsia="Arial" w:cs="Arial"/>
                <w:b w:val="0"/>
                <w:i w:val="0"/>
                <w:sz w:val="18"/>
              </w:rPr>
              <w:t>Empirical (1000 iter)</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emp. p</w:t>
            </w:r>
          </w:p>
        </w:tc>
        <w:tc>
          <w:tcPr>
            <w:tcW w:type="dxa" w:w="693"/>
          </w:tcPr>
          <w:p>
            <w:pPr>
              <w:spacing w:line="240" w:lineRule="auto" w:after="40" w:before="40"/>
            </w:pPr>
            <w:r>
              <w:rPr>
                <w:rFonts w:ascii="Arial" w:hAnsi="Arial" w:eastAsia="Arial" w:cs="Arial"/>
                <w:b w:val="0"/>
                <w:i w:val="0"/>
                <w:sz w:val="18"/>
              </w:rPr>
              <w:t>–</w:t>
            </w:r>
          </w:p>
        </w:tc>
        <w:tc>
          <w:tcPr>
            <w:tcW w:type="dxa" w:w="820"/>
          </w:tcPr>
          <w:p>
            <w:pPr>
              <w:spacing w:line="240" w:lineRule="auto" w:after="40" w:before="40"/>
            </w:pPr>
            <w:r>
              <w:rPr>
                <w:rFonts w:ascii="Arial" w:hAnsi="Arial" w:eastAsia="Arial" w:cs="Arial"/>
                <w:b w:val="0"/>
                <w:i w:val="0"/>
                <w:sz w:val="18"/>
              </w:rPr>
              <w:t>0.031</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7A</w:t>
            </w:r>
          </w:p>
        </w:tc>
      </w:tr>
      <w:tr>
        <w:tc>
          <w:tcPr>
            <w:tcW w:type="dxa" w:w="378"/>
          </w:tcPr>
          <w:p>
            <w:pPr>
              <w:spacing w:line="240" w:lineRule="auto" w:after="40" w:before="40"/>
            </w:pPr>
            <w:r>
              <w:rPr>
                <w:rFonts w:ascii="Arial" w:hAnsi="Arial" w:eastAsia="Arial" w:cs="Arial"/>
                <w:b w:val="0"/>
                <w:i w:val="0"/>
                <w:sz w:val="18"/>
              </w:rPr>
              <w:t>T40</w:t>
            </w:r>
          </w:p>
        </w:tc>
        <w:tc>
          <w:tcPr>
            <w:tcW w:type="dxa" w:w="1135"/>
          </w:tcPr>
          <w:p>
            <w:pPr>
              <w:spacing w:line="240" w:lineRule="auto" w:after="40" w:before="40"/>
            </w:pPr>
            <w:r>
              <w:rPr>
                <w:rFonts w:ascii="Arial" w:hAnsi="Arial" w:eastAsia="Arial" w:cs="Arial"/>
                <w:b w:val="0"/>
                <w:i w:val="0"/>
                <w:sz w:val="18"/>
              </w:rPr>
              <w:t>Biological predictors</w:t>
            </w:r>
          </w:p>
        </w:tc>
        <w:tc>
          <w:tcPr>
            <w:tcW w:type="dxa" w:w="4539"/>
          </w:tcPr>
          <w:p>
            <w:pPr>
              <w:spacing w:line="240" w:lineRule="auto" w:after="40" w:before="40"/>
            </w:pPr>
            <w:r>
              <w:rPr>
                <w:rFonts w:ascii="Arial" w:hAnsi="Arial" w:eastAsia="Arial" w:cs="Arial"/>
                <w:b w:val="0"/>
                <w:i w:val="0"/>
                <w:sz w:val="18"/>
              </w:rPr>
              <w:t>Progenitor/stem cell status vs Procrustes residual</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0.43</w:t>
            </w:r>
          </w:p>
        </w:tc>
        <w:tc>
          <w:tcPr>
            <w:tcW w:type="dxa" w:w="820"/>
          </w:tcPr>
          <w:p>
            <w:pPr>
              <w:spacing w:line="240" w:lineRule="auto" w:after="40" w:before="40"/>
            </w:pPr>
            <w:r>
              <w:rPr>
                <w:rFonts w:ascii="Arial" w:hAnsi="Arial" w:eastAsia="Arial" w:cs="Arial"/>
                <w:b w:val="0"/>
                <w:i w:val="0"/>
                <w:sz w:val="18"/>
              </w:rPr>
              <w:t>0.01</w:t>
            </w:r>
          </w:p>
        </w:tc>
        <w:tc>
          <w:tcPr>
            <w:tcW w:type="dxa" w:w="883"/>
          </w:tcPr>
          <w:p>
            <w:pPr>
              <w:spacing w:line="240" w:lineRule="auto" w:after="40" w:before="40"/>
            </w:pPr>
            <w:r>
              <w:rPr>
                <w:rFonts w:ascii="Arial" w:hAnsi="Arial" w:eastAsia="Arial" w:cs="Arial"/>
                <w:b w:val="0"/>
                <w:i w:val="0"/>
                <w:sz w:val="18"/>
              </w:rPr>
              <w:t>0.52</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Table S1</w:t>
            </w:r>
          </w:p>
        </w:tc>
      </w:tr>
      <w:tr>
        <w:tc>
          <w:tcPr>
            <w:tcW w:type="dxa" w:w="378"/>
          </w:tcPr>
          <w:p>
            <w:pPr>
              <w:spacing w:line="240" w:lineRule="auto" w:after="40" w:before="40"/>
            </w:pPr>
            <w:r>
              <w:rPr>
                <w:rFonts w:ascii="Arial" w:hAnsi="Arial" w:eastAsia="Arial" w:cs="Arial"/>
                <w:b w:val="0"/>
                <w:i w:val="0"/>
                <w:sz w:val="18"/>
              </w:rPr>
              <w:t>T41</w:t>
            </w:r>
          </w:p>
        </w:tc>
        <w:tc>
          <w:tcPr>
            <w:tcW w:type="dxa" w:w="1135"/>
          </w:tcPr>
          <w:p>
            <w:pPr>
              <w:spacing w:line="240" w:lineRule="auto" w:after="40" w:before="40"/>
            </w:pPr>
            <w:r>
              <w:rPr>
                <w:rFonts w:ascii="Arial" w:hAnsi="Arial" w:eastAsia="Arial" w:cs="Arial"/>
                <w:b w:val="0"/>
                <w:i w:val="0"/>
                <w:sz w:val="18"/>
              </w:rPr>
              <w:t>Biological predictors</w:t>
            </w:r>
          </w:p>
        </w:tc>
        <w:tc>
          <w:tcPr>
            <w:tcW w:type="dxa" w:w="4539"/>
          </w:tcPr>
          <w:p>
            <w:pPr>
              <w:spacing w:line="240" w:lineRule="auto" w:after="40" w:before="40"/>
            </w:pPr>
            <w:r>
              <w:rPr>
                <w:rFonts w:ascii="Arial" w:hAnsi="Arial" w:eastAsia="Arial" w:cs="Arial"/>
                <w:b w:val="0"/>
                <w:i w:val="0"/>
                <w:sz w:val="18"/>
              </w:rPr>
              <w:t>Progenitor status (10x-only restriction)</w:t>
            </w:r>
          </w:p>
        </w:tc>
        <w:tc>
          <w:tcPr>
            <w:tcW w:type="dxa" w:w="1513"/>
          </w:tcPr>
          <w:p>
            <w:pPr>
              <w:spacing w:line="240" w:lineRule="auto" w:after="40" w:before="40"/>
            </w:pPr>
            <w:r>
              <w:rPr>
                <w:rFonts w:ascii="Arial" w:hAnsi="Arial" w:eastAsia="Arial" w:cs="Arial"/>
                <w:b w:val="0"/>
                <w:i w:val="0"/>
                <w:sz w:val="18"/>
              </w:rPr>
              <w:t>Mann-Whitney U</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p only</w:t>
            </w:r>
          </w:p>
        </w:tc>
        <w:tc>
          <w:tcPr>
            <w:tcW w:type="dxa" w:w="693"/>
          </w:tcPr>
          <w:p>
            <w:pPr>
              <w:spacing w:line="240" w:lineRule="auto" w:after="40" w:before="40"/>
            </w:pPr>
            <w:r>
              <w:rPr>
                <w:rFonts w:ascii="Arial" w:hAnsi="Arial" w:eastAsia="Arial" w:cs="Arial"/>
                <w:b w:val="0"/>
                <w:i w:val="0"/>
                <w:sz w:val="18"/>
              </w:rPr>
              <w:t>0.119</w:t>
            </w:r>
          </w:p>
        </w:tc>
        <w:tc>
          <w:tcPr>
            <w:tcW w:type="dxa" w:w="820"/>
          </w:tcPr>
          <w:p>
            <w:pPr>
              <w:spacing w:line="240" w:lineRule="auto" w:after="40" w:before="40"/>
            </w:pPr>
            <w:r>
              <w:rPr>
                <w:rFonts w:ascii="Arial" w:hAnsi="Arial" w:eastAsia="Arial" w:cs="Arial"/>
                <w:b w:val="0"/>
                <w:i w:val="0"/>
                <w:sz w:val="18"/>
              </w:rPr>
              <w:t>0.119</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T42</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1: Housekeeping gene ratio</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0.167</w:t>
            </w:r>
          </w:p>
        </w:tc>
        <w:tc>
          <w:tcPr>
            <w:tcW w:type="dxa" w:w="820"/>
          </w:tcPr>
          <w:p>
            <w:pPr>
              <w:spacing w:line="240" w:lineRule="auto" w:after="40" w:before="40"/>
            </w:pPr>
            <w:r>
              <w:rPr>
                <w:rFonts w:ascii="Arial" w:hAnsi="Arial" w:eastAsia="Arial" w:cs="Arial"/>
                <w:b w:val="0"/>
                <w:i w:val="0"/>
                <w:sz w:val="18"/>
              </w:rPr>
              <w:t>0.337</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T43</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2: TF network complexity</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-0.229</w:t>
            </w:r>
          </w:p>
        </w:tc>
        <w:tc>
          <w:tcPr>
            <w:tcW w:type="dxa" w:w="820"/>
          </w:tcPr>
          <w:p>
            <w:pPr>
              <w:spacing w:line="240" w:lineRule="auto" w:after="40" w:before="40"/>
            </w:pPr>
            <w:r>
              <w:rPr>
                <w:rFonts w:ascii="Arial" w:hAnsi="Arial" w:eastAsia="Arial" w:cs="Arial"/>
                <w:b w:val="0"/>
                <w:i w:val="0"/>
                <w:sz w:val="18"/>
              </w:rPr>
              <w:t>0.185</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T44</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3: Niche adaptation gene sets (0/6 sig)</w:t>
            </w:r>
          </w:p>
        </w:tc>
        <w:tc>
          <w:tcPr>
            <w:tcW w:type="dxa" w:w="1513"/>
          </w:tcPr>
          <w:p>
            <w:pPr>
              <w:spacing w:line="240" w:lineRule="auto" w:after="40" w:before="40"/>
            </w:pPr>
            <w:r>
              <w:rPr>
                <w:rFonts w:ascii="Arial" w:hAnsi="Arial" w:eastAsia="Arial" w:cs="Arial"/>
                <w:b w:val="0"/>
                <w:i w:val="0"/>
                <w:sz w:val="18"/>
              </w:rPr>
              <w:t>Fisher's exact + FDR</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w:t>
            </w:r>
          </w:p>
        </w:tc>
        <w:tc>
          <w:tcPr>
            <w:tcW w:type="dxa" w:w="693"/>
          </w:tcPr>
          <w:p>
            <w:pPr>
              <w:spacing w:line="240" w:lineRule="auto" w:after="40" w:before="40"/>
            </w:pPr>
            <w:r>
              <w:rPr>
                <w:rFonts w:ascii="Arial" w:hAnsi="Arial" w:eastAsia="Arial" w:cs="Arial"/>
                <w:b w:val="0"/>
                <w:i w:val="0"/>
                <w:sz w:val="18"/>
              </w:rPr>
              <w:t>0/6 sig</w:t>
            </w:r>
          </w:p>
        </w:tc>
        <w:tc>
          <w:tcPr>
            <w:tcW w:type="dxa" w:w="820"/>
          </w:tcPr>
          <w:p>
            <w:pPr>
              <w:spacing w:line="240" w:lineRule="auto" w:after="40" w:before="40"/>
            </w:pPr>
            <w:r>
              <w:rPr>
                <w:rFonts w:ascii="Arial" w:hAnsi="Arial" w:eastAsia="Arial" w:cs="Arial"/>
                <w:b w:val="0"/>
                <w:i w:val="0"/>
                <w:sz w:val="18"/>
              </w:rPr>
              <w:t>0.045–1.0 (0/6 sig after FDR)</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T45</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4: Within-type expression variance</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-0.038</w:t>
            </w:r>
          </w:p>
        </w:tc>
        <w:tc>
          <w:tcPr>
            <w:tcW w:type="dxa" w:w="820"/>
          </w:tcPr>
          <w:p>
            <w:pPr>
              <w:spacing w:line="240" w:lineRule="auto" w:after="40" w:before="40"/>
            </w:pPr>
            <w:r>
              <w:rPr>
                <w:rFonts w:ascii="Arial" w:hAnsi="Arial" w:eastAsia="Arial" w:cs="Arial"/>
                <w:b w:val="0"/>
                <w:i w:val="0"/>
                <w:sz w:val="18"/>
              </w:rPr>
              <w:t>0.828</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T46</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5: Inter-donor expression variance</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-0.127</w:t>
            </w:r>
          </w:p>
        </w:tc>
        <w:tc>
          <w:tcPr>
            <w:tcW w:type="dxa" w:w="820"/>
          </w:tcPr>
          <w:p>
            <w:pPr>
              <w:spacing w:line="240" w:lineRule="auto" w:after="40" w:before="40"/>
            </w:pPr>
            <w:r>
              <w:rPr>
                <w:rFonts w:ascii="Arial" w:hAnsi="Arial" w:eastAsia="Arial" w:cs="Arial"/>
                <w:b w:val="0"/>
                <w:i w:val="0"/>
                <w:sz w:val="18"/>
              </w:rPr>
              <w:t>0.469</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T47</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6: Expression-level confounds</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all ρ</w:t>
            </w:r>
          </w:p>
        </w:tc>
        <w:tc>
          <w:tcPr>
            <w:tcW w:type="dxa" w:w="693"/>
          </w:tcPr>
          <w:p>
            <w:pPr>
              <w:spacing w:line="240" w:lineRule="auto" w:after="40" w:before="40"/>
            </w:pPr>
            <w:r>
              <w:rPr>
                <w:rFonts w:ascii="Arial" w:hAnsi="Arial" w:eastAsia="Arial" w:cs="Arial"/>
                <w:b w:val="0"/>
                <w:i w:val="0"/>
                <w:sz w:val="18"/>
              </w:rPr>
              <w:t>&lt; 0.21</w:t>
            </w:r>
          </w:p>
        </w:tc>
        <w:tc>
          <w:tcPr>
            <w:tcW w:type="dxa" w:w="820"/>
          </w:tcPr>
          <w:p>
            <w:pPr>
              <w:spacing w:line="240" w:lineRule="auto" w:after="40" w:before="40"/>
            </w:pPr>
            <w:r>
              <w:rPr>
                <w:rFonts w:ascii="Arial" w:hAnsi="Arial" w:eastAsia="Arial" w:cs="Arial"/>
                <w:b w:val="0"/>
                <w:i w:val="0"/>
                <w:sz w:val="18"/>
              </w:rPr>
              <w:t>all p &gt; 0.2 (11 sub-tests)</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T48</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7: PPI network centrality (best of 27)</w:t>
            </w:r>
          </w:p>
        </w:tc>
        <w:tc>
          <w:tcPr>
            <w:tcW w:type="dxa" w:w="1513"/>
          </w:tcPr>
          <w:p>
            <w:pPr>
              <w:spacing w:line="240" w:lineRule="auto" w:after="40" w:before="40"/>
            </w:pPr>
            <w:r>
              <w:rPr>
                <w:rFonts w:ascii="Arial" w:hAnsi="Arial" w:eastAsia="Arial" w:cs="Arial"/>
                <w:b w:val="0"/>
                <w:i w:val="0"/>
                <w:sz w:val="18"/>
              </w:rPr>
              <w:t>Spearman + FDR</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best ρ</w:t>
            </w:r>
          </w:p>
        </w:tc>
        <w:tc>
          <w:tcPr>
            <w:tcW w:type="dxa" w:w="693"/>
          </w:tcPr>
          <w:p>
            <w:pPr>
              <w:spacing w:line="240" w:lineRule="auto" w:after="40" w:before="40"/>
            </w:pPr>
            <w:r>
              <w:rPr>
                <w:rFonts w:ascii="Arial" w:hAnsi="Arial" w:eastAsia="Arial" w:cs="Arial"/>
                <w:b w:val="0"/>
                <w:i w:val="0"/>
                <w:sz w:val="18"/>
              </w:rPr>
              <w:t>0.291</w:t>
            </w:r>
          </w:p>
        </w:tc>
        <w:tc>
          <w:tcPr>
            <w:tcW w:type="dxa" w:w="820"/>
          </w:tcPr>
          <w:p>
            <w:pPr>
              <w:spacing w:line="240" w:lineRule="auto" w:after="40" w:before="40"/>
            </w:pPr>
            <w:r>
              <w:rPr>
                <w:rFonts w:ascii="Arial" w:hAnsi="Arial" w:eastAsia="Arial" w:cs="Arial"/>
                <w:b w:val="0"/>
                <w:i w:val="0"/>
                <w:sz w:val="18"/>
              </w:rPr>
              <w:t>0.090 (best; FDR q=0.756)</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T49</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8: Promoter phastCons conservation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-0.058</w:t>
            </w:r>
          </w:p>
        </w:tc>
        <w:tc>
          <w:tcPr>
            <w:tcW w:type="dxa" w:w="820"/>
          </w:tcPr>
          <w:p>
            <w:pPr>
              <w:spacing w:line="240" w:lineRule="auto" w:after="40" w:before="40"/>
            </w:pPr>
            <w:r>
              <w:rPr>
                <w:rFonts w:ascii="Arial" w:hAnsi="Arial" w:eastAsia="Arial" w:cs="Arial"/>
                <w:b w:val="0"/>
                <w:i w:val="0"/>
                <w:sz w:val="18"/>
              </w:rPr>
              <w:t>0.74</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T50</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9: H3K27ac enhancer conservation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6</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-0.429</w:t>
            </w:r>
          </w:p>
        </w:tc>
        <w:tc>
          <w:tcPr>
            <w:tcW w:type="dxa" w:w="820"/>
          </w:tcPr>
          <w:p>
            <w:pPr>
              <w:spacing w:line="240" w:lineRule="auto" w:after="40" w:before="40"/>
            </w:pPr>
            <w:r>
              <w:rPr>
                <w:rFonts w:ascii="Arial" w:hAnsi="Arial" w:eastAsia="Arial" w:cs="Arial"/>
                <w:b w:val="0"/>
                <w:i w:val="0"/>
                <w:sz w:val="18"/>
              </w:rPr>
              <w:t>0.397</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T51</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Null 10: Drug target conservation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34</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-0.176</w:t>
            </w:r>
          </w:p>
        </w:tc>
        <w:tc>
          <w:tcPr>
            <w:tcW w:type="dxa" w:w="820"/>
          </w:tcPr>
          <w:p>
            <w:pPr>
              <w:spacing w:line="240" w:lineRule="auto" w:after="40" w:before="40"/>
            </w:pPr>
            <w:r>
              <w:rPr>
                <w:rFonts w:ascii="Arial" w:hAnsi="Arial" w:eastAsia="Arial" w:cs="Arial"/>
                <w:b w:val="0"/>
                <w:i w:val="0"/>
                <w:sz w:val="18"/>
              </w:rPr>
              <w:t>0.319</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7B</w:t>
            </w:r>
          </w:p>
        </w:tc>
      </w:tr>
      <w:tr>
        <w:tc>
          <w:tcPr>
            <w:tcW w:type="dxa" w:w="378"/>
          </w:tcPr>
          <w:p>
            <w:pPr>
              <w:spacing w:line="240" w:lineRule="auto" w:after="40" w:before="40"/>
            </w:pPr>
            <w:r>
              <w:rPr>
                <w:rFonts w:ascii="Arial" w:hAnsi="Arial" w:eastAsia="Arial" w:cs="Arial"/>
                <w:b w:val="0"/>
                <w:i w:val="0"/>
                <w:sz w:val="18"/>
              </w:rPr>
              <w:t>T52</w:t>
            </w:r>
          </w:p>
        </w:tc>
        <w:tc>
          <w:tcPr>
            <w:tcW w:type="dxa" w:w="1135"/>
          </w:tcPr>
          <w:p>
            <w:pPr>
              <w:spacing w:line="240" w:lineRule="auto" w:after="40" w:before="40"/>
            </w:pPr>
            <w:r>
              <w:rPr>
                <w:rFonts w:ascii="Arial" w:hAnsi="Arial" w:eastAsia="Arial" w:cs="Arial"/>
                <w:b w:val="0"/>
                <w:i w:val="0"/>
                <w:sz w:val="18"/>
              </w:rPr>
              <w:t>Mechanistic nulls</w:t>
            </w:r>
          </w:p>
        </w:tc>
        <w:tc>
          <w:tcPr>
            <w:tcW w:type="dxa" w:w="4539"/>
          </w:tcPr>
          <w:p>
            <w:pPr>
              <w:spacing w:line="240" w:lineRule="auto" w:after="40" w:before="40"/>
            </w:pPr>
            <w:r>
              <w:rPr>
                <w:rFonts w:ascii="Arial" w:hAnsi="Arial" w:eastAsia="Arial" w:cs="Arial"/>
                <w:b w:val="0"/>
                <w:i w:val="0"/>
                <w:sz w:val="18"/>
              </w:rPr>
              <w:t>Drug target exploratory (negative trend)</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-0.323</w:t>
            </w:r>
          </w:p>
        </w:tc>
        <w:tc>
          <w:tcPr>
            <w:tcW w:type="dxa" w:w="820"/>
          </w:tcPr>
          <w:p>
            <w:pPr>
              <w:spacing w:line="240" w:lineRule="auto" w:after="40" w:before="40"/>
            </w:pPr>
            <w:r>
              <w:rPr>
                <w:rFonts w:ascii="Arial" w:hAnsi="Arial" w:eastAsia="Arial" w:cs="Arial"/>
                <w:b w:val="0"/>
                <w:i w:val="0"/>
                <w:sz w:val="18"/>
              </w:rPr>
              <w:t>0.059</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T53</w:t>
            </w:r>
          </w:p>
        </w:tc>
        <w:tc>
          <w:tcPr>
            <w:tcW w:type="dxa" w:w="1135"/>
          </w:tcPr>
          <w:p>
            <w:pPr>
              <w:spacing w:line="240" w:lineRule="auto" w:after="40" w:before="40"/>
            </w:pPr>
            <w:r>
              <w:rPr>
                <w:rFonts w:ascii="Arial" w:hAnsi="Arial" w:eastAsia="Arial" w:cs="Arial"/>
                <w:b w:val="0"/>
                <w:i w:val="0"/>
                <w:sz w:val="18"/>
              </w:rPr>
              <w:t>Cross-method</w:t>
            </w:r>
          </w:p>
        </w:tc>
        <w:tc>
          <w:tcPr>
            <w:tcW w:type="dxa" w:w="4539"/>
          </w:tcPr>
          <w:p>
            <w:pPr>
              <w:spacing w:line="240" w:lineRule="auto" w:after="40" w:before="40"/>
            </w:pPr>
            <w:r>
              <w:rPr>
                <w:rFonts w:ascii="Arial" w:hAnsi="Arial" w:eastAsia="Arial" w:cs="Arial"/>
                <w:b w:val="0"/>
                <w:i w:val="0"/>
                <w:sz w:val="18"/>
              </w:rPr>
              <w:t>SAMap vs CellWarp Procrustes residual correlation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-0.247</w:t>
            </w:r>
          </w:p>
        </w:tc>
        <w:tc>
          <w:tcPr>
            <w:tcW w:type="dxa" w:w="820"/>
          </w:tcPr>
          <w:p>
            <w:pPr>
              <w:spacing w:line="240" w:lineRule="auto" w:after="40" w:before="40"/>
            </w:pPr>
            <w:r>
              <w:rPr>
                <w:rFonts w:ascii="Arial" w:hAnsi="Arial" w:eastAsia="Arial" w:cs="Arial"/>
                <w:b w:val="0"/>
                <w:i w:val="0"/>
                <w:sz w:val="18"/>
              </w:rPr>
              <w:t>0.153</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S5</w:t>
            </w:r>
          </w:p>
        </w:tc>
      </w:tr>
      <w:tr>
        <w:tc>
          <w:tcPr>
            <w:tcW w:type="dxa" w:w="378"/>
          </w:tcPr>
          <w:p>
            <w:pPr>
              <w:spacing w:line="240" w:lineRule="auto" w:after="40" w:before="40"/>
            </w:pPr>
            <w:r>
              <w:rPr>
                <w:rFonts w:ascii="Arial" w:hAnsi="Arial" w:eastAsia="Arial" w:cs="Arial"/>
                <w:b w:val="0"/>
                <w:i w:val="0"/>
                <w:sz w:val="18"/>
              </w:rPr>
              <w:t>T58</w:t>
            </w:r>
          </w:p>
        </w:tc>
        <w:tc>
          <w:tcPr>
            <w:tcW w:type="dxa" w:w="1135"/>
          </w:tcPr>
          <w:p>
            <w:pPr>
              <w:spacing w:line="240" w:lineRule="auto" w:after="40" w:before="40"/>
            </w:pPr>
            <w:r>
              <w:rPr>
                <w:rFonts w:ascii="Arial" w:hAnsi="Arial" w:eastAsia="Arial" w:cs="Arial"/>
                <w:b w:val="0"/>
                <w:i w:val="0"/>
                <w:sz w:val="18"/>
              </w:rPr>
              <w:t>Cross-atlas</w:t>
            </w:r>
          </w:p>
        </w:tc>
        <w:tc>
          <w:tcPr>
            <w:tcW w:type="dxa" w:w="4539"/>
          </w:tcPr>
          <w:p>
            <w:pPr>
              <w:spacing w:line="240" w:lineRule="auto" w:after="40" w:before="40"/>
            </w:pPr>
            <w:r>
              <w:rPr>
                <w:rFonts w:ascii="Arial" w:hAnsi="Arial" w:eastAsia="Arial" w:cs="Arial"/>
                <w:b w:val="0"/>
                <w:i w:val="0"/>
                <w:sz w:val="18"/>
              </w:rPr>
              <w:t>CellHint tissue count vs rank reversal magnitude</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15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-0.526</w:t>
            </w:r>
          </w:p>
        </w:tc>
        <w:tc>
          <w:tcPr>
            <w:tcW w:type="dxa" w:w="820"/>
          </w:tcPr>
          <w:p>
            <w:pPr>
              <w:spacing w:line="240" w:lineRule="auto" w:after="40" w:before="40"/>
            </w:pPr>
            <w:r>
              <w:rPr>
                <w:rFonts w:ascii="Arial" w:hAnsi="Arial" w:eastAsia="Arial" w:cs="Arial"/>
                <w:b w:val="0"/>
                <w:i w:val="0"/>
                <w:sz w:val="18"/>
              </w:rPr>
              <w:t>0.044</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S4B</w:t>
            </w:r>
          </w:p>
        </w:tc>
      </w:tr>
      <w:tr>
        <w:tc>
          <w:tcPr>
            <w:tcW w:type="dxa" w:w="378"/>
          </w:tcPr>
          <w:p>
            <w:pPr>
              <w:spacing w:line="240" w:lineRule="auto" w:after="40" w:before="40"/>
            </w:pPr>
            <w:r>
              <w:rPr>
                <w:rFonts w:ascii="Arial" w:hAnsi="Arial" w:eastAsia="Arial" w:cs="Arial"/>
                <w:b w:val="0"/>
                <w:i w:val="0"/>
                <w:sz w:val="18"/>
              </w:rPr>
              <w:t>T59</w:t>
            </w:r>
          </w:p>
        </w:tc>
        <w:tc>
          <w:tcPr>
            <w:tcW w:type="dxa" w:w="1135"/>
          </w:tcPr>
          <w:p>
            <w:pPr>
              <w:spacing w:line="240" w:lineRule="auto" w:after="40" w:before="40"/>
            </w:pPr>
            <w:r>
              <w:rPr>
                <w:rFonts w:ascii="Arial" w:hAnsi="Arial" w:eastAsia="Arial" w:cs="Arial"/>
                <w:b w:val="0"/>
                <w:i w:val="0"/>
                <w:sz w:val="18"/>
              </w:rPr>
              <w:t>Cross-atlas</w:t>
            </w:r>
          </w:p>
        </w:tc>
        <w:tc>
          <w:tcPr>
            <w:tcW w:type="dxa" w:w="4539"/>
          </w:tcPr>
          <w:p>
            <w:pPr>
              <w:spacing w:line="240" w:lineRule="auto" w:after="40" w:before="40"/>
            </w:pPr>
            <w:r>
              <w:rPr>
                <w:rFonts w:ascii="Arial" w:hAnsi="Arial" w:eastAsia="Arial" w:cs="Arial"/>
                <w:b w:val="0"/>
                <w:i w:val="0"/>
                <w:sz w:val="18"/>
              </w:rPr>
              <w:t>Bootstrap CI width vs cross-atlas rank shift</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20</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-0.41</w:t>
            </w:r>
          </w:p>
        </w:tc>
        <w:tc>
          <w:tcPr>
            <w:tcW w:type="dxa" w:w="820"/>
          </w:tcPr>
          <w:p>
            <w:pPr>
              <w:spacing w:line="240" w:lineRule="auto" w:after="40" w:before="40"/>
            </w:pPr>
            <w:r>
              <w:rPr>
                <w:rFonts w:ascii="Arial" w:hAnsi="Arial" w:eastAsia="Arial" w:cs="Arial"/>
                <w:b w:val="0"/>
                <w:i w:val="0"/>
                <w:sz w:val="18"/>
              </w:rPr>
              <w:t>0.073</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Exploratory</w:t>
            </w:r>
          </w:p>
        </w:tc>
        <w:tc>
          <w:tcPr>
            <w:tcW w:type="dxa" w:w="883"/>
          </w:tcPr>
          <w:p>
            <w:pPr>
              <w:spacing w:line="240" w:lineRule="auto" w:after="40" w:before="40"/>
            </w:pPr>
            <w:r>
              <w:rPr>
                <w:rFonts w:ascii="Arial" w:hAnsi="Arial" w:eastAsia="Arial" w:cs="Arial"/>
                <w:b w:val="0"/>
                <w:i w:val="0"/>
                <w:sz w:val="18"/>
              </w:rPr>
              <w:t>Fig S3B</w:t>
            </w:r>
          </w:p>
        </w:tc>
      </w:tr>
      <w:tr>
        <w:tc>
          <w:tcPr>
            <w:tcW w:type="dxa" w:w="378"/>
          </w:tcPr>
          <w:p>
            <w:pPr>
              <w:spacing w:line="240" w:lineRule="auto" w:after="40" w:before="40"/>
            </w:pPr>
            <w:r>
              <w:rPr>
                <w:rFonts w:ascii="Arial" w:hAnsi="Arial" w:eastAsia="Arial" w:cs="Arial"/>
                <w:b w:val="0"/>
                <w:i w:val="0"/>
                <w:sz w:val="18"/>
              </w:rPr>
              <w:t>T60</w:t>
            </w:r>
          </w:p>
        </w:tc>
        <w:tc>
          <w:tcPr>
            <w:tcW w:type="dxa" w:w="1135"/>
          </w:tcPr>
          <w:p>
            <w:pPr>
              <w:spacing w:line="240" w:lineRule="auto" w:after="40" w:before="40"/>
            </w:pPr>
            <w:r>
              <w:rPr>
                <w:rFonts w:ascii="Arial" w:hAnsi="Arial" w:eastAsia="Arial" w:cs="Arial"/>
                <w:b w:val="0"/>
                <w:i w:val="0"/>
                <w:sz w:val="18"/>
              </w:rPr>
              <w:t>Protocol sensitivity</w:t>
            </w:r>
          </w:p>
        </w:tc>
        <w:tc>
          <w:tcPr>
            <w:tcW w:type="dxa" w:w="4539"/>
          </w:tcPr>
          <w:p>
            <w:pPr>
              <w:spacing w:line="240" w:lineRule="auto" w:after="40" w:before="40"/>
            </w:pPr>
            <w:r>
              <w:rPr>
                <w:rFonts w:ascii="Arial" w:hAnsi="Arial" w:eastAsia="Arial" w:cs="Arial"/>
                <w:b w:val="0"/>
                <w:i w:val="0"/>
                <w:sz w:val="18"/>
              </w:rPr>
              <w:t>Mouse Smart-seq2 fraction vs Procrustes residual</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-0.042</w:t>
            </w:r>
          </w:p>
        </w:tc>
        <w:tc>
          <w:tcPr>
            <w:tcW w:type="dxa" w:w="820"/>
          </w:tcPr>
          <w:p>
            <w:pPr>
              <w:spacing w:line="240" w:lineRule="auto" w:after="40" w:before="40"/>
            </w:pPr>
            <w:r>
              <w:rPr>
                <w:rFonts w:ascii="Arial" w:hAnsi="Arial" w:eastAsia="Arial" w:cs="Arial"/>
                <w:b w:val="0"/>
                <w:i w:val="0"/>
                <w:sz w:val="18"/>
              </w:rPr>
              <w:t>0.812</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T61</w:t>
            </w:r>
          </w:p>
        </w:tc>
        <w:tc>
          <w:tcPr>
            <w:tcW w:type="dxa" w:w="1135"/>
          </w:tcPr>
          <w:p>
            <w:pPr>
              <w:spacing w:line="240" w:lineRule="auto" w:after="40" w:before="40"/>
            </w:pPr>
            <w:r>
              <w:rPr>
                <w:rFonts w:ascii="Arial" w:hAnsi="Arial" w:eastAsia="Arial" w:cs="Arial"/>
                <w:b w:val="0"/>
                <w:i w:val="0"/>
                <w:sz w:val="18"/>
              </w:rPr>
              <w:t>Protocol sensitivity</w:t>
            </w:r>
          </w:p>
        </w:tc>
        <w:tc>
          <w:tcPr>
            <w:tcW w:type="dxa" w:w="4539"/>
          </w:tcPr>
          <w:p>
            <w:pPr>
              <w:spacing w:line="240" w:lineRule="auto" w:after="40" w:before="40"/>
            </w:pPr>
            <w:r>
              <w:rPr>
                <w:rFonts w:ascii="Arial" w:hAnsi="Arial" w:eastAsia="Arial" w:cs="Arial"/>
                <w:b w:val="0"/>
                <w:i w:val="0"/>
                <w:sz w:val="18"/>
              </w:rPr>
              <w:t>Human Smart-seq2 fraction vs Procrustes residual</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0.083</w:t>
            </w:r>
          </w:p>
        </w:tc>
        <w:tc>
          <w:tcPr>
            <w:tcW w:type="dxa" w:w="820"/>
          </w:tcPr>
          <w:p>
            <w:pPr>
              <w:spacing w:line="240" w:lineRule="auto" w:after="40" w:before="40"/>
            </w:pPr>
            <w:r>
              <w:rPr>
                <w:rFonts w:ascii="Arial" w:hAnsi="Arial" w:eastAsia="Arial" w:cs="Arial"/>
                <w:b w:val="0"/>
                <w:i w:val="0"/>
                <w:sz w:val="18"/>
              </w:rPr>
              <w:t>0.636</w:t>
            </w:r>
          </w:p>
        </w:tc>
        <w:tc>
          <w:tcPr>
            <w:tcW w:type="dxa" w:w="883"/>
          </w:tcPr>
          <w:p>
            <w:pPr>
              <w:spacing w:line="240" w:lineRule="auto" w:after="40" w:before="40"/>
            </w:pPr>
            <w:r>
              <w:rPr>
                <w:rFonts w:ascii="Arial" w:hAnsi="Arial" w:eastAsia="Arial" w:cs="Arial"/>
                <w:b w:val="0"/>
                <w:i w:val="0"/>
                <w:sz w:val="18"/>
              </w:rPr>
              <w:t>1</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w:t>
            </w:r>
          </w:p>
        </w:tc>
      </w:tr>
      <w:tr>
        <w:tc>
          <w:tcPr>
            <w:tcW w:type="dxa" w:w="378"/>
          </w:tcPr>
          <w:p>
            <w:pPr>
              <w:spacing w:line="240" w:lineRule="auto" w:after="40" w:before="40"/>
            </w:pPr>
            <w:r>
              <w:rPr>
                <w:rFonts w:ascii="Arial" w:hAnsi="Arial" w:eastAsia="Arial" w:cs="Arial"/>
                <w:b w:val="0"/>
                <w:i w:val="0"/>
                <w:sz w:val="18"/>
              </w:rPr>
              <w:t>T62</w:t>
            </w:r>
          </w:p>
        </w:tc>
        <w:tc>
          <w:tcPr>
            <w:tcW w:type="dxa" w:w="1135"/>
          </w:tcPr>
          <w:p>
            <w:pPr>
              <w:spacing w:line="240" w:lineRule="auto" w:after="40" w:before="40"/>
            </w:pPr>
            <w:r>
              <w:rPr>
                <w:rFonts w:ascii="Arial" w:hAnsi="Arial" w:eastAsia="Arial" w:cs="Arial"/>
                <w:b w:val="0"/>
                <w:i w:val="0"/>
                <w:sz w:val="18"/>
              </w:rPr>
              <w:t>Protocol sensitivity</w:t>
            </w:r>
          </w:p>
        </w:tc>
        <w:tc>
          <w:tcPr>
            <w:tcW w:type="dxa" w:w="4539"/>
          </w:tcPr>
          <w:p>
            <w:pPr>
              <w:spacing w:line="240" w:lineRule="auto" w:after="40" w:before="40"/>
            </w:pPr>
            <w:r>
              <w:rPr>
                <w:rFonts w:ascii="Arial" w:hAnsi="Arial" w:eastAsia="Arial" w:cs="Arial"/>
                <w:b w:val="0"/>
                <w:i w:val="0"/>
                <w:sz w:val="18"/>
              </w:rPr>
              <w:t>10x-only vs full ranking correlation</w:t>
            </w:r>
          </w:p>
        </w:tc>
        <w:tc>
          <w:tcPr>
            <w:tcW w:type="dxa" w:w="1513"/>
          </w:tcPr>
          <w:p>
            <w:pPr>
              <w:spacing w:line="240" w:lineRule="auto" w:after="40" w:before="40"/>
            </w:pPr>
            <w:r>
              <w:rPr>
                <w:rFonts w:ascii="Arial" w:hAnsi="Arial" w:eastAsia="Arial" w:cs="Arial"/>
                <w:b w:val="0"/>
                <w:i w:val="0"/>
                <w:sz w:val="18"/>
              </w:rPr>
              <w:t>Spearman</w:t>
            </w:r>
          </w:p>
        </w:tc>
        <w:tc>
          <w:tcPr>
            <w:tcW w:type="dxa" w:w="441"/>
          </w:tcPr>
          <w:p>
            <w:pPr>
              <w:spacing w:line="240" w:lineRule="auto" w:after="40" w:before="40"/>
            </w:pPr>
            <w:r>
              <w:rPr>
                <w:rFonts w:ascii="Arial" w:hAnsi="Arial" w:eastAsia="Arial" w:cs="Arial"/>
                <w:b w:val="0"/>
                <w:i w:val="0"/>
                <w:sz w:val="18"/>
              </w:rPr>
              <w:t>35</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0.754</w:t>
            </w:r>
          </w:p>
        </w:tc>
        <w:tc>
          <w:tcPr>
            <w:tcW w:type="dxa" w:w="820"/>
          </w:tcPr>
          <w:p>
            <w:pPr>
              <w:spacing w:line="240" w:lineRule="auto" w:after="40" w:before="40"/>
            </w:pPr>
            <w:r>
              <w:rPr>
                <w:rFonts w:ascii="Arial" w:hAnsi="Arial" w:eastAsia="Arial" w:cs="Arial"/>
                <w:b w:val="0"/>
                <w:i w:val="0"/>
                <w:sz w:val="18"/>
              </w:rPr>
              <w:t>–</w:t>
            </w:r>
          </w:p>
        </w:tc>
        <w:tc>
          <w:tcPr>
            <w:tcW w:type="dxa" w:w="883"/>
          </w:tcPr>
          <w:p>
            <w:pPr>
              <w:spacing w:line="240" w:lineRule="auto" w:after="40" w:before="40"/>
            </w:pPr>
            <w:r>
              <w:rPr>
                <w:rFonts w:ascii="Arial" w:hAnsi="Arial" w:eastAsia="Arial" w:cs="Arial"/>
                <w:b w:val="0"/>
                <w:i w:val="0"/>
                <w:sz w:val="18"/>
              </w:rPr>
              <w:t>–</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Fig S2C</w:t>
            </w:r>
          </w:p>
        </w:tc>
      </w:tr>
      <w:tr>
        <w:tc>
          <w:tcPr>
            <w:tcW w:type="dxa" w:w="378"/>
          </w:tcPr>
          <w:p>
            <w:pPr>
              <w:spacing w:line="240" w:lineRule="auto" w:after="40" w:before="40"/>
            </w:pPr>
            <w:r>
              <w:rPr>
                <w:rFonts w:ascii="Arial" w:hAnsi="Arial" w:eastAsia="Arial" w:cs="Arial"/>
                <w:b w:val="0"/>
                <w:i w:val="0"/>
                <w:sz w:val="18"/>
              </w:rPr>
              <w:t>T63</w:t>
            </w:r>
          </w:p>
        </w:tc>
        <w:tc>
          <w:tcPr>
            <w:tcW w:type="dxa" w:w="1135"/>
          </w:tcPr>
          <w:p>
            <w:pPr>
              <w:spacing w:line="240" w:lineRule="auto" w:after="40" w:before="40"/>
            </w:pPr>
            <w:r>
              <w:rPr>
                <w:rFonts w:ascii="Arial" w:hAnsi="Arial" w:eastAsia="Arial" w:cs="Arial"/>
                <w:b w:val="0"/>
                <w:i w:val="0"/>
                <w:sz w:val="18"/>
              </w:rPr>
              <w:t>Simulation</w:t>
            </w:r>
          </w:p>
        </w:tc>
        <w:tc>
          <w:tcPr>
            <w:tcW w:type="dxa" w:w="4539"/>
          </w:tcPr>
          <w:p>
            <w:pPr>
              <w:spacing w:line="240" w:lineRule="auto" w:after="40" w:before="40"/>
            </w:pPr>
            <w:r>
              <w:rPr>
                <w:rFonts w:ascii="Arial" w:hAnsi="Arial" w:eastAsia="Arial" w:cs="Arial"/>
                <w:b w:val="0"/>
                <w:i w:val="0"/>
                <w:sz w:val="18"/>
              </w:rPr>
              <w:t>FPR calibration (α = 0.05)</w:t>
            </w:r>
          </w:p>
        </w:tc>
        <w:tc>
          <w:tcPr>
            <w:tcW w:type="dxa" w:w="1513"/>
          </w:tcPr>
          <w:p>
            <w:pPr>
              <w:spacing w:line="240" w:lineRule="auto" w:after="40" w:before="40"/>
            </w:pPr>
            <w:r>
              <w:rPr>
                <w:rFonts w:ascii="Arial" w:hAnsi="Arial" w:eastAsia="Arial" w:cs="Arial"/>
                <w:b w:val="0"/>
                <w:i w:val="0"/>
                <w:sz w:val="18"/>
              </w:rPr>
              <w:t>Simulation (1000 reps)</w:t>
            </w:r>
          </w:p>
        </w:tc>
        <w:tc>
          <w:tcPr>
            <w:tcW w:type="dxa" w:w="441"/>
          </w:tcPr>
          <w:p>
            <w:pPr>
              <w:spacing w:line="240" w:lineRule="auto" w:after="40" w:before="40"/>
            </w:pPr>
            <w:r>
              <w:rPr>
                <w:rFonts w:ascii="Arial" w:hAnsi="Arial" w:eastAsia="Arial" w:cs="Arial"/>
                <w:b w:val="0"/>
                <w:i w:val="0"/>
                <w:sz w:val="18"/>
              </w:rPr>
              <w:t>–</w:t>
            </w:r>
          </w:p>
        </w:tc>
        <w:tc>
          <w:tcPr>
            <w:tcW w:type="dxa" w:w="693"/>
          </w:tcPr>
          <w:p>
            <w:pPr>
              <w:spacing w:line="240" w:lineRule="auto" w:after="40" w:before="40"/>
            </w:pPr>
            <w:r>
              <w:rPr>
                <w:rFonts w:ascii="Arial" w:hAnsi="Arial" w:eastAsia="Arial" w:cs="Arial"/>
                <w:b w:val="0"/>
                <w:i w:val="0"/>
                <w:sz w:val="18"/>
              </w:rPr>
              <w:t>FPR</w:t>
            </w:r>
          </w:p>
        </w:tc>
        <w:tc>
          <w:tcPr>
            <w:tcW w:type="dxa" w:w="693"/>
          </w:tcPr>
          <w:p>
            <w:pPr>
              <w:spacing w:line="240" w:lineRule="auto" w:after="40" w:before="40"/>
            </w:pPr>
            <w:r>
              <w:rPr>
                <w:rFonts w:ascii="Arial" w:hAnsi="Arial" w:eastAsia="Arial" w:cs="Arial"/>
                <w:b w:val="0"/>
                <w:i w:val="0"/>
                <w:sz w:val="18"/>
              </w:rPr>
              <w:t>4.8%</w:t>
            </w:r>
          </w:p>
        </w:tc>
        <w:tc>
          <w:tcPr>
            <w:tcW w:type="dxa" w:w="820"/>
          </w:tcPr>
          <w:p>
            <w:pPr>
              <w:spacing w:line="240" w:lineRule="auto" w:after="40" w:before="40"/>
            </w:pPr>
            <w:r>
              <w:rPr>
                <w:rFonts w:ascii="Arial" w:hAnsi="Arial" w:eastAsia="Arial" w:cs="Arial"/>
                <w:b w:val="0"/>
                <w:i w:val="0"/>
                <w:sz w:val="18"/>
              </w:rPr>
              <w:t>–</w:t>
            </w:r>
          </w:p>
        </w:tc>
        <w:tc>
          <w:tcPr>
            <w:tcW w:type="dxa" w:w="883"/>
          </w:tcPr>
          <w:p>
            <w:pPr>
              <w:spacing w:line="240" w:lineRule="auto" w:after="40" w:before="40"/>
            </w:pPr>
            <w:r>
              <w:rPr>
                <w:rFonts w:ascii="Arial" w:hAnsi="Arial" w:eastAsia="Arial" w:cs="Arial"/>
                <w:b w:val="0"/>
                <w:i w:val="0"/>
                <w:sz w:val="18"/>
              </w:rPr>
              <w:t>–</w:t>
            </w:r>
          </w:p>
        </w:tc>
        <w:tc>
          <w:tcPr>
            <w:tcW w:type="dxa" w:w="1702"/>
          </w:tcPr>
          <w:p>
            <w:pPr>
              <w:spacing w:line="240" w:lineRule="auto" w:after="40" w:before="40"/>
            </w:pPr>
            <w:r>
              <w:rPr>
                <w:rFonts w:ascii="Arial" w:hAnsi="Arial" w:eastAsia="Arial" w:cs="Arial"/>
                <w:b w:val="0"/>
                <w:i w:val="0"/>
                <w:sz w:val="18"/>
              </w:rPr>
              <w:t>Diagnostic</w:t>
            </w:r>
          </w:p>
        </w:tc>
        <w:tc>
          <w:tcPr>
            <w:tcW w:type="dxa" w:w="883"/>
          </w:tcPr>
          <w:p>
            <w:pPr>
              <w:spacing w:line="240" w:lineRule="auto" w:after="40" w:before="40"/>
            </w:pPr>
            <w:r>
              <w:rPr>
                <w:rFonts w:ascii="Arial" w:hAnsi="Arial" w:eastAsia="Arial" w:cs="Arial"/>
                <w:b w:val="0"/>
                <w:i w:val="0"/>
                <w:sz w:val="18"/>
              </w:rPr>
              <w:t>Fig S1F</w:t>
            </w:r>
          </w:p>
        </w:tc>
      </w:tr>
      <w:tr>
        <w:tc>
          <w:tcPr>
            <w:tcW w:type="dxa" w:w="378"/>
          </w:tcPr>
          <w:p>
            <w:pPr>
              <w:spacing w:line="240" w:lineRule="auto" w:after="40" w:before="40"/>
            </w:pPr>
            <w:r>
              <w:rPr>
                <w:rFonts w:ascii="Arial" w:hAnsi="Arial" w:eastAsia="Arial" w:cs="Arial"/>
                <w:b w:val="0"/>
                <w:i w:val="0"/>
                <w:sz w:val="18"/>
              </w:rPr>
              <w:t>T64</w:t>
            </w:r>
          </w:p>
        </w:tc>
        <w:tc>
          <w:tcPr>
            <w:tcW w:type="dxa" w:w="1135"/>
          </w:tcPr>
          <w:p>
            <w:pPr>
              <w:spacing w:line="240" w:lineRule="auto" w:after="40" w:before="40"/>
            </w:pPr>
            <w:r>
              <w:rPr>
                <w:rFonts w:ascii="Arial" w:hAnsi="Arial" w:eastAsia="Arial" w:cs="Arial"/>
                <w:b w:val="0"/>
                <w:i w:val="0"/>
                <w:sz w:val="18"/>
              </w:rPr>
              <w:t>Simulation</w:t>
            </w:r>
          </w:p>
        </w:tc>
        <w:tc>
          <w:tcPr>
            <w:tcW w:type="dxa" w:w="4539"/>
          </w:tcPr>
          <w:p>
            <w:pPr>
              <w:spacing w:line="240" w:lineRule="auto" w:after="40" w:before="40"/>
            </w:pPr>
            <w:r>
              <w:rPr>
                <w:rFonts w:ascii="Arial" w:hAnsi="Arial" w:eastAsia="Arial" w:cs="Arial"/>
                <w:b w:val="0"/>
                <w:i w:val="0"/>
                <w:sz w:val="18"/>
              </w:rPr>
              <w:t>Ranking recovery ceiling</w:t>
            </w:r>
          </w:p>
        </w:tc>
        <w:tc>
          <w:tcPr>
            <w:tcW w:type="dxa" w:w="1513"/>
          </w:tcPr>
          <w:p>
            <w:pPr>
              <w:spacing w:line="240" w:lineRule="auto" w:after="40" w:before="40"/>
            </w:pPr>
            <w:r>
              <w:rPr>
                <w:rFonts w:ascii="Arial" w:hAnsi="Arial" w:eastAsia="Arial" w:cs="Arial"/>
                <w:b w:val="0"/>
                <w:i w:val="0"/>
                <w:sz w:val="18"/>
              </w:rPr>
              <w:t>Simulation</w:t>
            </w:r>
          </w:p>
        </w:tc>
        <w:tc>
          <w:tcPr>
            <w:tcW w:type="dxa" w:w="441"/>
          </w:tcPr>
          <w:p>
            <w:pPr>
              <w:spacing w:line="240" w:lineRule="auto" w:after="40" w:before="40"/>
            </w:pPr>
            <w:r>
              <w:rPr>
                <w:rFonts w:ascii="Arial" w:hAnsi="Arial" w:eastAsia="Arial" w:cs="Arial"/>
                <w:b w:val="0"/>
                <w:i w:val="0"/>
                <w:sz w:val="18"/>
              </w:rPr>
              <w:t>–</w:t>
            </w:r>
          </w:p>
        </w:tc>
        <w:tc>
          <w:tcPr>
            <w:tcW w:type="dxa" w:w="693"/>
          </w:tcPr>
          <w:p>
            <w:pPr>
              <w:spacing w:line="240" w:lineRule="auto" w:after="40" w:before="40"/>
            </w:pPr>
            <w:r>
              <w:rPr>
                <w:rFonts w:ascii="Arial" w:hAnsi="Arial" w:eastAsia="Arial" w:cs="Arial"/>
                <w:b w:val="0"/>
                <w:i w:val="0"/>
                <w:sz w:val="18"/>
              </w:rPr>
              <w:t>ρ_ceiling</w:t>
            </w:r>
          </w:p>
        </w:tc>
        <w:tc>
          <w:tcPr>
            <w:tcW w:type="dxa" w:w="693"/>
          </w:tcPr>
          <w:p>
            <w:pPr>
              <w:spacing w:line="240" w:lineRule="auto" w:after="40" w:before="40"/>
            </w:pPr>
            <w:r>
              <w:rPr>
                <w:rFonts w:ascii="Arial" w:hAnsi="Arial" w:eastAsia="Arial" w:cs="Arial"/>
                <w:b w:val="0"/>
                <w:i w:val="0"/>
                <w:sz w:val="18"/>
              </w:rPr>
              <w:t>0.42</w:t>
            </w:r>
          </w:p>
        </w:tc>
        <w:tc>
          <w:tcPr>
            <w:tcW w:type="dxa" w:w="820"/>
          </w:tcPr>
          <w:p>
            <w:pPr>
              <w:spacing w:line="240" w:lineRule="auto" w:after="40" w:before="40"/>
            </w:pPr>
            <w:r>
              <w:rPr>
                <w:rFonts w:ascii="Arial" w:hAnsi="Arial" w:eastAsia="Arial" w:cs="Arial"/>
                <w:b w:val="0"/>
                <w:i w:val="0"/>
                <w:sz w:val="18"/>
              </w:rPr>
              <w:t>–</w:t>
            </w:r>
          </w:p>
        </w:tc>
        <w:tc>
          <w:tcPr>
            <w:tcW w:type="dxa" w:w="883"/>
          </w:tcPr>
          <w:p>
            <w:pPr>
              <w:spacing w:line="240" w:lineRule="auto" w:after="40" w:before="40"/>
            </w:pPr>
            <w:r>
              <w:rPr>
                <w:rFonts w:ascii="Arial" w:hAnsi="Arial" w:eastAsia="Arial" w:cs="Arial"/>
                <w:b w:val="0"/>
                <w:i w:val="0"/>
                <w:sz w:val="18"/>
              </w:rPr>
              <w:t>–</w:t>
            </w:r>
          </w:p>
        </w:tc>
        <w:tc>
          <w:tcPr>
            <w:tcW w:type="dxa" w:w="1702"/>
          </w:tcPr>
          <w:p>
            <w:pPr>
              <w:spacing w:line="240" w:lineRule="auto" w:after="40" w:before="40"/>
            </w:pPr>
            <w:r>
              <w:rPr>
                <w:rFonts w:ascii="Arial" w:hAnsi="Arial" w:eastAsia="Arial" w:cs="Arial"/>
                <w:b w:val="0"/>
                <w:i w:val="0"/>
                <w:sz w:val="18"/>
              </w:rPr>
              <w:t>Diagnostic</w:t>
            </w:r>
          </w:p>
        </w:tc>
        <w:tc>
          <w:tcPr>
            <w:tcW w:type="dxa" w:w="883"/>
          </w:tcPr>
          <w:p>
            <w:pPr>
              <w:spacing w:line="240" w:lineRule="auto" w:after="40" w:before="40"/>
            </w:pPr>
            <w:r>
              <w:rPr>
                <w:rFonts w:ascii="Arial" w:hAnsi="Arial" w:eastAsia="Arial" w:cs="Arial"/>
                <w:b w:val="0"/>
                <w:i w:val="0"/>
                <w:sz w:val="18"/>
              </w:rPr>
              <w:t>Fig S1D</w:t>
            </w:r>
          </w:p>
        </w:tc>
      </w:tr>
      <w:tr>
        <w:tc>
          <w:tcPr>
            <w:tcW w:type="dxa" w:w="378"/>
          </w:tcPr>
          <w:p>
            <w:pPr>
              <w:spacing w:line="240" w:lineRule="auto" w:after="40" w:before="40"/>
            </w:pPr>
            <w:r>
              <w:rPr>
                <w:rFonts w:ascii="Arial" w:hAnsi="Arial" w:eastAsia="Arial" w:cs="Arial"/>
                <w:b w:val="0"/>
                <w:i w:val="0"/>
                <w:sz w:val="18"/>
              </w:rPr>
              <w:t>T65</w:t>
            </w:r>
          </w:p>
        </w:tc>
        <w:tc>
          <w:tcPr>
            <w:tcW w:type="dxa" w:w="1135"/>
          </w:tcPr>
          <w:p>
            <w:pPr>
              <w:spacing w:line="240" w:lineRule="auto" w:after="40" w:before="40"/>
            </w:pPr>
            <w:r>
              <w:rPr>
                <w:rFonts w:ascii="Arial" w:hAnsi="Arial" w:eastAsia="Arial" w:cs="Arial"/>
                <w:b w:val="0"/>
                <w:i w:val="0"/>
                <w:sz w:val="18"/>
              </w:rPr>
              <w:t>Simulation</w:t>
            </w:r>
          </w:p>
        </w:tc>
        <w:tc>
          <w:tcPr>
            <w:tcW w:type="dxa" w:w="4539"/>
          </w:tcPr>
          <w:p>
            <w:pPr>
              <w:spacing w:line="240" w:lineRule="auto" w:after="40" w:before="40"/>
            </w:pPr>
            <w:r>
              <w:rPr>
                <w:rFonts w:ascii="Arial" w:hAnsi="Arial" w:eastAsia="Arial" w:cs="Arial"/>
                <w:b w:val="0"/>
                <w:i w:val="0"/>
                <w:sz w:val="18"/>
              </w:rPr>
              <w:t>Test-retest stability</w:t>
            </w:r>
          </w:p>
        </w:tc>
        <w:tc>
          <w:tcPr>
            <w:tcW w:type="dxa" w:w="1513"/>
          </w:tcPr>
          <w:p>
            <w:pPr>
              <w:spacing w:line="240" w:lineRule="auto" w:after="40" w:before="40"/>
            </w:pPr>
            <w:r>
              <w:rPr>
                <w:rFonts w:ascii="Arial" w:hAnsi="Arial" w:eastAsia="Arial" w:cs="Arial"/>
                <w:b w:val="0"/>
                <w:i w:val="0"/>
                <w:sz w:val="18"/>
              </w:rPr>
              <w:t>Simulation</w:t>
            </w:r>
          </w:p>
        </w:tc>
        <w:tc>
          <w:tcPr>
            <w:tcW w:type="dxa" w:w="441"/>
          </w:tcPr>
          <w:p>
            <w:pPr>
              <w:spacing w:line="240" w:lineRule="auto" w:after="40" w:before="40"/>
            </w:pPr>
            <w:r>
              <w:rPr>
                <w:rFonts w:ascii="Arial" w:hAnsi="Arial" w:eastAsia="Arial" w:cs="Arial"/>
                <w:b w:val="0"/>
                <w:i w:val="0"/>
                <w:sz w:val="18"/>
              </w:rPr>
              <w:t>–</w:t>
            </w:r>
          </w:p>
        </w:tc>
        <w:tc>
          <w:tcPr>
            <w:tcW w:type="dxa" w:w="693"/>
          </w:tcPr>
          <w:p>
            <w:pPr>
              <w:spacing w:line="240" w:lineRule="auto" w:after="40" w:before="40"/>
            </w:pPr>
            <w:r>
              <w:rPr>
                <w:rFonts w:ascii="Arial" w:hAnsi="Arial" w:eastAsia="Arial" w:cs="Arial"/>
                <w:b w:val="0"/>
                <w:i w:val="0"/>
                <w:sz w:val="18"/>
              </w:rPr>
              <w:t>ρ</w:t>
            </w:r>
          </w:p>
        </w:tc>
        <w:tc>
          <w:tcPr>
            <w:tcW w:type="dxa" w:w="693"/>
          </w:tcPr>
          <w:p>
            <w:pPr>
              <w:spacing w:line="240" w:lineRule="auto" w:after="40" w:before="40"/>
            </w:pPr>
            <w:r>
              <w:rPr>
                <w:rFonts w:ascii="Arial" w:hAnsi="Arial" w:eastAsia="Arial" w:cs="Arial"/>
                <w:b w:val="0"/>
                <w:i w:val="0"/>
                <w:sz w:val="18"/>
              </w:rPr>
              <w:t>0.994</w:t>
            </w:r>
          </w:p>
        </w:tc>
        <w:tc>
          <w:tcPr>
            <w:tcW w:type="dxa" w:w="820"/>
          </w:tcPr>
          <w:p>
            <w:pPr>
              <w:spacing w:line="240" w:lineRule="auto" w:after="40" w:before="40"/>
            </w:pPr>
            <w:r>
              <w:rPr>
                <w:rFonts w:ascii="Arial" w:hAnsi="Arial" w:eastAsia="Arial" w:cs="Arial"/>
                <w:b w:val="0"/>
                <w:i w:val="0"/>
                <w:sz w:val="18"/>
              </w:rPr>
              <w:t>–</w:t>
            </w:r>
          </w:p>
        </w:tc>
        <w:tc>
          <w:tcPr>
            <w:tcW w:type="dxa" w:w="883"/>
          </w:tcPr>
          <w:p>
            <w:pPr>
              <w:spacing w:line="240" w:lineRule="auto" w:after="40" w:before="40"/>
            </w:pPr>
            <w:r>
              <w:rPr>
                <w:rFonts w:ascii="Arial" w:hAnsi="Arial" w:eastAsia="Arial" w:cs="Arial"/>
                <w:b w:val="0"/>
                <w:i w:val="0"/>
                <w:sz w:val="18"/>
              </w:rPr>
              <w:t>–</w:t>
            </w:r>
          </w:p>
        </w:tc>
        <w:tc>
          <w:tcPr>
            <w:tcW w:type="dxa" w:w="1702"/>
          </w:tcPr>
          <w:p>
            <w:pPr>
              <w:spacing w:line="240" w:lineRule="auto" w:after="40" w:before="40"/>
            </w:pPr>
            <w:r>
              <w:rPr>
                <w:rFonts w:ascii="Arial" w:hAnsi="Arial" w:eastAsia="Arial" w:cs="Arial"/>
                <w:b w:val="0"/>
                <w:i w:val="0"/>
                <w:sz w:val="18"/>
              </w:rPr>
              <w:t>Diagnostic</w:t>
            </w:r>
          </w:p>
        </w:tc>
        <w:tc>
          <w:tcPr>
            <w:tcW w:type="dxa" w:w="883"/>
          </w:tcPr>
          <w:p>
            <w:pPr>
              <w:spacing w:line="240" w:lineRule="auto" w:after="40" w:before="40"/>
            </w:pPr>
            <w:r>
              <w:rPr>
                <w:rFonts w:ascii="Arial" w:hAnsi="Arial" w:eastAsia="Arial" w:cs="Arial"/>
                <w:b w:val="0"/>
                <w:i w:val="0"/>
                <w:sz w:val="18"/>
              </w:rPr>
              <w:t>Fig S1E</w:t>
            </w:r>
          </w:p>
        </w:tc>
      </w:tr>
      <w:tr>
        <w:tc>
          <w:tcPr>
            <w:tcW w:type="dxa" w:w="378"/>
          </w:tcPr>
          <w:p>
            <w:pPr>
              <w:spacing w:line="240" w:lineRule="auto" w:after="40" w:before="40"/>
            </w:pPr>
            <w:r>
              <w:rPr>
                <w:rFonts w:ascii="Arial" w:hAnsi="Arial" w:eastAsia="Arial" w:cs="Arial"/>
                <w:b w:val="0"/>
                <w:i w:val="0"/>
                <w:sz w:val="18"/>
              </w:rPr>
              <w:t>T66</w:t>
            </w:r>
          </w:p>
        </w:tc>
        <w:tc>
          <w:tcPr>
            <w:tcW w:type="dxa" w:w="1135"/>
          </w:tcPr>
          <w:p>
            <w:pPr>
              <w:spacing w:line="240" w:lineRule="auto" w:after="40" w:before="40"/>
            </w:pPr>
            <w:r>
              <w:rPr>
                <w:rFonts w:ascii="Arial" w:hAnsi="Arial" w:eastAsia="Arial" w:cs="Arial"/>
                <w:b w:val="0"/>
                <w:i w:val="0"/>
                <w:sz w:val="18"/>
              </w:rPr>
              <w:t>Two-layer</w:t>
            </w:r>
          </w:p>
        </w:tc>
        <w:tc>
          <w:tcPr>
            <w:tcW w:type="dxa" w:w="4539"/>
          </w:tcPr>
          <w:p>
            <w:pPr>
              <w:spacing w:line="240" w:lineRule="auto" w:after="40" w:before="40"/>
            </w:pPr>
            <w:r>
              <w:rPr>
                <w:rFonts w:ascii="Arial" w:hAnsi="Arial" w:eastAsia="Arial" w:cs="Arial"/>
                <w:b w:val="0"/>
                <w:i w:val="0"/>
                <w:sz w:val="18"/>
              </w:rPr>
              <w:t>Layer 2 PanSci replication (Krzanowski S, k=5, post-rotation)</w:t>
            </w:r>
          </w:p>
        </w:tc>
        <w:tc>
          <w:tcPr>
            <w:tcW w:type="dxa" w:w="1513"/>
          </w:tcPr>
          <w:p>
            <w:pPr>
              <w:spacing w:line="240" w:lineRule="auto" w:after="40" w:before="40"/>
            </w:pPr>
            <w:r>
              <w:rPr>
                <w:rFonts w:ascii="Arial" w:hAnsi="Arial" w:eastAsia="Arial" w:cs="Arial"/>
                <w:b w:val="0"/>
                <w:i w:val="0"/>
                <w:sz w:val="18"/>
              </w:rPr>
              <w:t>Label permutation</w:t>
            </w:r>
          </w:p>
        </w:tc>
        <w:tc>
          <w:tcPr>
            <w:tcW w:type="dxa" w:w="441"/>
          </w:tcPr>
          <w:p>
            <w:pPr>
              <w:spacing w:line="240" w:lineRule="auto" w:after="40" w:before="40"/>
            </w:pPr>
            <w:r>
              <w:rPr>
                <w:rFonts w:ascii="Arial" w:hAnsi="Arial" w:eastAsia="Arial" w:cs="Arial"/>
                <w:b w:val="0"/>
                <w:i w:val="0"/>
                <w:sz w:val="18"/>
              </w:rPr>
              <w:t>16</w:t>
            </w:r>
          </w:p>
        </w:tc>
        <w:tc>
          <w:tcPr>
            <w:tcW w:type="dxa" w:w="693"/>
          </w:tcPr>
          <w:p>
            <w:pPr>
              <w:spacing w:line="240" w:lineRule="auto" w:after="40" w:before="40"/>
            </w:pPr>
            <w:r>
              <w:rPr>
                <w:rFonts w:ascii="Arial" w:hAnsi="Arial" w:eastAsia="Arial" w:cs="Arial"/>
                <w:b w:val="0"/>
                <w:i w:val="0"/>
                <w:sz w:val="18"/>
              </w:rPr>
              <w:t>Krzanowski S</w:t>
            </w:r>
          </w:p>
        </w:tc>
        <w:tc>
          <w:tcPr>
            <w:tcW w:type="dxa" w:w="693"/>
          </w:tcPr>
          <w:p>
            <w:pPr>
              <w:spacing w:line="240" w:lineRule="auto" w:after="40" w:before="40"/>
            </w:pPr>
            <w:r>
              <w:rPr>
                <w:rFonts w:ascii="Arial" w:hAnsi="Arial" w:eastAsia="Arial" w:cs="Arial"/>
                <w:b w:val="0"/>
                <w:i w:val="0"/>
                <w:sz w:val="18"/>
              </w:rPr>
              <w:t>0.402</w:t>
            </w:r>
          </w:p>
        </w:tc>
        <w:tc>
          <w:tcPr>
            <w:tcW w:type="dxa" w:w="820"/>
          </w:tcPr>
          <w:p>
            <w:pPr>
              <w:spacing w:line="240" w:lineRule="auto" w:after="40" w:before="40"/>
            </w:pPr>
            <w:r>
              <w:rPr>
                <w:rFonts w:ascii="Arial" w:hAnsi="Arial" w:eastAsia="Arial" w:cs="Arial"/>
                <w:b w:val="0"/>
                <w:i w:val="0"/>
                <w:sz w:val="18"/>
              </w:rPr>
              <w:t>0.0001</w:t>
            </w:r>
          </w:p>
        </w:tc>
        <w:tc>
          <w:tcPr>
            <w:tcW w:type="dxa" w:w="883"/>
          </w:tcPr>
          <w:p>
            <w:pPr>
              <w:spacing w:line="240" w:lineRule="auto" w:after="40" w:before="40"/>
            </w:pPr>
            <w:r>
              <w:rPr>
                <w:rFonts w:ascii="Arial" w:hAnsi="Arial" w:eastAsia="Arial" w:cs="Arial"/>
                <w:b w:val="0"/>
                <w:i w:val="0"/>
                <w:sz w:val="18"/>
              </w:rPr>
              <w:t>0.0052</w:t>
            </w:r>
          </w:p>
        </w:tc>
        <w:tc>
          <w:tcPr>
            <w:tcW w:type="dxa" w:w="1702"/>
          </w:tcPr>
          <w:p>
            <w:pPr>
              <w:spacing w:line="240" w:lineRule="auto" w:after="40" w:before="40"/>
            </w:pPr>
            <w:r>
              <w:rPr>
                <w:rFonts w:ascii="Arial" w:hAnsi="Arial" w:eastAsia="Arial" w:cs="Arial"/>
                <w:b w:val="0"/>
                <w:i w:val="0"/>
                <w:sz w:val="18"/>
              </w:rPr>
              <w:t>Confirmatory</w:t>
            </w:r>
          </w:p>
        </w:tc>
        <w:tc>
          <w:tcPr>
            <w:tcW w:type="dxa" w:w="883"/>
          </w:tcPr>
          <w:p>
            <w:pPr>
              <w:spacing w:line="240" w:lineRule="auto" w:after="40" w:before="40"/>
            </w:pPr>
            <w:r>
              <w:rPr>
                <w:rFonts w:ascii="Arial" w:hAnsi="Arial" w:eastAsia="Arial" w:cs="Arial"/>
                <w:b w:val="0"/>
                <w:i w:val="0"/>
                <w:sz w:val="18"/>
              </w:rPr>
              <w:t>–</w:t>
            </w:r>
          </w:p>
        </w:tc>
      </w:tr>
    </w:tbl>
    <w:p>
      <w:pPr>
        <w:spacing w:line="480" w:lineRule="auto" w:after="0" w:before="0"/>
      </w:pPr>
    </w:p>
    <w:p>
      <w:pPr>
        <w:spacing w:line="480" w:lineRule="auto" w:after="0" w:before="0"/>
        <w:jc w:val="both"/>
      </w:pPr>
      <w:r>
        <w:rPr>
          <w:rFonts w:ascii="Arial" w:hAnsi="Arial" w:eastAsia="Arial" w:cs="Arial"/>
          <w:b w:val="0"/>
          <w:i w:val="0"/>
          <w:sz w:val="24"/>
        </w:rPr>
        <w:t>Bonferroni correction applied over the k = 52 principal inferential tests (k = 52 = 61 − 9). The 9 excluded IDs (T03, T04, T09, T10, T18, T62, T63, T64, T65) are descriptive, aggregate, or diagnostic quantities that make no inferential significance claim and are therefore not part of the multiple-testing family. Green rows = confirmatory; yellow rows = exploratory or diagnostic. Status definitions: Confirmatory = pre-specified or direct replication; Exploratory = post-hoc, respecified, or hypothesis-generating; Diagnostic = simulation calibration (no inferential claim). T44: individual Fisher p-values for 6 niche gene sets (0.045, 0.069, 0.112, 0.761, 1.0, 1.0; all q &gt; 0.05 after FDR). T47: 11 expression-level sub-tests, all |ρ| &lt; 0.21, all p &gt; 0.2. T48: best of 27 metric-threshold combinations (ρ = 0.291, p = 0.090, FDR q = 0.756). T34/T35: the inventoried fold-enrichments are for the overall 500-gene identity set; the per-type top-50 centroid-deviation test on the 6 validation types is reported as a pass-rate (5 of 6 under CellMarker, 6 of 6 under the held-out HPA reference; Figure S6, Methods), not as a single inventory p-value. T29, T54, and the T55-T57 treeness tests are intentionally absent (T29/T54 from an earlier refactor; treeness panels cut); the inventory totals 61 tests. Intermediate unharmonized values discussed in the manuscript text are documented in Table S4 rather than the unified test inventory.</w:t>
      </w:r>
    </w:p>
    <w:p>
      <w:pPr>
        <w:sectPr>
          <w:footerReference w:type="default" r:id="rId10"/>
          <w:pgSz w:w="15840" w:h="12240" w:orient="landscape"/>
          <w:pgMar w:top="1440" w:right="1080" w:bottom="1440" w:left="1080" w:header="720" w:footer="720" w:gutter="0"/>
          <w:cols w:space="720"/>
          <w:docGrid w:linePitch="360"/>
          <w:lnNumType w:countBy="1" w:restart="continuous"/>
        </w:sectPr>
      </w:pPr>
    </w:p>
    <w:p>
      <w:pPr>
        <w:pStyle w:val="Heading1"/>
        <w:spacing w:line="480" w:lineRule="auto" w:after="240" w:before="480"/>
        <w:jc w:val="left"/>
      </w:pPr>
      <w:r>
        <w:rPr>
          <w:rFonts w:ascii="Arial" w:hAnsi="Arial" w:eastAsia="Arial" w:cs="Arial"/>
          <w:b/>
          <w:color w:val="000000"/>
          <w:sz w:val="32"/>
        </w:rPr>
        <w:t>Discussion</w:t>
      </w:r>
    </w:p>
    <w:p>
      <w:pPr>
        <w:spacing w:line="480" w:lineRule="auto" w:after="0" w:before="0"/>
        <w:jc w:val="both"/>
      </w:pPr>
      <w:r>
        <w:rPr>
          <w:rFonts w:ascii="Arial" w:hAnsi="Arial" w:eastAsia="Arial" w:cs="Arial"/>
          <w:b w:val="0"/>
          <w:i w:val="0"/>
          <w:sz w:val="24"/>
        </w:rPr>
        <w:t>Cross-species geometric coherence is carried by Layer 1, the configuration of cell-type centroids, which is the real, identity-carried signal. Layer 1 is robust to removing ribosomal and housekeeping genes: re-running the primary analysis after excluding ribosomal genes, and after additionally excluding a housekeeping gene set, leaves the global coherence essentially unchanged and the per-type ranking preserved (obs/null 0.522 → 0.501 → 0.479; ranking Spearman ρ = 0.91–0.94; Table S7), indicating that centroid conservation reflects cell-identity programs rather than housekeeping structure. Attributing this Layer-1 signal to individual genes (§2) shows it is carried disproportionately by the most cross-species-conserved genes, which are enriched for canonical master and identity transcription factors (median conservation percentile 0.94 versus 0.54 for an expression-matched background and 0.76 under joint expression-and-specificity matching); the centroid conservation is therefore borne by conserved cell-identity regulatory programs, a quantification of the identity interpretation rather than newly discovered regulatory biology. Layer 2, the orientation of within-type covariance, is by contrast conserved only as a statistic, not a shared biological axis (examined below).</w:t>
      </w:r>
    </w:p>
    <w:p>
      <w:pPr>
        <w:spacing w:line="480" w:lineRule="auto" w:after="0" w:before="0"/>
        <w:jc w:val="both"/>
      </w:pPr>
      <w:r>
        <w:rPr>
          <w:rFonts w:ascii="Arial" w:hAnsi="Arial" w:eastAsia="Arial" w:cs="Arial"/>
          <w:b w:val="0"/>
          <w:i w:val="0"/>
          <w:sz w:val="24"/>
        </w:rPr>
        <w:t>Layer 2 conservation is composite, and its demotion to a statistic rests on the cross-protocol non-replication of its drivers, not on equating ribosomal with housekeeping. In the primary (unscaled) analysis, 25 of 35 cell types have a ribosomal-protein gene as the rank-1 driver on the leading common within-type variance axis (CPC1); under per-gene standardization this collapses to 1 of 35, the conserved axis instead resolving to cell-type markers (Table S9), so the ribosomal dominance is a weighting property of the unscaled covariance (ribosomal/translational state is a well-known high-variance axis[36]) rather than a shared biological program specific to cell-type identity. The cell-type-specific cases (Table S6, both classifications) are the more biologically interpretable Layer-2 component. Joint alignment of centroids and ellipsoid axes simultaneously is a natural extension of the present framework. Layer 2 has been examined on the PanSci snRNA-seq atlas (§4), where the covariance-orientation statistic again clears its null; because that test shares the Tabula Sapiens human-10x covariance with the primary analysis, however, it is a cross-protocol sensitivity check rather than an independent replication, and the leading within-type driver genes differ across the protocol switch. Layer 2 is therefore established as a conserved covariance statistic rather than as a single shared biological axis. A Layer 2 test on a fully independent atlas pair (e.g., Sun2023[24]) remains identified as follow-up.</w:t>
      </w:r>
    </w:p>
    <w:p>
      <w:pPr>
        <w:spacing w:line="480" w:lineRule="auto" w:after="0" w:before="0"/>
        <w:jc w:val="both"/>
      </w:pPr>
      <w:r>
        <w:rPr>
          <w:rFonts w:ascii="Arial" w:hAnsi="Arial" w:eastAsia="Arial" w:cs="Arial"/>
          <w:b w:val="0"/>
          <w:i w:val="0"/>
          <w:sz w:val="24"/>
        </w:rPr>
        <w:t>Per-type divergence rankings are precisely estimated within an atlas but do not replicate across atlases. The global Procrustes signal is by contrast atlas-stable (CellHint[28] obs/null = 0.448, p &lt; 10</w:t>
      </w:r>
      <w:r>
        <w:rPr>
          <w:rFonts w:ascii="Arial" w:hAnsi="Arial" w:eastAsia="Arial" w:cs="Arial"/>
          <w:b w:val="0"/>
          <w:i w:val="0"/>
          <w:sz w:val="24"/>
          <w:vertAlign w:val="superscript"/>
        </w:rPr>
        <w:t>−4</w:t>
      </w:r>
      <w:r>
        <w:rPr>
          <w:rFonts w:ascii="Arial" w:hAnsi="Arial" w:eastAsia="Arial" w:cs="Arial"/>
          <w:b w:val="0"/>
          <w:i w:val="0"/>
          <w:sz w:val="24"/>
        </w:rPr>
        <w:t>); per-type rankings are sensitive to centroid definition, an expected property of any centroid-based metric. Procrustes superimposition also distributes localized shape change across all landmarks, the superimposition artifact long noted in geometric morphometrics, so per-type residuals may misattribute where divergence sits, a further reason the ranking is not cleanly biological. A suggestive single-pair association (uncorrected) is that cell types drawn from fewer tissues show larger cross-atlas rank shifts (ρ = −0.526, p = 0.044, n = 15; Table S3), scoped to the CellHint comparison. Age composition also differs across atlases (for example, Tabula Muris Senis is an aged-mouse atlas), a further compositional confound on the per-type ranking that harmonized multi-atlas designs would need to control. The per-type divergence ranking, as computed in this framework on currently available atlases, captures a property that is statistically precise but biologically unattributable. Whether the property is real biology obscured by atlas heterogeneity, or an emergent property of centroid-based geometry without direct biological interpretation, cannot be distinguished with the present data.</w:t>
      </w:r>
    </w:p>
    <w:p>
      <w:pPr>
        <w:spacing w:line="480" w:lineRule="auto" w:after="0" w:before="0"/>
        <w:jc w:val="both"/>
      </w:pPr>
      <w:r>
        <w:rPr>
          <w:rFonts w:ascii="Arial" w:hAnsi="Arial" w:eastAsia="Arial" w:cs="Arial"/>
          <w:b w:val="0"/>
          <w:i w:val="0"/>
          <w:sz w:val="24"/>
        </w:rPr>
        <w:t>Three limitations bound the present results. First, the donor-split analysis (delta = +0.159; cross-species less coherent than within-species in 100/100 splits) indicates cross-species divergence exceeds within-species individual variation, though the cross-species arm is cross-atlas (Tabula Sapiens vs Tabula Muris Senis); the contrast therefore reflects cross-(atlas and species) versus within-(atlas and individual) variation. The direction is robust, with cross-species divergence adding to whatever atlas difference exists, rather than being a protocol-matched effect size, and this confound is currently irreducible; the 100/100 figure is direction-robustness across non-independent resamples of a single 24-donor atlas (Tabula Sapiens, 5 of 24 donors contribute 73% of cells; cf. mixed-model decompositions of cell-type-specific interindividual variation[37]), not independent replication. A matched-scale 6-type cross-atlas analysis (Figure S7) demonstrates the within-vs-cross hierarchy reverses when protocol is not controlled, indicating protocol heterogeneity is the operative confound. Confirmation in a second independent multi-tissue atlas with balanced donor coverage would strengthen this result. A small donor pool may underrepresent population-level genetic variation in within-species expression, biasing the within-species individual-variation baseline downward; a more genetically diverse human reference would tighten this baseline and may reduce the magnitude of the cross-vs-within delta. Second, per-type divergence rankings are dataset-dependent and should be treated as exploratory, atlas-specific observations until harmonized multi-atlas designs are available; the ten mechanistic null tests rule out strong but not moderate associations (Figure 7B; Materials and Methods). Third, the macaque analysis is suggestive and uncorrected (significant only at raw α = 0.01; corrected p ≈ 0.22, not significant) and materially weaker than the matched-n human–mouse control, attributable to atlas tissue-composition asymmetry in the Qu et al.[18] source, particularly in the immune subset. Single-source macaque atlases with broader non-immune coverage would strengthen ranking replication.</w:t>
      </w:r>
    </w:p>
    <w:p>
      <w:pPr>
        <w:spacing w:line="480" w:lineRule="auto" w:after="0" w:before="0"/>
        <w:jc w:val="both"/>
      </w:pPr>
      <w:r>
        <w:rPr>
          <w:rFonts w:ascii="Arial" w:hAnsi="Arial" w:eastAsia="Arial" w:cs="Arial"/>
          <w:b w:val="0"/>
          <w:i w:val="0"/>
          <w:sz w:val="24"/>
        </w:rPr>
        <w:t>The framework reliably detects global geometric coherence in multi-tissue atlases with adequate matched cell types and sequencing depth (all four successful human–mouse cross-atlas replications: p ≤ 10</w:t>
      </w:r>
      <w:r>
        <w:rPr>
          <w:rFonts w:ascii="Arial" w:hAnsi="Arial" w:eastAsia="Arial" w:cs="Arial"/>
          <w:b w:val="0"/>
          <w:i w:val="0"/>
          <w:sz w:val="24"/>
          <w:vertAlign w:val="superscript"/>
        </w:rPr>
        <w:t>−4</w:t>
      </w:r>
      <w:r>
        <w:rPr>
          <w:rFonts w:ascii="Arial" w:hAnsi="Arial" w:eastAsia="Arial" w:cs="Arial"/>
          <w:b w:val="0"/>
          <w:i w:val="0"/>
          <w:sz w:val="24"/>
        </w:rPr>
        <w:t>; human–macaque: p = 0.0043), and the two-layer decomposition is stable across atlas choices and replicates on PanSci snRNA-seq with cell-type-specific within-type drivers (§4). Per-type rankings are exploratory and atlas-specific (cross-atlas ρ ≈ −0.14 to 0.19; cf. cell-type replicability frameworks such as MetaNeighbor[38]). The framework is complementary to community efforts mapping cell-type diversity across the tree of life[39] and to cross-modality approaches such as enhancer-driven cross-species comparison[40].</w:t>
      </w:r>
    </w:p>
    <w:p>
      <w:pPr>
        <w:spacing w:line="480" w:lineRule="auto" w:after="0" w:before="0"/>
        <w:jc w:val="both"/>
      </w:pPr>
      <w:r>
        <w:rPr>
          <w:rFonts w:ascii="Arial" w:hAnsi="Arial" w:eastAsia="Arial" w:cs="Arial"/>
          <w:b w:val="0"/>
          <w:i w:val="0"/>
          <w:sz w:val="24"/>
        </w:rPr>
        <w:t>CellWarp is methodologically distinct from recent cross-species frameworks at the level of what each produces. EVaDe (Qin &amp; Zou)[9] detects adaptive evolution at the level of individual genes within matched cell types; CellWarp instead quantifies a type-level geometric displacement of the whole centroid configuration, so the two are complementary rather than addressing the same goal. Gromov–Wasserstein optimal-transport approaches (Tokuta et al.)[8] infer gene- or cell-correspondence without a pre-specified match and under a different geometric paradigm, whereas CellWarp takes the ontology match as given and measures residual displacement under a single global similarity transform. SMAI (Ma et al.)[13] provides a rigorous similarity-transform alignability test for single-cell integration; it is the closest antecedent to the present geometric framing and motivates the marker-similarity-stratified control (§1; Table S10), which shows the configuration carries information beyond the marker-based matching. None of these produces a per-type residual under a global transform, the quantity CellWarp is built to extract.</w:t>
      </w:r>
    </w:p>
    <w:p>
      <w:pPr>
        <w:spacing w:line="480" w:lineRule="auto" w:after="0" w:before="0"/>
        <w:jc w:val="both"/>
      </w:pPr>
      <w:r>
        <w:rPr>
          <w:rFonts w:ascii="Arial" w:hAnsi="Arial" w:eastAsia="Arial" w:cs="Arial"/>
          <w:b w:val="0"/>
          <w:i w:val="0"/>
          <w:sz w:val="24"/>
        </w:rPr>
        <w:t>The present results establish that geometric coherence of cell-type transcriptomes is a measurable and reproducible property across mammalian species, with a donor-controlled analysis indicating that the cross-species signal exceeds within-individual variation, directionally and within the cross-(atlas and species) confound. The contribution is methodological and threefold: (i) a per-cell-type geometric displacement under a single global Procrustes transform, a quantity existing cross-species methods do not produce; (ii) the conservation of centroid alignment and within-type covariance orientation through geometrically distinct features (the centroid signal is robust to housekeeping-gene removal and to per-gene standardization, whereas the covariance-orientation signal is conserved only as a statistic whose ribosomal dominance is a weighting effect rather than a shared biological axis); and (iii) the finding that per-type divergence rankings are a resolution limit of current atlases rather than a resolved biological signal. Extension to a 100-type ontology is the prerequisite for testing divergence in specialized cell types (terminally differentiated, post-mitotic, rare) not represented in the current 35-type set; once harmonized atlases stabilize the per-type rankings, this framework will enable systematic ranking of cell-type geometric conservation across mammalian evolution.</w:t>
      </w:r>
    </w:p>
    <w:p>
      <w:pPr>
        <w:pStyle w:val="Heading1"/>
        <w:spacing w:line="480" w:lineRule="auto" w:after="240" w:before="480"/>
        <w:jc w:val="left"/>
      </w:pPr>
      <w:r>
        <w:rPr>
          <w:rFonts w:ascii="Arial" w:hAnsi="Arial" w:eastAsia="Arial" w:cs="Arial"/>
          <w:b/>
          <w:color w:val="000000"/>
          <w:sz w:val="32"/>
        </w:rPr>
        <w:t>Materials and Methods</w:t>
      </w:r>
    </w:p>
    <w:p>
      <w:pPr>
        <w:pStyle w:val="Heading2"/>
        <w:spacing w:line="480" w:lineRule="auto" w:after="120" w:before="360"/>
        <w:jc w:val="left"/>
      </w:pPr>
      <w:r>
        <w:rPr>
          <w:rFonts w:ascii="Arial" w:hAnsi="Arial" w:eastAsia="Arial" w:cs="Arial"/>
          <w:b/>
          <w:color w:val="000000"/>
          <w:sz w:val="28"/>
        </w:rPr>
        <w:t>Data acquisition and cell type selection</w:t>
      </w:r>
    </w:p>
    <w:p>
      <w:pPr>
        <w:spacing w:line="480" w:lineRule="auto" w:after="0" w:before="0"/>
        <w:jc w:val="both"/>
      </w:pPr>
      <w:r>
        <w:rPr>
          <w:rFonts w:ascii="Arial" w:hAnsi="Arial" w:eastAsia="Arial" w:cs="Arial"/>
          <w:b w:val="0"/>
          <w:i w:val="0"/>
          <w:sz w:val="24"/>
        </w:rPr>
        <w:t>Primary human single-cell RNA-sequencing data were obtained from the Tabula Sapiens[25] consortium (v1.0; TSP1), a multi-organ human cell atlas profiling 483,152 cells across 24 donors using a combination of 10x Chromium and Smart-seq2 protocols. Primary mouse data were obtained from Tabula Muris Senis[26] (TMS), a whole-organism mouse cell atlas profiling 350,000 cells across multiple ages using 10x Chromium (droplet) and Smart-seq2 (fluorescence-activated cell sorting [FACS]) protocols; because TMS is an aging atlas spanning several age points whereas the human atlas is predominantly adult, an age-composition difference between the two species is not controlled and is a potential contributor to per-type residuals. Both atlases profile multiple tissues per organism, so a cell-type centroid integrates across tissue contexts rather than reflecting a single organ's biochemical environment. Both atlases provide standardized cell type annotations, donor metadata, and tissue of origin labels, enabling systematic cell type matching across species. All data were accessed from published, publicly available sources.</w:t>
      </w:r>
    </w:p>
    <w:p>
      <w:pPr>
        <w:spacing w:line="480" w:lineRule="auto" w:after="0" w:before="0"/>
        <w:jc w:val="both"/>
      </w:pPr>
      <w:r>
        <w:rPr>
          <w:rFonts w:ascii="Arial" w:hAnsi="Arial" w:eastAsia="Arial" w:cs="Arial"/>
          <w:b w:val="0"/>
          <w:i w:val="0"/>
          <w:sz w:val="24"/>
        </w:rPr>
        <w:t>Cell types were selected by two filters applied to the harmonized data: (1) presence in both atlases' primary, normal-tissue annotations under the same Cell Ontology label, and (2) ≥500 cells per type per species after quality filtering. Cross-species correspondence at the type level is established by the shared Cell Ontology vocabulary used by both source atlases, which assigns labels based on canonical marker-gene expression and biological definitions; no further manual harmonization or marker re-annotation was applied during selection. This operational definition treats a shared CL label as a cross-species correspondence, not an assertion of evolutionary homology. For most matched types (CD8+ T cell, hepatocyte, endothelial cell) this is well supported by canonical-marker conservation; for broader parent labels (macrophage, monocyte, stromal cell, fibroblast, mesenchymal stem cell), the shared CL label captures populations that may differ in subtype composition across species due to tissue sampling and species-specific subtype prevalence. Procrustes residuals at these broader labels therefore reflect both centroid-position conservation and cross-species sampling/composition asymmetry, which the framework does not separate. Within the matched 35-type set, five sets of CL parent–child relationships are present (T cell / CD4+ T cell / CD8+ T cell / mature NK T cell; monocyte / classical / intermediate / non-classical monocyte; mesenchymal stem cell / mesenchymal stem cell of adipose tissue; fibroblast / fibroblast of cardiac tissue; macrophage / myeloid leukocyte as broad/broader). Per-type residuals for parent labels are partially correlated with child labels by construction. To assess sensitivity to CL parent–child nesting, two subset analyses tested whether the five parent–child CL pairs in the matched set distort the global Procrustes coherence: (Variant A) excluding the broader parent of each pair (T cell, monocyte, mesenchymal stem cell, fibroblast, and myeloid leukocyte), yielding n = 30 types; (Variant B) excluding the more specific children of each pair, yielding n = 26 types. Joint PCA was refit at 95% variance threshold per variant. Variant A obs/null = 0.521 (p &lt; 10</w:t>
      </w:r>
      <w:r>
        <w:rPr>
          <w:rFonts w:ascii="Arial" w:hAnsi="Arial" w:eastAsia="Arial" w:cs="Arial"/>
          <w:b w:val="0"/>
          <w:i w:val="0"/>
          <w:sz w:val="24"/>
          <w:vertAlign w:val="superscript"/>
        </w:rPr>
        <w:t>−4</w:t>
      </w:r>
      <w:r>
        <w:rPr>
          <w:rFonts w:ascii="Arial" w:hAnsi="Arial" w:eastAsia="Arial" w:cs="Arial"/>
          <w:b w:val="0"/>
          <w:i w:val="0"/>
          <w:sz w:val="24"/>
        </w:rPr>
        <w:t>, 10,000 permutations); ranking Spearman ρ vs the matched 30-subset of the primary 35-type ranking = 0.936. Variant B obs/null = 0.544 (p &lt; 10</w:t>
      </w:r>
      <w:r>
        <w:rPr>
          <w:rFonts w:ascii="Arial" w:hAnsi="Arial" w:eastAsia="Arial" w:cs="Arial"/>
          <w:b w:val="0"/>
          <w:i w:val="0"/>
          <w:sz w:val="24"/>
          <w:vertAlign w:val="superscript"/>
        </w:rPr>
        <w:t>−4</w:t>
      </w:r>
      <w:r>
        <w:rPr>
          <w:rFonts w:ascii="Arial" w:hAnsi="Arial" w:eastAsia="Arial" w:cs="Arial"/>
          <w:b w:val="0"/>
          <w:i w:val="0"/>
          <w:sz w:val="24"/>
        </w:rPr>
        <w:t>); ranking Spearman ρ vs the 26-subset = 0.911. The global Procrustes signal is robust to either direction of parent–child exclusion, and per-type rankings are preserved at Spearman ρ ≈ 0.91–0.94. Under the Census filters (is_primary_data=True, disease='normal'), Tabula Sapiens[25] contains 180 unique cell-type labels and Tabula Muris Senis[26] 151. Of these, 66 share a Cell Ontology label across the two atlases; 45 reached ≥200 cells in both species, and 35 met the ≥500-cell threshold. The 10 types meeting the 200-cell but not the 500-cell threshold span multiple lineages and reflect per-species sampling asymmetry rather than systematic bias against any cell-type category.</w:t>
      </w:r>
    </w:p>
    <w:p>
      <w:pPr>
        <w:spacing w:line="480" w:lineRule="auto" w:after="0" w:before="0"/>
        <w:jc w:val="both"/>
      </w:pPr>
      <w:r>
        <w:rPr>
          <w:rFonts w:ascii="Arial" w:hAnsi="Arial" w:eastAsia="Arial" w:cs="Arial"/>
          <w:b w:val="0"/>
          <w:i w:val="0"/>
          <w:sz w:val="24"/>
        </w:rPr>
        <w:t>Cell type annotations were retrieved as canonical Cell Ontology[41] display strings via CZ CELLxGENE Census[29]. All 35 matched types share identical Cell Ontology labels across the two atlases (e.g., "CD8-positive, alpha-beta T cell" for CL:0000625; full list in Supplementary Table S5), so cross-species type correspondence reduces to exact-label matching on canonical CL display strings.</w:t>
      </w:r>
    </w:p>
    <w:p>
      <w:pPr>
        <w:spacing w:line="480" w:lineRule="auto" w:after="0" w:before="0"/>
        <w:jc w:val="both"/>
      </w:pPr>
      <w:r>
        <w:rPr>
          <w:rFonts w:ascii="Arial" w:hAnsi="Arial" w:eastAsia="Arial" w:cs="Arial"/>
          <w:b w:val="0"/>
          <w:i w:val="0"/>
          <w:sz w:val="24"/>
        </w:rPr>
        <w:t>The final matched set comprised 35 cell types spanning immune/hematopoietic, epithelial, stromal/mesenchymal, endothelial, and metabolic/parenchymal lineages (Supplementary Table S5; pre-cap counts). The matched set was constructed in stages, with inclusion criteria pre-specified before examining the Procrustes residuals. A 6-type subset (B cell, CD4+ T cell, CD8+ T cell, endothelial cell, hepatocyte, macrophage) is used for validation analyses where smaller n is required (e.g., the CellMarker identity-gene comparison). The 35-type set constitutes the primary analysis for all results reported in this paper.</w:t>
      </w:r>
    </w:p>
    <w:p>
      <w:pPr>
        <w:spacing w:line="480" w:lineRule="auto" w:after="0" w:before="0"/>
        <w:jc w:val="both"/>
      </w:pPr>
      <w:r>
        <w:rPr>
          <w:rFonts w:ascii="Arial" w:hAnsi="Arial" w:eastAsia="Arial" w:cs="Arial"/>
          <w:b w:val="0"/>
          <w:i w:val="0"/>
          <w:sz w:val="24"/>
        </w:rPr>
        <w:t>Cell type annotations in Tabula Muris Senis[26] include contributions from both 10x Chromium droplet and Smart-seq2 FACS protocols, with Smart-seq2 fractions varying substantially across cell types (0–99% of cells per type). Tabula Sapiens[25] similarly combines 10x and Smart-seq2 cells. To assess sensitivity to protocol composition, a 10x-only subset analysis was conducted in which all Smart-seq2 cells were removed from Tabula Muris Senis[26] prior to centroid computation; the corresponding restriction was not applied to Tabula Sapiens[25], so this protocol control is one-sided (mouse-only) and does not fully equalize protocol composition across the two species. Global Procrustes structure was stable under this restriction (per-type divergence ranking Spearman ρ = 0.754 between full-dataset and 10x-only rankings; Figure S2C–D). The progenitor divergence finding was weakened under 10x-only restriction (p = 0.119, compared to p = 0.0099 in the full dataset); accordingly, progenitor-type results are reported as trends throughout this paper rather than as confirmed findings, pending analysis in a protocol-homogeneous dataset. As a protocol confound check, Spearman correlation between per-type Smart-seq2 fraction and the Procrustes residual was computed for both atlases on the full primary centroid set (mouse ρ = −0.042, p = 0.812, n = 35; human ρ = 0.083, p = 0.636, n = 35); neither was significant.</w:t>
      </w:r>
    </w:p>
    <w:p>
      <w:pPr>
        <w:pStyle w:val="Heading2"/>
        <w:spacing w:line="480" w:lineRule="auto" w:after="120" w:before="360"/>
        <w:jc w:val="left"/>
      </w:pPr>
      <w:r>
        <w:rPr>
          <w:rFonts w:ascii="Arial" w:hAnsi="Arial" w:eastAsia="Arial" w:cs="Arial"/>
          <w:b/>
          <w:color w:val="000000"/>
          <w:sz w:val="28"/>
        </w:rPr>
        <w:t>Ortholog mapping and gene space</w:t>
      </w:r>
    </w:p>
    <w:p>
      <w:pPr>
        <w:spacing w:line="480" w:lineRule="auto" w:after="0" w:before="0"/>
        <w:jc w:val="both"/>
      </w:pPr>
      <w:r>
        <w:rPr>
          <w:rFonts w:ascii="Arial" w:hAnsi="Arial" w:eastAsia="Arial" w:cs="Arial"/>
          <w:b w:val="0"/>
          <w:i w:val="0"/>
          <w:sz w:val="24"/>
        </w:rPr>
        <w:t>Human–mouse one-to-one orthologs were obtained from Ensembl BioMart release 115 (hsapiens_gene_ensembl, GRCh38.p14; accessed 2026-03-12). Only genes with a strict one-to-one orthology relationship between human (</w:t>
      </w:r>
      <w:r>
        <w:rPr>
          <w:rFonts w:ascii="Arial" w:hAnsi="Arial" w:eastAsia="Arial" w:cs="Arial"/>
          <w:b w:val="0"/>
          <w:i/>
          <w:sz w:val="24"/>
        </w:rPr>
        <w:t>Homo sapiens</w:t>
      </w:r>
      <w:r>
        <w:rPr>
          <w:rFonts w:ascii="Arial" w:hAnsi="Arial" w:eastAsia="Arial" w:cs="Arial"/>
          <w:b w:val="0"/>
          <w:i w:val="0"/>
          <w:sz w:val="24"/>
        </w:rPr>
        <w:t>, GRCh38) and mouse (</w:t>
      </w:r>
      <w:r>
        <w:rPr>
          <w:rFonts w:ascii="Arial" w:hAnsi="Arial" w:eastAsia="Arial" w:cs="Arial"/>
          <w:b w:val="0"/>
          <w:i/>
          <w:sz w:val="24"/>
        </w:rPr>
        <w:t>Mus musculus</w:t>
      </w:r>
      <w:r>
        <w:rPr>
          <w:rFonts w:ascii="Arial" w:hAnsi="Arial" w:eastAsia="Arial" w:cs="Arial"/>
          <w:b w:val="0"/>
          <w:i w:val="0"/>
          <w:sz w:val="24"/>
        </w:rPr>
        <w:t>, GRCm39) were retained. Genes participating in one-to-many or many-to-many relationships were excluded; expression averaging across paralogs was not performed, as such averaging introduces artifacts that could generate spurious geometric patterns in centroid space. The restriction is deliberately conservative: by excluding ambiguous mappings rather than resolving them, it deflates rather than inflates conservation signal. Any geometric coherence detected in this gene space is therefore attenuated relative to what a permissive ortholog definition would produce. Because BioMart query results are not version-pinned in the pipeline code, the full ortholog table returned by this query is archived as a CSV file in the repository and constitutes the reproducibility anchor for all downstream gene space definitions.</w:t>
      </w:r>
    </w:p>
    <w:p>
      <w:pPr>
        <w:spacing w:line="480" w:lineRule="auto" w:after="0" w:before="0"/>
        <w:jc w:val="both"/>
      </w:pPr>
      <w:r>
        <w:rPr>
          <w:rFonts w:ascii="Arial" w:hAnsi="Arial" w:eastAsia="Arial" w:cs="Arial"/>
          <w:b w:val="0"/>
          <w:i w:val="0"/>
          <w:sz w:val="24"/>
        </w:rPr>
        <w:t>Applying the 1:1 filter to both species yielded 17,187 ortholog pairs. After restricting to genes present in both atlases following quality filtering, the operating gene space comprised 16,959 genes. A design threshold of 10,000 shared 1:1 orthologs was established prior to analysis as the minimum below which the geometric analysis would be considered invalid; at fewer than 10,000 genes the centroid vectors are too sparsely sampled to support stable Procrustes alignment. The observed 16,959-gene space exceeds this threshold by 70%, providing substantial headroom. All primary Procrustes analyses, per-type divergence ranking, and mechanistic null tests were conducted over all 16,959 shared orthologs; no additional feature selection was applied prior to centroid computation. To test sensitivity to gene-set sampling, the per-type divergence ranking was recomputed on the top 2,000–5,000 genes ranked by mean between-type centroid variance (averaged across species; a centroid-level discriminative-gene metric, distinct from standard cell-level highly variable gene selection). This restriction produced obs/null ratios of 0.496–0.511 (all p &lt; 10</w:t>
      </w:r>
      <w:r>
        <w:rPr>
          <w:rFonts w:ascii="Arial" w:hAnsi="Arial" w:eastAsia="Arial" w:cs="Arial"/>
          <w:b w:val="0"/>
          <w:i w:val="0"/>
          <w:sz w:val="24"/>
          <w:vertAlign w:val="superscript"/>
        </w:rPr>
        <w:t>−4</w:t>
      </w:r>
      <w:r>
        <w:rPr>
          <w:rFonts w:ascii="Arial" w:hAnsi="Arial" w:eastAsia="Arial" w:cs="Arial"/>
          <w:b w:val="0"/>
          <w:i w:val="0"/>
          <w:sz w:val="24"/>
        </w:rPr>
        <w:t>), lower than the full-space ratio of 0.522, consistent with the geometric coherence signal being broadly distributed rather than concentrated in a small discriminative-gene subset. Rankings under this restriction correlated with the full-space ranking at ρ ≥ 0.957.</w:t>
      </w:r>
    </w:p>
    <w:p>
      <w:pPr>
        <w:spacing w:line="480" w:lineRule="auto" w:after="0" w:before="0"/>
        <w:jc w:val="both"/>
      </w:pPr>
      <w:r>
        <w:rPr>
          <w:rFonts w:ascii="Arial" w:hAnsi="Arial" w:eastAsia="Arial" w:cs="Arial"/>
          <w:b w:val="0"/>
          <w:i w:val="0"/>
          <w:sz w:val="24"/>
        </w:rPr>
        <w:t>For the macaque extension, a three-way human–mouse–macaque ortholog intersection was computed, yielding 13,927 genes (82.1% of the human–mouse space). Details are in Macaque extension.</w:t>
      </w:r>
    </w:p>
    <w:p>
      <w:pPr>
        <w:spacing w:line="480" w:lineRule="auto" w:after="0" w:before="0"/>
        <w:jc w:val="both"/>
      </w:pPr>
      <w:r>
        <w:rPr>
          <w:rFonts w:ascii="Arial" w:hAnsi="Arial" w:eastAsia="Arial" w:cs="Arial"/>
          <w:b w:val="0"/>
          <w:i w:val="0"/>
          <w:sz w:val="24"/>
        </w:rPr>
        <w:t>The L1000[35] landmark gene set (978 genes selected by the Broad Institute for transcriptional predictability across chemical and genetic perturbations) was intersected with the 16,959-gene ortholog space, yielding 907 genes (5.3% of the primary gene space). This intersection is used in L1000[35] landmark gene analysis. The L1000[35] gene set was defined without reference to cross-species conservation or cell type identity, making it an independent basis for assessing whether per-type divergence rankings are preserved at reduced gene-space sampling.</w:t>
      </w:r>
    </w:p>
    <w:p>
      <w:pPr>
        <w:pStyle w:val="Heading2"/>
        <w:spacing w:line="480" w:lineRule="auto" w:after="120" w:before="360"/>
        <w:jc w:val="left"/>
      </w:pPr>
      <w:r>
        <w:rPr>
          <w:rFonts w:ascii="Arial" w:hAnsi="Arial" w:eastAsia="Arial" w:cs="Arial"/>
          <w:b/>
          <w:color w:val="000000"/>
          <w:sz w:val="28"/>
        </w:rPr>
        <w:t>Normalization and centroid computation</w:t>
      </w:r>
    </w:p>
    <w:p>
      <w:pPr>
        <w:spacing w:line="480" w:lineRule="auto" w:after="0" w:before="0"/>
        <w:jc w:val="both"/>
      </w:pPr>
      <w:r>
        <w:rPr>
          <w:rFonts w:ascii="Arial" w:hAnsi="Arial" w:eastAsia="Arial" w:cs="Arial"/>
          <w:b w:val="0"/>
          <w:i w:val="0"/>
          <w:sz w:val="24"/>
        </w:rPr>
        <w:t>Normalization was applied after ortholog filtering, with no prior imputation, smoothing, or dimensionality reduction. Raw counts were normalized per cell in two sequential steps: library-size normalization to counts per 10,000 (CP10K), followed by log-plus-one transformation (log1p). Normalization was applied independently to each cell before any aggregation, ensuring that centroid vectors reflect per-cell expression levels rather than artifacts of variable library depth across donors or cell types. Because centroids are means of log1p-normalized expression, high-mean ubiquitous genes (including ribosomal-protein and other housekeeping transcripts) contribute disproportionately to centroid and within-type-covariance geometry; this weighting is one reason the leading within-type covariance axis is ribosomal-dominated in whole-cell data (Results §4).</w:t>
      </w:r>
    </w:p>
    <w:p>
      <w:pPr>
        <w:spacing w:line="480" w:lineRule="auto" w:after="0" w:before="0"/>
        <w:jc w:val="both"/>
      </w:pPr>
      <w:r>
        <w:rPr>
          <w:rFonts w:ascii="Arial" w:hAnsi="Arial" w:eastAsia="Arial" w:cs="Arial"/>
          <w:b w:val="0"/>
          <w:i w:val="0"/>
          <w:sz w:val="24"/>
        </w:rPr>
        <w:t>Cell-type centroids were computed as the mean log-normalized expression vector over all cells assigned to a given type within a given species. Centroids were computed separately for each species; no cross-species alignment, integration, or batch correction was applied prior to or during centroid computation. The cross-species geometric signal is therefore present in the raw centroid displacement, not introduced by any alignment procedure, and the validity of this approach is supported by the human-versus-human negative control (see Human-versus-human negative control), which demonstrates that the observed human–mouse Procrustes coherence exceeds what is produced by equivalent within-species comparisons under matched conditions.</w:t>
      </w:r>
    </w:p>
    <w:p>
      <w:pPr>
        <w:spacing w:line="480" w:lineRule="auto" w:after="0" w:before="0"/>
        <w:jc w:val="both"/>
      </w:pPr>
      <w:r>
        <w:rPr>
          <w:rFonts w:ascii="Arial" w:hAnsi="Arial" w:eastAsia="Arial" w:cs="Arial"/>
          <w:b w:val="0"/>
          <w:i w:val="0"/>
          <w:sz w:val="24"/>
        </w:rPr>
        <w:t>A maximum of 2,000 cells per type per species was sampled prior to centroid computation (random subsample, seed = 42) where the type exceeded this cap. Across the 35 matched cell types, per-species cell counts ranged from 516 cells (myeloid leukocyte, mouse) to 2,000 cells (multiple types, capped by subsampling), reflecting the variation in abundance across cell types and tissues in both atlases. Sensitivity to the subsampling procedure was assessed by bootstrap resampling at 50% of the cap (see Bootstrap robustness), which tests centroid stability at half-density: across 100 iterations the Procrustes distance coefficient of variation was 0.004, indicating stable centroid estimates under cell sampling.</w:t>
      </w:r>
    </w:p>
    <w:p>
      <w:pPr>
        <w:spacing w:line="480" w:lineRule="auto" w:after="0" w:before="0"/>
        <w:jc w:val="both"/>
      </w:pPr>
      <w:r>
        <w:rPr>
          <w:rFonts w:ascii="Arial" w:hAnsi="Arial" w:eastAsia="Arial" w:cs="Arial"/>
          <w:b w:val="0"/>
          <w:i w:val="0"/>
          <w:sz w:val="24"/>
        </w:rPr>
        <w:t>Prior to Procrustes superimposition, PCA was applied jointly to the combined matrix of 70 centroids (35 cell types × 2 species) in the 16,959-dimensional ortholog gene space. The number of principal components retained was determined by the threshold of 95% cumulative variance explained, yielding 33 components (95.2% variance). The 95% threshold is a standard choice in single-cell expression analysis. Procrustes superimposition was then performed in this 33-component PCA space rather than in the full 16,959-dimensional gene space. This dimensionality reduction step is necessary for numerical stability: in spaces with thousands of dimensions and only 35 landmark points, Procrustes alignment becomes underdetermined, with rotation matrices that are poorly constrained and residuals that are dominated by noise dimensions rather than biological signal. PCA projection onto the leading variance axes concentrates the biologically informative structure into a well-conditioned subspace before alignment. Sensitivity to the number of retained components was assessed across the range k = 10 to k = 50; per-type divergence rankings were stable across this range (Spearman ρ = 0.756–0.901 versus the k = 33 baseline; Figure S2A–B), confirming that results are not specific to the chosen variance threshold.</w:t>
      </w:r>
    </w:p>
    <w:p>
      <w:pPr>
        <w:spacing w:line="480" w:lineRule="auto" w:after="0" w:before="0"/>
        <w:jc w:val="both"/>
      </w:pPr>
      <w:r>
        <w:rPr>
          <w:rFonts w:ascii="Arial" w:hAnsi="Arial" w:eastAsia="Arial" w:cs="Arial"/>
          <w:b w:val="0"/>
          <w:i w:val="0"/>
          <w:sz w:val="24"/>
        </w:rPr>
        <w:t>Because the permutation null (see Permutation test and statistical framework) operates in the same joint PCA space as the observed statistic, any variance inflation introduced by joint embedding applies symmetrically to both the observed Procrustes distance and the permuted distances, leaving the obs/null ratio and p-value unaffected. Leave-one-out cross-validation provides a further guard against leakage: PCA is recomputed from scratch on the 68 training centroids per fold, excluding the held-out type entirely from both PCA fitting and rotation estimation (see Leave-one-out cross-validation). Finally, all four datasets tested (the primary analysis plus three independent replications; see Replication datasets) construct their own joint PCA from independent centroid matrices and all return p &lt; 10</w:t>
      </w:r>
      <w:r>
        <w:rPr>
          <w:rFonts w:ascii="Arial" w:hAnsi="Arial" w:eastAsia="Arial" w:cs="Arial"/>
          <w:b w:val="0"/>
          <w:i w:val="0"/>
          <w:sz w:val="24"/>
          <w:vertAlign w:val="superscript"/>
        </w:rPr>
        <w:t>−4</w:t>
      </w:r>
      <w:r>
        <w:rPr>
          <w:rFonts w:ascii="Arial" w:hAnsi="Arial" w:eastAsia="Arial" w:cs="Arial"/>
          <w:b w:val="0"/>
          <w:i w:val="0"/>
          <w:sz w:val="24"/>
        </w:rPr>
        <w:t>, which is inconsistent with joint-PCA-induced coherence being a property of the specific primary-analysis embedding; the independent-PCA sensitivity analysis (see Independent PCA sensitivity analysis) tests joint PCA as a method directly.</w:t>
      </w:r>
    </w:p>
    <w:p>
      <w:pPr>
        <w:pStyle w:val="Heading2"/>
        <w:spacing w:line="480" w:lineRule="auto" w:after="120" w:before="360"/>
        <w:jc w:val="left"/>
      </w:pPr>
      <w:r>
        <w:rPr>
          <w:rFonts w:ascii="Arial" w:hAnsi="Arial" w:eastAsia="Arial" w:cs="Arial"/>
          <w:b/>
          <w:color w:val="000000"/>
          <w:sz w:val="28"/>
        </w:rPr>
        <w:t>PCA interdependence</w:t>
      </w:r>
    </w:p>
    <w:p>
      <w:pPr>
        <w:spacing w:line="480" w:lineRule="auto" w:after="0" w:before="0"/>
        <w:jc w:val="both"/>
      </w:pPr>
      <w:r>
        <w:rPr>
          <w:rFonts w:ascii="Arial" w:hAnsi="Arial" w:eastAsia="Arial" w:cs="Arial"/>
          <w:b w:val="0"/>
          <w:i w:val="0"/>
          <w:sz w:val="24"/>
        </w:rPr>
        <w:t>Procrustes superimposition applied to PCA-projected centroids involves a known interdependence: because all cell types contribute to the PCA rotation, residuals are not strictly independent across types. This is inherent to all landmark-based Procrustes analysis, not specific to CellWarp. Three lines of evidence address whether this interdependence inflates the coherence result. First, the permutation null operates in the same joint PCA space as the observed statistic, so any inflation applies symmetrically to both observed and permuted distances and leaves the obs/null ratio and p-value unaffected (see Normalization and centroid computation). Second, leave-one-out cross-validation recomputes PCA and rotation on the n−1 training types per fold, and the held-out type is predicted better than chance in 35 of 35 folds (mean error-to-null ratio = 0.4201), demonstrating that per-type residuals are not artifacts of shared rotation fitting. Third, the independent-PCA sensitivity analysis (see Independent PCA sensitivity analysis) tests the joint-PCA architecture directly and yields a stronger signal, not a weaker one, the opposite of what a joint-PCA-driven artifact would produce.</w:t>
      </w:r>
    </w:p>
    <w:p>
      <w:pPr>
        <w:pStyle w:val="Heading2"/>
        <w:spacing w:line="480" w:lineRule="auto" w:after="120" w:before="360"/>
        <w:jc w:val="left"/>
      </w:pPr>
      <w:r>
        <w:rPr>
          <w:rFonts w:ascii="Arial" w:hAnsi="Arial" w:eastAsia="Arial" w:cs="Arial"/>
          <w:b/>
          <w:color w:val="000000"/>
          <w:sz w:val="28"/>
        </w:rPr>
        <w:t>Independent PCA sensitivity analysis</w:t>
      </w:r>
    </w:p>
    <w:p>
      <w:pPr>
        <w:spacing w:line="480" w:lineRule="auto" w:after="0" w:before="0"/>
        <w:jc w:val="both"/>
      </w:pPr>
      <w:r>
        <w:rPr>
          <w:rFonts w:ascii="Arial" w:hAnsi="Arial" w:eastAsia="Arial" w:cs="Arial"/>
          <w:b w:val="0"/>
          <w:i w:val="0"/>
          <w:sz w:val="24"/>
        </w:rPr>
        <w:t>To test whether joint PCA (computing principal components on the combined 70-centroid matrix) artificially generates the geometric coherence result, the full analysis was repeated using PCA computed independently on each species' centroids. Human centroids (35 × 16,959) and mouse centroids (35 × 16,959) were projected separately onto their own principal component spaces, retaining 33 components per species to match the joint-PCA component count for direct comparison. Per-species variance retention is therefore much higher in this decomposition (99.96%) than in the joint-PCA primary analysis (95.2%), because PCA on 35 mean-centered centroids per species has at most 34 nonzero components and 33 components capture essentially the full informative subspace. The two PCA subspaces were aligned via Procrustes on loading matrices, a pairing-free procedure that does not use cell type labels: because the loading matrices are indexed by genes (each row is one of the 16,959 shared orthologs), the alignment leverages gene-level orthology rather than cell-type-level correspondence, with cell type labels entering only at the subsequent permutation test. Procrustes superimposition and label-permutation testing (1,000,000 iterations, same protocol as primary analysis) were then applied in this independently derived space.</w:t>
      </w:r>
    </w:p>
    <w:p>
      <w:pPr>
        <w:spacing w:line="480" w:lineRule="auto" w:after="0" w:before="0"/>
        <w:jc w:val="both"/>
      </w:pPr>
      <w:r>
        <w:rPr>
          <w:rFonts w:ascii="Arial" w:hAnsi="Arial" w:eastAsia="Arial" w:cs="Arial"/>
          <w:b w:val="0"/>
          <w:i w:val="0"/>
          <w:sz w:val="24"/>
        </w:rPr>
        <w:t>The independent-PCA analysis produced obs/null = 0.473, p &lt; 10</w:t>
      </w:r>
      <w:r>
        <w:rPr>
          <w:rFonts w:ascii="Arial" w:hAnsi="Arial" w:eastAsia="Arial" w:cs="Arial"/>
          <w:b w:val="0"/>
          <w:i w:val="0"/>
          <w:sz w:val="24"/>
          <w:vertAlign w:val="superscript"/>
        </w:rPr>
        <w:t>−6</w:t>
      </w:r>
      <w:r>
        <w:rPr>
          <w:rFonts w:ascii="Arial" w:hAnsi="Arial" w:eastAsia="Arial" w:cs="Arial"/>
          <w:b w:val="0"/>
          <w:i w:val="0"/>
          <w:sz w:val="24"/>
        </w:rPr>
        <w:t xml:space="preserve"> (nearest null Procrustes distance at 1,000,000 permutations did not approach the observed value). This is a stronger signal than the joint-PCA result (obs/null = 0.522), which is the opposite of what a joint-PCA artifact would produce: if joint embedding were inflating coherence, removing it should weaken the signal, not strengthen it. The per-type divergence ranking under independent PCA correlated with the joint-PCA ranking at Spearman ρ = 0.915, p = 1.4 × 10</w:t>
      </w:r>
      <w:r>
        <w:rPr>
          <w:rFonts w:ascii="Arial" w:hAnsi="Arial" w:eastAsia="Arial" w:cs="Arial"/>
          <w:b w:val="0"/>
          <w:i w:val="0"/>
          <w:sz w:val="24"/>
          <w:vertAlign w:val="superscript"/>
        </w:rPr>
        <w:t>−14</w:t>
      </w:r>
      <w:r>
        <w:rPr>
          <w:rFonts w:ascii="Arial" w:hAnsi="Arial" w:eastAsia="Arial" w:cs="Arial"/>
          <w:b w:val="0"/>
          <w:i w:val="0"/>
          <w:sz w:val="24"/>
        </w:rPr>
        <w:t>, n = 35. Only 2 of 35 cell types shifted more than 10 ranks between the two analyses (basal cell: joint rank 6 → independent rank 17; monocyte: joint rank 22 → independent rank 11). The conserved extreme was preserved (CD8+ T cell at rank 35 in both); the flexible extreme remained occupied by stromal, hematopoietic precursor, and hematopoietic stem cells, with stromal cell (joint rank 1, independent rank 4) and hematopoietic stem cell (joint rank 4, independent rank 1) exchanging positions within the top-4 flexible cluster.</w:t>
      </w:r>
    </w:p>
    <w:p>
      <w:pPr>
        <w:pStyle w:val="Heading2"/>
        <w:spacing w:line="480" w:lineRule="auto" w:after="120" w:before="360"/>
        <w:jc w:val="left"/>
      </w:pPr>
      <w:r>
        <w:rPr>
          <w:rFonts w:ascii="Arial" w:hAnsi="Arial" w:eastAsia="Arial" w:cs="Arial"/>
          <w:b/>
          <w:color w:val="000000"/>
          <w:sz w:val="28"/>
        </w:rPr>
        <w:t>Procrustes superimposition</w:t>
      </w:r>
    </w:p>
    <w:p>
      <w:pPr>
        <w:spacing w:line="480" w:lineRule="auto" w:after="0" w:before="0"/>
        <w:jc w:val="both"/>
      </w:pPr>
      <w:r>
        <w:rPr>
          <w:rFonts w:ascii="Arial" w:hAnsi="Arial" w:eastAsia="Arial" w:cs="Arial"/>
          <w:b w:val="0"/>
          <w:i w:val="0"/>
          <w:sz w:val="24"/>
        </w:rPr>
        <w:t>Procrustes superimposition was implemented from scratch rather than using available library routines (e.g., scipy.spatial.procrustes). This choice was made to retain full control over each computational step (centering, scaling, singular value decomposition (SVD) rotation, and residual extraction) and to enable mapping of per-cell-type residuals back to the original gene space for downstream biological interpretation. Library implementations optimized for two- or three-dimensional landmark data do not expose the intermediate transformations required for this residual mapping in high-dimensional expression space.</w:t>
      </w:r>
    </w:p>
    <w:p>
      <w:pPr>
        <w:spacing w:line="480" w:lineRule="auto" w:after="0" w:before="0"/>
        <w:jc w:val="both"/>
      </w:pPr>
      <w:r>
        <w:rPr>
          <w:rFonts w:ascii="Arial" w:hAnsi="Arial" w:eastAsia="Arial" w:cs="Arial"/>
          <w:b w:val="0"/>
          <w:i w:val="0"/>
          <w:sz w:val="24"/>
        </w:rPr>
        <w:t>Superimposition proceeded in four steps applied to the 70-centroid PCA matrix (35 cell types × 2 species, 33 components; see Normalization and centroid computation for dimensionality rationale). First, each configuration was centered by subtracting its centroid of landmarks, translating both species configurations to the origin. Second, the cross-covariance matrix M = X</w:t>
      </w:r>
      <w:r>
        <w:rPr>
          <w:rFonts w:ascii="Arial" w:hAnsi="Arial" w:eastAsia="Arial" w:cs="Arial"/>
          <w:b w:val="0"/>
          <w:i w:val="0"/>
          <w:sz w:val="24"/>
          <w:vertAlign w:val="subscript"/>
        </w:rPr>
        <w:t>c</w:t>
      </w:r>
      <w:r>
        <w:rPr>
          <w:rFonts w:ascii="Arial" w:hAnsi="Arial" w:eastAsia="Arial" w:cs="Arial"/>
          <w:b w:val="0"/>
          <w:i w:val="0"/>
          <w:sz w:val="24"/>
        </w:rPr>
        <w:t>ᵀY</w:t>
      </w:r>
      <w:r>
        <w:rPr>
          <w:rFonts w:ascii="Arial" w:hAnsi="Arial" w:eastAsia="Arial" w:cs="Arial"/>
          <w:b w:val="0"/>
          <w:i w:val="0"/>
          <w:sz w:val="24"/>
          <w:vertAlign w:val="subscript"/>
        </w:rPr>
        <w:t>c</w:t>
      </w:r>
      <w:r>
        <w:rPr>
          <w:rFonts w:ascii="Arial" w:hAnsi="Arial" w:eastAsia="Arial" w:cs="Arial"/>
          <w:b w:val="0"/>
          <w:i w:val="0"/>
          <w:sz w:val="24"/>
        </w:rPr>
        <w:t xml:space="preserve"> was computed between the centered configurations (X</w:t>
      </w:r>
      <w:r>
        <w:rPr>
          <w:rFonts w:ascii="Arial" w:hAnsi="Arial" w:eastAsia="Arial" w:cs="Arial"/>
          <w:b w:val="0"/>
          <w:i w:val="0"/>
          <w:sz w:val="24"/>
          <w:vertAlign w:val="subscript"/>
        </w:rPr>
        <w:t>c</w:t>
      </w:r>
      <w:r>
        <w:rPr>
          <w:rFonts w:ascii="Arial" w:hAnsi="Arial" w:eastAsia="Arial" w:cs="Arial"/>
          <w:b w:val="0"/>
          <w:i w:val="0"/>
          <w:sz w:val="24"/>
        </w:rPr>
        <w:t xml:space="preserve"> human, Y</w:t>
      </w:r>
      <w:r>
        <w:rPr>
          <w:rFonts w:ascii="Arial" w:hAnsi="Arial" w:eastAsia="Arial" w:cs="Arial"/>
          <w:b w:val="0"/>
          <w:i w:val="0"/>
          <w:sz w:val="24"/>
          <w:vertAlign w:val="subscript"/>
        </w:rPr>
        <w:t>c</w:t>
      </w:r>
      <w:r>
        <w:rPr>
          <w:rFonts w:ascii="Arial" w:hAnsi="Arial" w:eastAsia="Arial" w:cs="Arial"/>
          <w:b w:val="0"/>
          <w:i w:val="0"/>
          <w:sz w:val="24"/>
        </w:rPr>
        <w:t xml:space="preserve"> mouse). Third, the singular value decomposition M = UΣVᵀ was computed, and the rotation matrix was constructed as R = VDUᵀ, where D is a diagonal matrix whose last diagonal entry is sign(det(VUᵀ)) and whose other diagonal entries equal 1. The VDUᵀ construction algebraically guarantees det(R) = +1, precluding reflection solutions that would have no biological interpretation; this was verified to machine precision in the primary, macaque, and negative control runs. Fourth, the rotated mouse configuration was scaled by an optimal scalar s = trace(ΣD) / ‖Y</w:t>
      </w:r>
      <w:r>
        <w:rPr>
          <w:rFonts w:ascii="Arial" w:hAnsi="Arial" w:eastAsia="Arial" w:cs="Arial"/>
          <w:b w:val="0"/>
          <w:i w:val="0"/>
          <w:sz w:val="24"/>
          <w:vertAlign w:val="subscript"/>
        </w:rPr>
        <w:t>c</w:t>
      </w:r>
      <w:r>
        <w:rPr>
          <w:rFonts w:ascii="Arial" w:hAnsi="Arial" w:eastAsia="Arial" w:cs="Arial"/>
          <w:b w:val="0"/>
          <w:i w:val="0"/>
          <w:sz w:val="24"/>
        </w:rPr>
        <w:t>‖</w:t>
      </w:r>
      <w:r>
        <w:rPr>
          <w:rFonts w:ascii="Arial" w:hAnsi="Arial" w:eastAsia="Arial" w:cs="Arial"/>
          <w:b w:val="0"/>
          <w:i w:val="0"/>
          <w:sz w:val="24"/>
          <w:vertAlign w:val="subscript"/>
        </w:rPr>
        <w:t>F</w:t>
      </w:r>
      <w:r>
        <w:rPr>
          <w:rFonts w:ascii="Arial" w:hAnsi="Arial" w:eastAsia="Arial" w:cs="Arial"/>
          <w:b w:val="0"/>
          <w:i w:val="0"/>
          <w:sz w:val="24"/>
        </w:rPr>
        <w:t>[2] (Frobenius norm), minimizing the residual sum of squares between human and rotated-scaled mouse configurations (full Procrustes). Full Procrustes was chosen to isolate configuration shape from overall expression magnitude; a consequence is that absolute expression level conservation is removed from the metric and Procrustes residuals reflect shape conservation only. Procrustes distance (the sum of squared residual displacements between aligned configurations) was computed after applying the rotation and scaling, and per-cell-type residuals were extracted as the Euclidean distance between each aligned human–mouse centroid pair. These per-cell-type residuals constitute the raw Procrustes residuals prior to ranking.</w:t>
      </w:r>
    </w:p>
    <w:p>
      <w:pPr>
        <w:spacing w:line="480" w:lineRule="auto" w:after="0" w:before="0"/>
        <w:jc w:val="both"/>
      </w:pPr>
      <w:r>
        <w:rPr>
          <w:rFonts w:ascii="Arial" w:hAnsi="Arial" w:eastAsia="Arial" w:cs="Arial"/>
          <w:b w:val="0"/>
          <w:i w:val="0"/>
          <w:sz w:val="24"/>
        </w:rPr>
        <w:t>A standard caution in geometric morphometrics holds that per-landmark residuals are interpretable as biological signals only when landmarks are defined by independent evidence rather than placed at anatomically arbitrary locations[42–43]. CellWarp's landmarks are cell types, each defined by marker gene expression profiles, Cell Ontology annotation, and cross-species correspondence established prior to and independently of the Procrustes analysis. They are not arbitrary points: each landmark position in expression space is the mean of hundreds to thousands of cells whose assignment to that type was made on molecular grounds before any cross-species alignment was performed. The per-cell-type residual therefore reflects how much that cell type's mean expression vector deviates from the globally optimal alignment, which is precisely the biological quantity of interest: the degree to which that cell type's transcriptional identity is geometrically conserved across species. Related applications of metric geometry to single-cell data have been developed for cell morphology[44].</w:t>
      </w:r>
    </w:p>
    <w:p>
      <w:pPr>
        <w:spacing w:line="480" w:lineRule="auto" w:after="0" w:before="0"/>
        <w:jc w:val="both"/>
      </w:pPr>
      <w:r>
        <w:rPr>
          <w:rFonts w:ascii="Arial" w:hAnsi="Arial" w:eastAsia="Arial" w:cs="Arial"/>
          <w:b w:val="0"/>
          <w:i w:val="0"/>
          <w:sz w:val="24"/>
        </w:rPr>
        <w:t>The custom Procrustes implementation was verified against scipy.spatial.procrustes (SciPy v1.17.1): aligned coordinates and disparity agreed to machine precision against scipy's standardized output, and the rotation matrix was verified to machine precision against an SVD reconstruction of scipy's internal computation (max |Δ| = 7.3 × 10</w:t>
      </w:r>
      <w:r>
        <w:rPr>
          <w:rFonts w:ascii="Arial" w:hAnsi="Arial" w:eastAsia="Arial" w:cs="Arial"/>
          <w:b w:val="0"/>
          <w:i w:val="0"/>
          <w:sz w:val="24"/>
          <w:vertAlign w:val="superscript"/>
        </w:rPr>
        <w:t>−11</w:t>
      </w:r>
      <w:r>
        <w:rPr>
          <w:rFonts w:ascii="Arial" w:hAnsi="Arial" w:eastAsia="Arial" w:cs="Arial"/>
          <w:b w:val="0"/>
          <w:i w:val="0"/>
          <w:sz w:val="24"/>
        </w:rPr>
        <w:t>, tolerance 10</w:t>
      </w:r>
      <w:r>
        <w:rPr>
          <w:rFonts w:ascii="Arial" w:hAnsi="Arial" w:eastAsia="Arial" w:cs="Arial"/>
          <w:b w:val="0"/>
          <w:i w:val="0"/>
          <w:sz w:val="24"/>
          <w:vertAlign w:val="superscript"/>
        </w:rPr>
        <w:t>−10</w:t>
      </w:r>
      <w:r>
        <w:rPr>
          <w:rFonts w:ascii="Arial" w:hAnsi="Arial" w:eastAsia="Arial" w:cs="Arial"/>
          <w:b w:val="0"/>
          <w:i w:val="0"/>
          <w:sz w:val="24"/>
        </w:rPr>
        <w:t>).</w:t>
      </w:r>
    </w:p>
    <w:p>
      <w:pPr>
        <w:pStyle w:val="Heading2"/>
        <w:spacing w:line="480" w:lineRule="auto" w:after="120" w:before="360"/>
        <w:jc w:val="left"/>
      </w:pPr>
      <w:r>
        <w:rPr>
          <w:rFonts w:ascii="Arial" w:hAnsi="Arial" w:eastAsia="Arial" w:cs="Arial"/>
          <w:b/>
          <w:color w:val="000000"/>
          <w:sz w:val="28"/>
        </w:rPr>
        <w:t>Human-versus-human negative control</w:t>
      </w:r>
    </w:p>
    <w:p>
      <w:pPr>
        <w:spacing w:line="480" w:lineRule="auto" w:after="0" w:before="0"/>
        <w:jc w:val="both"/>
      </w:pPr>
      <w:r>
        <w:rPr>
          <w:rFonts w:ascii="Arial" w:hAnsi="Arial" w:eastAsia="Arial" w:cs="Arial"/>
          <w:b w:val="0"/>
          <w:i w:val="0"/>
          <w:sz w:val="24"/>
        </w:rPr>
        <w:t>To assess whether human–mouse Procrustes coherence reflects cross-species biology rather than a generic feature of large single-cell atlases, a human-versus-human comparison was conducted using two independent human datasets subjected to the same Procrustes procedure. Under the biological-signal interpretation, two human datasets sharing both species identity and cell-type-level transcriptional structure (in the absence of evolutionary divergence) should produce stronger within-species than cross-species coherence, but this comparison is informative only when the two arms are matched on technical confounders (sequencing protocol, atlas construction, donor cohort). Without protocol matching, the within-species result is dominated by between-atlas technical heterogeneity. The donor-split within-species control (see Donor-split within-species control) provides the matched-protocol test; the present analysis is reported as a baseline diagnostic of unmatched within-species coherence.</w:t>
      </w:r>
    </w:p>
    <w:p>
      <w:pPr>
        <w:spacing w:line="480" w:lineRule="auto" w:after="0" w:before="0"/>
        <w:jc w:val="both"/>
      </w:pPr>
      <w:r>
        <w:rPr>
          <w:rFonts w:ascii="Arial" w:hAnsi="Arial" w:eastAsia="Arial" w:cs="Arial"/>
          <w:b w:val="0"/>
          <w:i w:val="0"/>
          <w:sz w:val="24"/>
        </w:rPr>
        <w:t>An initial comparison (v1) using non-Tabula-Sapiens sources from CZ CELLxGENE Census[29] failed validation because three of six cell types in the second atlas were predominantly sourced from fetal or developmental donors, introducing systematic centroid offsets. A revised comparison (v2) used strict adult-only filters (development_stage containing 'adult', disease 'normal', is_primary_data=True, excluding Tabula Sapiens[25]), yielding 11,640 adult cells across six cell types from three independent datasets. Under v2 conditions, the within-species comparison produced obs/null = 0.607 (p = 0.0088) and the matched-scale cross-species analysis produced obs/null = 0.317 (p = 0.0035), within-species less coherent than cross-species, a 1.92-fold reversal of the biologically expected direction. This reversal reflects the unmatched-protocol caveat in paragraph 1: the two human atlases differ in sequencing protocol and donor cohort, and between-atlas technical heterogeneity dominates the within-species result. The donor-split within-species control (see Donor-split within-species control), which constructs the within-species comparison from a single atlas with matched protocol, reverses the direction: cross-species divergence exceeds within-species individual variation, with cross-species obs/null above within-species obs/null in 100/100 donor resamples (delta = +0.159). The within-species value reported here (obs/null = 0.607, n = 6) is therefore a diagnostic of unmatched-protocol behavior, not an upper bound on biological within-species coherence.</w:t>
      </w:r>
    </w:p>
    <w:p>
      <w:pPr>
        <w:pStyle w:val="Heading2"/>
        <w:spacing w:line="480" w:lineRule="auto" w:after="120" w:before="360"/>
        <w:jc w:val="left"/>
      </w:pPr>
      <w:r>
        <w:rPr>
          <w:rFonts w:ascii="Arial" w:hAnsi="Arial" w:eastAsia="Arial" w:cs="Arial"/>
          <w:b/>
          <w:color w:val="000000"/>
          <w:sz w:val="28"/>
        </w:rPr>
        <w:t>Replication datasets</w:t>
      </w:r>
    </w:p>
    <w:p>
      <w:pPr>
        <w:spacing w:line="480" w:lineRule="auto" w:after="0" w:before="0"/>
        <w:jc w:val="both"/>
      </w:pPr>
      <w:r>
        <w:rPr>
          <w:rFonts w:ascii="Arial" w:hAnsi="Arial" w:eastAsia="Arial" w:cs="Arial"/>
          <w:b w:val="0"/>
          <w:i w:val="0"/>
          <w:sz w:val="24"/>
        </w:rPr>
        <w:t>The core Procrustes coherence result was established in the primary dataset (Tabula Sapiens[25] / Tabula Muris Senis[26]) and tested across six independent replication attempts: three direct replications (Sun et al.[24], PanSci[27], CellHint[28]), one pan-Census replication (see Pan-Census replication), and two additional attempts that did not replicate (Andrews et al.[30], MCA × HCA; technical attribution in Replication diagnostics). The permutation procedure was identical across all replication runs: the same label-permutation null, 10,000 iterations, seed = 42 (the primary analysis uses 1,000,000 iterations; see Permutation test and statistical framework), applied through the same analysis function.</w:t>
      </w:r>
    </w:p>
    <w:p>
      <w:pPr>
        <w:spacing w:line="480" w:lineRule="auto" w:after="0" w:before="0"/>
        <w:jc w:val="both"/>
      </w:pPr>
      <w:r>
        <w:rPr>
          <w:rFonts w:ascii="Arial" w:hAnsi="Arial" w:eastAsia="Arial" w:cs="Arial"/>
          <w:b/>
          <w:i w:val="0"/>
          <w:sz w:val="24"/>
        </w:rPr>
        <w:t>Primary dataset.</w:t>
      </w:r>
      <w:r>
        <w:rPr>
          <w:rFonts w:ascii="Arial" w:hAnsi="Arial" w:eastAsia="Arial" w:cs="Arial"/>
          <w:b w:val="0"/>
          <w:i w:val="0"/>
          <w:sz w:val="24"/>
        </w:rPr>
        <w:t xml:space="preserve"> The Tabula Sapiens[25] / Tabula Muris Senis[26] analysis across 35 matched cell types produced obs/null = 0.522, p &lt; 10</w:t>
      </w:r>
      <w:r>
        <w:rPr>
          <w:rFonts w:ascii="Arial" w:hAnsi="Arial" w:eastAsia="Arial" w:cs="Arial"/>
          <w:b w:val="0"/>
          <w:i w:val="0"/>
          <w:sz w:val="24"/>
          <w:vertAlign w:val="superscript"/>
        </w:rPr>
        <w:t>−6</w:t>
      </w:r>
      <w:r>
        <w:rPr>
          <w:rFonts w:ascii="Arial" w:hAnsi="Arial" w:eastAsia="Arial" w:cs="Arial"/>
          <w:b w:val="0"/>
          <w:i w:val="0"/>
          <w:sz w:val="24"/>
        </w:rPr>
        <w:t>.</w:t>
      </w:r>
    </w:p>
    <w:p>
      <w:pPr>
        <w:spacing w:line="480" w:lineRule="auto" w:after="0" w:before="0"/>
        <w:jc w:val="both"/>
      </w:pPr>
      <w:r>
        <w:rPr>
          <w:rFonts w:ascii="Arial" w:hAnsi="Arial" w:eastAsia="Arial" w:cs="Arial"/>
          <w:b/>
          <w:i w:val="0"/>
          <w:sz w:val="24"/>
        </w:rPr>
        <w:t>Sun2023[24].</w:t>
      </w:r>
      <w:r>
        <w:rPr>
          <w:rFonts w:ascii="Arial" w:hAnsi="Arial" w:eastAsia="Arial" w:cs="Arial"/>
          <w:b w:val="0"/>
          <w:i w:val="0"/>
          <w:sz w:val="24"/>
        </w:rPr>
        <w:t xml:space="preserve"> The first replication used the mouse single-cell atlas from Sun et al.[24], generated at the Chinese Academy of Sciences and Altos Labs using 10x Chromium 3' v3 sequencing across nine tissues, with the young sedentary control cohort used as the mouse reference. Human centroids were drawn from Tabula Sapiens[25], as in the primary analysis. Fifteen cell types were matched across species using the same inclusion criteria as the primary analysis. Procrustes coherence was confirmed at obs/null = 0.554, p &lt; 10</w:t>
      </w:r>
      <w:r>
        <w:rPr>
          <w:rFonts w:ascii="Arial" w:hAnsi="Arial" w:eastAsia="Arial" w:cs="Arial"/>
          <w:b w:val="0"/>
          <w:i w:val="0"/>
          <w:sz w:val="24"/>
          <w:vertAlign w:val="superscript"/>
        </w:rPr>
        <w:t>−4</w:t>
      </w:r>
      <w:r>
        <w:rPr>
          <w:rFonts w:ascii="Arial" w:hAnsi="Arial" w:eastAsia="Arial" w:cs="Arial"/>
          <w:b w:val="0"/>
          <w:i w:val="0"/>
          <w:sz w:val="24"/>
        </w:rPr>
        <w:t>. As a sensitivity analysis, a tissue-matched variant restricting lung endothelial cells to lung-sourced cells only was run on the same dataset; this variant produced obs/null = 0.490, p &lt; 10</w:t>
      </w:r>
      <w:r>
        <w:rPr>
          <w:rFonts w:ascii="Arial" w:hAnsi="Arial" w:eastAsia="Arial" w:cs="Arial"/>
          <w:b w:val="0"/>
          <w:i w:val="0"/>
          <w:sz w:val="24"/>
          <w:vertAlign w:val="superscript"/>
        </w:rPr>
        <w:t>−4</w:t>
      </w:r>
      <w:r>
        <w:rPr>
          <w:rFonts w:ascii="Arial" w:hAnsi="Arial" w:eastAsia="Arial" w:cs="Arial"/>
          <w:b w:val="0"/>
          <w:i w:val="0"/>
          <w:sz w:val="24"/>
        </w:rPr>
        <w:t>, confirming that the replication signal is not driven by tissue-composition differences in the endothelial compartment.</w:t>
      </w:r>
    </w:p>
    <w:p>
      <w:pPr>
        <w:spacing w:line="480" w:lineRule="auto" w:after="0" w:before="0"/>
        <w:jc w:val="both"/>
      </w:pPr>
      <w:r>
        <w:rPr>
          <w:rFonts w:ascii="Arial" w:hAnsi="Arial" w:eastAsia="Arial" w:cs="Arial"/>
          <w:b/>
          <w:i w:val="0"/>
          <w:sz w:val="24"/>
        </w:rPr>
        <w:t>PanSci[27].</w:t>
      </w:r>
      <w:r>
        <w:rPr>
          <w:rFonts w:ascii="Arial" w:hAnsi="Arial" w:eastAsia="Arial" w:cs="Arial"/>
          <w:b w:val="0"/>
          <w:i w:val="0"/>
          <w:sz w:val="24"/>
        </w:rPr>
        <w:t xml:space="preserve"> The second replication used the PanSci atlas[27], generated at Rockefeller University, UCSC, and NYU using EasySci snRNA-seq combinatorial indexing, a sequencing technology independent of both 10x Chromium (primary dataset) and the Sun2023 replication. An independent cell type annotation pipeline was applied. Sixteen cell types were matched across species. Procrustes coherence was confirmed at obs/null = 0.552, p &lt; 10</w:t>
      </w:r>
      <w:r>
        <w:rPr>
          <w:rFonts w:ascii="Arial" w:hAnsi="Arial" w:eastAsia="Arial" w:cs="Arial"/>
          <w:b w:val="0"/>
          <w:i w:val="0"/>
          <w:sz w:val="24"/>
          <w:vertAlign w:val="superscript"/>
        </w:rPr>
        <w:t>−4</w:t>
      </w:r>
      <w:r>
        <w:rPr>
          <w:rFonts w:ascii="Arial" w:hAnsi="Arial" w:eastAsia="Arial" w:cs="Arial"/>
          <w:b w:val="0"/>
          <w:i w:val="0"/>
          <w:sz w:val="24"/>
        </w:rPr>
        <w:t>.</w:t>
      </w:r>
    </w:p>
    <w:p>
      <w:pPr>
        <w:spacing w:line="480" w:lineRule="auto" w:after="0" w:before="0"/>
        <w:jc w:val="both"/>
      </w:pPr>
      <w:r>
        <w:rPr>
          <w:rFonts w:ascii="Arial" w:hAnsi="Arial" w:eastAsia="Arial" w:cs="Arial"/>
          <w:b/>
          <w:i w:val="0"/>
          <w:sz w:val="24"/>
        </w:rPr>
        <w:t>CellHint[28].</w:t>
      </w:r>
      <w:r>
        <w:rPr>
          <w:rFonts w:ascii="Arial" w:hAnsi="Arial" w:eastAsia="Arial" w:cs="Arial"/>
          <w:b w:val="0"/>
          <w:i w:val="0"/>
          <w:sz w:val="24"/>
        </w:rPr>
        <w:t xml:space="preserve"> A human-side sensitivity check was conducted using CellHint[28] Human (9 Tabula-independent tissues, 2.87M cells, Sanger/Cambridge), holding Tabula Muris Senis[26] fixed and varying the human atlas. Fifteen cell types were matched. CellHint Cell Ontology annotations were mapped to CellWarp ontology names via many-to-one keyword matching, collapsing subtypes into broader categories (e.g., all monocyte subtypes into monocyte; Kupffer cells and microglia into macrophage); the resulting CellHint centroids represent broader cell populations than the corresponding primary centroids. Global Procrustes coherence under this unharmonized mapping was obs/null = 0.448, p &lt; 10</w:t>
      </w:r>
      <w:r>
        <w:rPr>
          <w:rFonts w:ascii="Arial" w:hAnsi="Arial" w:eastAsia="Arial" w:cs="Arial"/>
          <w:b w:val="0"/>
          <w:i w:val="0"/>
          <w:sz w:val="24"/>
          <w:vertAlign w:val="superscript"/>
        </w:rPr>
        <w:t>−4</w:t>
      </w:r>
      <w:r>
        <w:rPr>
          <w:rFonts w:ascii="Arial" w:hAnsi="Arial" w:eastAsia="Arial" w:cs="Arial"/>
          <w:b w:val="0"/>
          <w:i w:val="0"/>
          <w:sz w:val="24"/>
        </w:rPr>
        <w:t>. A progressive-harmonization analysis using granularity-matched annotations is reported in Replication diagnostics, and addresses per-type ranking rather than global coherence.</w:t>
      </w:r>
    </w:p>
    <w:p>
      <w:pPr>
        <w:spacing w:line="480" w:lineRule="auto" w:after="0" w:before="0"/>
        <w:jc w:val="both"/>
      </w:pPr>
      <w:r>
        <w:rPr>
          <w:rFonts w:ascii="Arial" w:hAnsi="Arial" w:eastAsia="Arial" w:cs="Arial"/>
          <w:b w:val="0"/>
          <w:i w:val="0"/>
          <w:sz w:val="24"/>
        </w:rPr>
        <w:t>Across the primary analysis and the three direct replications, the geometric coherence signal was independent of sequencing technology, institution, donor cohort, and cell type annotation pipeline. Signal strength as measured by the observed-to-null ratio was consistent across these four runs (primary 0.522, Sun2023[24] 0.554, PanSci[27] 0.552, CellHint[28] 0.448), with all values substantially below the permutation null mean. Direct numerical comparison across runs is approximate because matched type counts differ (35, 15, 16, and 15 respectively); the consistently significant range (0.448–0.554) across the four direct tests spanning both atlas sides is the relevant observation. The pan-Census replication (obs/null = 0.811 across n = 22 shared cell types pooled from 15 datasets; see Pan-Census replication) is reported separately because its heterogeneity-pooled effect size is not directly comparable to the single-source replications.</w:t>
      </w:r>
    </w:p>
    <w:p>
      <w:pPr>
        <w:pStyle w:val="Heading2"/>
        <w:spacing w:line="480" w:lineRule="auto" w:after="120" w:before="360"/>
        <w:jc w:val="left"/>
      </w:pPr>
      <w:r>
        <w:rPr>
          <w:rFonts w:ascii="Arial" w:hAnsi="Arial" w:eastAsia="Arial" w:cs="Arial"/>
          <w:b/>
          <w:color w:val="000000"/>
          <w:sz w:val="28"/>
        </w:rPr>
        <w:t>Replication diagnostics</w:t>
      </w:r>
    </w:p>
    <w:p>
      <w:pPr>
        <w:spacing w:line="480" w:lineRule="auto" w:after="0" w:before="0"/>
        <w:jc w:val="both"/>
      </w:pPr>
      <w:r>
        <w:rPr>
          <w:rFonts w:ascii="Arial" w:hAnsi="Arial" w:eastAsia="Arial" w:cs="Arial"/>
          <w:b w:val="0"/>
          <w:i w:val="0"/>
          <w:sz w:val="24"/>
        </w:rPr>
        <w:t>To investigate the CellHint[28] negative ranking correlation (ρ = −0.386), a progressive harmonization procedure was applied. First, cell type annotations were matched to equivalent granularity across the primary and CellHint[28] atlases, and PCA was recomputed on the shared 15-type set to ensure residuals derive from the same-dimensional space; this alone reduced the correlation to ρ = −0.139. Second, the "T cell" category, which captured heterogeneous tissue populations across atlases due to catch-all annotation, was excluded (14 types; ρ = −0.037). Third, remaining types were restricted to tissues shared between atlases (12 types; ρ = −0.042). Fourth, cell counts were capped at the minimum across atlases per type (no change from Level 2; seed = 42, seeds 1–4 confirmed zero variance). PCA and Procrustes were recomputed independently at each level. Full results are reported in Table S4.</w:t>
      </w:r>
    </w:p>
    <w:p>
      <w:pPr>
        <w:spacing w:line="480" w:lineRule="auto" w:after="0" w:before="0"/>
        <w:jc w:val="both"/>
      </w:pPr>
      <w:r>
        <w:rPr>
          <w:rFonts w:ascii="Arial" w:hAnsi="Arial" w:eastAsia="Arial" w:cs="Arial"/>
          <w:b w:val="0"/>
          <w:i w:val="0"/>
          <w:sz w:val="24"/>
        </w:rPr>
        <w:t>The Andrews et al.[30] liver-specific atlas produced non-replication (obs/null = 0.797, p = 0.116, n = 6; Procrustes scaling factor s = 0.229, in the same compressed range as MCA's s = 0.267 and far below the primary analysis's s = 0.902, indicating compressed centroid spread relative to the partner atlas). The single-tissue (liver) scope of the atlas displaces immune cell centroids from the multi-tissue positions on which the primary analysis is constructed, and the matched cell type count was limited to n = 6 by the absence of non-liver cell types in the source data.</w:t>
      </w:r>
    </w:p>
    <w:p>
      <w:pPr>
        <w:spacing w:line="480" w:lineRule="auto" w:after="0" w:before="0"/>
        <w:jc w:val="both"/>
      </w:pPr>
      <w:r>
        <w:rPr>
          <w:rFonts w:ascii="Arial" w:hAnsi="Arial" w:eastAsia="Arial" w:cs="Arial"/>
          <w:b w:val="0"/>
          <w:i w:val="0"/>
          <w:sz w:val="24"/>
        </w:rPr>
        <w:t>The MCA × HCA aggregated dataset also did not replicate (obs/null = 1.003, p = 0.542, n = 17). The primary cause is microwell-seq low sensitivity in MCA (~500–1,000 genes/cell vs 2,000–5,000 for 10x Chromium, Procrustes scaling factor s = 0.267 versus s = 0.902 in the primary 35-type Tabula Sapiens[25] × Tabula Muris Senis[26] analysis), compounded by incomplete gene coverage (14,819/16,959 orthologs) and absence of CD4+ T cell and hepatocyte from MCA. A follow-up confirmed human centroid geometry is not atlas-specific (HCA-vs-Tabula obs/null = 0.728, p = 0.003), attributing the failure to MCA data quality.</w:t>
      </w:r>
    </w:p>
    <w:p>
      <w:pPr>
        <w:pStyle w:val="Heading2"/>
        <w:spacing w:line="480" w:lineRule="auto" w:after="120" w:before="360"/>
        <w:jc w:val="left"/>
      </w:pPr>
      <w:r>
        <w:rPr>
          <w:rFonts w:ascii="Arial" w:hAnsi="Arial" w:eastAsia="Arial" w:cs="Arial"/>
          <w:b/>
          <w:color w:val="000000"/>
          <w:sz w:val="28"/>
        </w:rPr>
        <w:t>Macaque extension</w:t>
      </w:r>
    </w:p>
    <w:p>
      <w:pPr>
        <w:spacing w:line="480" w:lineRule="auto" w:after="0" w:before="0"/>
        <w:jc w:val="both"/>
      </w:pPr>
      <w:r>
        <w:rPr>
          <w:rFonts w:ascii="Arial" w:hAnsi="Arial" w:eastAsia="Arial" w:cs="Arial"/>
          <w:b w:val="0"/>
          <w:i w:val="0"/>
          <w:sz w:val="24"/>
        </w:rPr>
        <w:t>To test whether the Procrustes coherence signal extends beyond the human–mouse pair, the framework was applied to a human–macaque comparison using cell type centroids from Qu et al.[18]. The macaque source was selected after methodological re-evaluation: an earlier analysis combining the Rhesus Immune Reference Atlas (RIRA[45]) and Qu et al.[18] used asymmetric preprocessing across atlases (RIRA cells in deposition-form SCTransform corrected counts; Qu cells reprocessed from raw counts) and was therefore deprecated in favor of a single-source design with fully symmetric raw-count preprocessing.</w:t>
      </w:r>
    </w:p>
    <w:p>
      <w:pPr>
        <w:spacing w:line="480" w:lineRule="auto" w:after="0" w:before="0"/>
        <w:jc w:val="both"/>
      </w:pPr>
      <w:r>
        <w:rPr>
          <w:rFonts w:ascii="Arial" w:hAnsi="Arial" w:eastAsia="Arial" w:cs="Arial"/>
          <w:b/>
          <w:i w:val="0"/>
          <w:sz w:val="24"/>
        </w:rPr>
        <w:t>Cell type matching.</w:t>
      </w:r>
      <w:r>
        <w:rPr>
          <w:rFonts w:ascii="Arial" w:hAnsi="Arial" w:eastAsia="Arial" w:cs="Arial"/>
          <w:b w:val="0"/>
          <w:i w:val="0"/>
          <w:sz w:val="24"/>
        </w:rPr>
        <w:t xml:space="preserve"> Twelve cell types matched between Tabula Sapiens[25] and Qu et al.[18] were used: bladder urothelial cell, endothelial cell, epithelial cell, fibroblast, hepatocyte, smooth muscle cell, stromal cell, B cell, macrophage, monocyte, neutrophil, plasma cell. Cell type assignments for macaque were taken from author-provided annotations in the Zenodo deposition (Zenodo: 10.5281/zenodo.5881495), specifically the finalcluster metadata column. Where finalcluster did not match a Tabula Sapiens type directly, two derived rules were applied. First, cells with majorcluster = 'Stromal cell' that remained unclaimed after finalcluster matching were assigned to the stromal cell type (a catch-all fallback for cells outside the more specific finalcluster categories). Second, the Organ field was used to partition the Epithelial cell finalcluster into three Tabula Sapiens-matched cell types: bladder urothelial cell (Organ = Bladder), hepatocyte (Organ = Liver), and epithelial cell (all other organs); this partition matches Tabula Sapiens's separate Cell Ontology designations for these three epithelial-derived categories. No post-hoc marker-gene re-annotation was applied. Generic monocyte (CL:0000576) was matched to Qu's generic Monocyte label rather than the classical/intermediate/non-classical subtypes available in the human dataset, to maintain label-granularity parity given that Qu's annotation lacks the surface-marker resolution needed for subtype assignment.</w:t>
      </w:r>
    </w:p>
    <w:p>
      <w:pPr>
        <w:spacing w:line="480" w:lineRule="auto" w:after="0" w:before="0"/>
        <w:jc w:val="both"/>
      </w:pPr>
      <w:r>
        <w:rPr>
          <w:rFonts w:ascii="Arial" w:hAnsi="Arial" w:eastAsia="Arial" w:cs="Arial"/>
          <w:b/>
          <w:i w:val="0"/>
          <w:sz w:val="24"/>
        </w:rPr>
        <w:t>Preprocessing.</w:t>
      </w:r>
      <w:r>
        <w:rPr>
          <w:rFonts w:ascii="Arial" w:hAnsi="Arial" w:eastAsia="Arial" w:cs="Arial"/>
          <w:b w:val="0"/>
          <w:i w:val="0"/>
          <w:sz w:val="24"/>
        </w:rPr>
        <w:t xml:space="preserve"> Macaque cells were processed from raw 10x UMI counts (GEO GSE196792) using sc.pp.normalize_total(target_sum=1e4) followed by sc.pp.log1p, matching the convention applied to human and mouse data. Per-type centroids were computed as means over up to 2,000 randomly subsampled cells per type (seed = 42). Cross-atlas tissue composition differs systematically across types (e.g., Qu neutrophils are 49% liver-derived, while Tabula Sapiens neutrophils derive predominantly from blood and lymphoid tissues); this contributes to per-type residual differences but does not invalidate the global coherence result (see no-immune subset sensitivity below).</w:t>
      </w:r>
    </w:p>
    <w:p>
      <w:pPr>
        <w:spacing w:line="480" w:lineRule="auto" w:after="0" w:before="0"/>
        <w:jc w:val="both"/>
      </w:pPr>
      <w:r>
        <w:rPr>
          <w:rFonts w:ascii="Arial" w:hAnsi="Arial" w:eastAsia="Arial" w:cs="Arial"/>
          <w:b/>
          <w:i w:val="0"/>
          <w:sz w:val="24"/>
        </w:rPr>
        <w:t>Ortholog space.</w:t>
      </w:r>
      <w:r>
        <w:rPr>
          <w:rFonts w:ascii="Arial" w:hAnsi="Arial" w:eastAsia="Arial" w:cs="Arial"/>
          <w:b w:val="0"/>
          <w:i w:val="0"/>
          <w:sz w:val="24"/>
        </w:rPr>
        <w:t xml:space="preserve"> A three-way human–mouse–macaque ortholog intersection was computed using Ensembl BioMart release 115 (accessed 2026-03-15), querying M. fascicularis orthologs via the mfascicularis_gene_ensembl dataset (hsapiens_homolog cross-reference attributes). After intersecting with genes expressed in both the Qu et al.[18] atlas and the primary human–mouse ortholog space, the operating gene space comprised 13,927 genes (82.1% of the 16,959-gene human–mouse space). The gap below the human–mouse space reflects non-coding and uncharacterized M. fascicularis genes lacking annotated human orthologs, not loss of protein-coding identity genes.</w:t>
      </w:r>
    </w:p>
    <w:p>
      <w:pPr>
        <w:spacing w:line="480" w:lineRule="auto" w:after="0" w:before="0"/>
        <w:jc w:val="both"/>
      </w:pPr>
      <w:r>
        <w:rPr>
          <w:rFonts w:ascii="Arial" w:hAnsi="Arial" w:eastAsia="Arial" w:cs="Arial"/>
          <w:b/>
          <w:i w:val="0"/>
          <w:sz w:val="24"/>
        </w:rPr>
        <w:t>Primary analysis.</w:t>
      </w:r>
      <w:r>
        <w:rPr>
          <w:rFonts w:ascii="Arial" w:hAnsi="Arial" w:eastAsia="Arial" w:cs="Arial"/>
          <w:b w:val="0"/>
          <w:i w:val="0"/>
          <w:sz w:val="24"/>
        </w:rPr>
        <w:t xml:space="preserve"> Procrustes coherence between human and macaque centroids in the 13,927-gene shared space was significant: obs/null = 0.810, p = 0.0043 (10,000 permutations, n = 12). A matched-n control on the human–mouse pair using the same 12 cell-type subset of the committed primary centroids yielded obs/null = 0.440, p &lt; 10</w:t>
      </w:r>
      <w:r>
        <w:rPr>
          <w:rFonts w:ascii="Arial" w:hAnsi="Arial" w:eastAsia="Arial" w:cs="Arial"/>
          <w:b w:val="0"/>
          <w:i w:val="0"/>
          <w:sz w:val="24"/>
          <w:vertAlign w:val="superscript"/>
        </w:rPr>
        <w:t>−4</w:t>
      </w:r>
      <w:r>
        <w:rPr>
          <w:rFonts w:ascii="Arial" w:hAnsi="Arial" w:eastAsia="Arial" w:cs="Arial"/>
          <w:b w:val="0"/>
          <w:i w:val="0"/>
          <w:sz w:val="24"/>
        </w:rPr>
        <w:t>, indicating that while macaque coherence is significant at α = 0.01, the absolute coherence is weaker than the human–mouse comparison at the same cell-type granularity.</w:t>
      </w:r>
    </w:p>
    <w:p>
      <w:pPr>
        <w:spacing w:line="480" w:lineRule="auto" w:after="0" w:before="0"/>
        <w:jc w:val="both"/>
      </w:pPr>
      <w:r>
        <w:rPr>
          <w:rFonts w:ascii="Arial" w:hAnsi="Arial" w:eastAsia="Arial" w:cs="Arial"/>
          <w:b/>
          <w:i w:val="0"/>
          <w:sz w:val="24"/>
        </w:rPr>
        <w:t>Sensitivity analysis (no-immune subset).</w:t>
      </w:r>
      <w:r>
        <w:rPr>
          <w:rFonts w:ascii="Arial" w:hAnsi="Arial" w:eastAsia="Arial" w:cs="Arial"/>
          <w:b w:val="0"/>
          <w:i w:val="0"/>
          <w:sz w:val="24"/>
        </w:rPr>
        <w:t xml:space="preserve"> Excluding the five immune types (B cell, macrophage, monocyte, neutrophil, plasma cell) for which cross-atlas tissue composition differs most substantially, the residual 7-type analysis yielded obs/null = 0.733, p = 0.013, confirming that macaque coherence is not driven by the immune subset alone. The macaque-to-human–mouse ratio narrows from 1.8× (12 types) to 1.5× (non-immune 7-type subset, 0.733 vs. 0.485), but a substantial gap persists; other factors (atlas-specific preprocessing, donor heterogeneity, biological divergence) may contribute.</w:t>
      </w:r>
    </w:p>
    <w:p>
      <w:pPr>
        <w:spacing w:line="480" w:lineRule="auto" w:after="0" w:before="0"/>
        <w:jc w:val="both"/>
      </w:pPr>
      <w:r>
        <w:rPr>
          <w:rFonts w:ascii="Arial" w:hAnsi="Arial" w:eastAsia="Arial" w:cs="Arial"/>
          <w:b/>
          <w:i w:val="0"/>
          <w:sz w:val="24"/>
        </w:rPr>
        <w:t>Per-type residual ranking.</w:t>
      </w:r>
      <w:r>
        <w:rPr>
          <w:rFonts w:ascii="Arial" w:hAnsi="Arial" w:eastAsia="Arial" w:cs="Arial"/>
          <w:b w:val="0"/>
          <w:i w:val="0"/>
          <w:sz w:val="24"/>
        </w:rPr>
        <w:t xml:space="preserve"> Hepatocyte showed rank reversal between species pairs: most conserved in the human–mouse 12-type matched control (rank 12/12, 2.0% of total sum of squared residuals), most flexible in the human–macaque analysis (rank 1/12, 47.3% of total sum of squared residuals). The Spearman correlation between per-type residual rankings across the two species pairs was non-significant (ρ = 0.147, p = 0.649, n = 12). At n = 12, single-type rank reversal is consistent with biological lability and the elevated rank-position variance expected at this sample size; the hepatocyte transcriptome is also strongly zonated across the periportal–pericentral axis, and cross-atlas hepatocyte centroids are sensitive to zonation coverage and dissociation protocol, so disentangling these requires zonation-resolved macaque sampling.</w:t>
      </w:r>
    </w:p>
    <w:p>
      <w:pPr>
        <w:pStyle w:val="Heading2"/>
        <w:spacing w:line="480" w:lineRule="auto" w:after="120" w:before="360"/>
        <w:jc w:val="left"/>
      </w:pPr>
      <w:r>
        <w:rPr>
          <w:rFonts w:ascii="Arial" w:hAnsi="Arial" w:eastAsia="Arial" w:cs="Arial"/>
          <w:b/>
          <w:color w:val="000000"/>
          <w:sz w:val="28"/>
        </w:rPr>
        <w:t>Two-layer geometric conservation</w:t>
      </w:r>
    </w:p>
    <w:p>
      <w:pPr>
        <w:spacing w:line="480" w:lineRule="auto" w:after="0" w:before="0"/>
        <w:jc w:val="both"/>
      </w:pPr>
      <w:r>
        <w:rPr>
          <w:rFonts w:ascii="Arial" w:hAnsi="Arial" w:eastAsia="Arial" w:cs="Arial"/>
          <w:b w:val="0"/>
          <w:i w:val="0"/>
          <w:sz w:val="24"/>
        </w:rPr>
        <w:t>Beyond the global Procrustes coherence test, the geometric relationship between species was decomposed into two independently measurable layers: centroid position and covariance ellipsoid orientation. Each layer captures a distinct aspect of how cell type identity geometry is conserved across species.</w:t>
      </w:r>
    </w:p>
    <w:p>
      <w:pPr>
        <w:spacing w:line="480" w:lineRule="auto" w:after="0" w:before="0"/>
        <w:jc w:val="both"/>
      </w:pPr>
      <w:r>
        <w:rPr>
          <w:rFonts w:ascii="Arial" w:hAnsi="Arial" w:eastAsia="Arial" w:cs="Arial"/>
          <w:b/>
          <w:i w:val="0"/>
          <w:sz w:val="24"/>
        </w:rPr>
        <w:t>Layer 1: Centroid position.</w:t>
      </w:r>
      <w:r>
        <w:rPr>
          <w:rFonts w:ascii="Arial" w:hAnsi="Arial" w:eastAsia="Arial" w:cs="Arial"/>
          <w:b w:val="0"/>
          <w:i w:val="0"/>
          <w:sz w:val="24"/>
        </w:rPr>
        <w:t xml:space="preserve"> Cross-species conservation of centroid position is the primary Procrustes result reported throughout this paper (obs/null = 0.522, p &lt; 10</w:t>
      </w:r>
      <w:r>
        <w:rPr>
          <w:rFonts w:ascii="Arial" w:hAnsi="Arial" w:eastAsia="Arial" w:cs="Arial"/>
          <w:b w:val="0"/>
          <w:i w:val="0"/>
          <w:sz w:val="24"/>
          <w:vertAlign w:val="superscript"/>
        </w:rPr>
        <w:t>−6</w:t>
      </w:r>
      <w:r>
        <w:rPr>
          <w:rFonts w:ascii="Arial" w:hAnsi="Arial" w:eastAsia="Arial" w:cs="Arial"/>
          <w:b w:val="0"/>
          <w:i w:val="0"/>
          <w:sz w:val="24"/>
        </w:rPr>
        <w:t>; see Procrustes superimposition; Permutation test and statistical framework). Centroid position captures where each cell type sits in expression space relative to all other types.</w:t>
      </w:r>
    </w:p>
    <w:p>
      <w:pPr>
        <w:spacing w:line="480" w:lineRule="auto" w:after="0" w:before="0"/>
        <w:jc w:val="both"/>
      </w:pPr>
      <w:r>
        <w:rPr>
          <w:rFonts w:ascii="Arial" w:hAnsi="Arial" w:eastAsia="Arial" w:cs="Arial"/>
          <w:b/>
          <w:i w:val="0"/>
          <w:sz w:val="24"/>
        </w:rPr>
        <w:t>Layer 2: Covariance ellipsoid orientation.</w:t>
      </w:r>
      <w:r>
        <w:rPr>
          <w:rFonts w:ascii="Arial" w:hAnsi="Arial" w:eastAsia="Arial" w:cs="Arial"/>
          <w:b w:val="0"/>
          <w:i w:val="0"/>
          <w:sz w:val="24"/>
        </w:rPr>
        <w:t xml:space="preserve"> For each cell type in each species, single cells were first projected into the 33-component joint PCA space used in the primary analysis (the same space in which Procrustes superimposition is performed); no separate per-type PCA was fit. The joint-PCA basis is selected for between-cell-type discrimination; within-type covariance computed in this basis measures the components of within-type variance that overlap with between-cell-type axes. Within-type variance orthogonal to all between-cell-type axes is not captured by this construction. Within this joint space, the per-type 33×33 covariance matrix of cell coordinates was computed using all available cells of that type (no per-type cell subsampling), and its principal axes were extracted by eigendecomposition (NumPy linalg.eigh) sorted by descending eigenvalue. The leading k eigenvectors define the orientation of each cell type's covariance ellipsoid in the joint PCA basis. Cross-species alignment was quantified by the Krzanowski[23] subspace similarity statistic S(k) = ‖Aᵀ B‖</w:t>
      </w:r>
      <w:r>
        <w:rPr>
          <w:rFonts w:ascii="Arial" w:hAnsi="Arial" w:eastAsia="Arial" w:cs="Arial"/>
          <w:b w:val="0"/>
          <w:i w:val="0"/>
          <w:sz w:val="24"/>
          <w:vertAlign w:val="subscript"/>
        </w:rPr>
        <w:t>F</w:t>
      </w:r>
      <w:r>
        <w:rPr>
          <w:rFonts w:ascii="Arial" w:hAnsi="Arial" w:eastAsia="Arial" w:cs="Arial"/>
          <w:b w:val="0"/>
          <w:i w:val="0"/>
          <w:sz w:val="24"/>
        </w:rPr>
        <w:t>[2] / k, where A and B are the n</w:t>
      </w:r>
      <w:r>
        <w:rPr>
          <w:rFonts w:ascii="Arial" w:hAnsi="Arial" w:eastAsia="Arial" w:cs="Arial"/>
          <w:b w:val="0"/>
          <w:i w:val="0"/>
          <w:sz w:val="24"/>
          <w:vertAlign w:val="subscript"/>
        </w:rPr>
        <w:t>PC</w:t>
      </w:r>
      <w:r>
        <w:rPr>
          <w:rFonts w:ascii="Arial" w:hAnsi="Arial" w:eastAsia="Arial" w:cs="Arial"/>
          <w:b w:val="0"/>
          <w:i w:val="0"/>
          <w:sz w:val="24"/>
        </w:rPr>
        <w:t xml:space="preserve"> × k matrices whose columns are the k leading eigenvectors for human and mouse respectively (range 0–1; higher S indicates better alignment). Significance was assessed against a label-shuffle null at k ∈ {1, 3, 5}: 10,000 permutations of cell-type-label assignment in the mouse configuration (with the same random permutation indexing all three k values within each iteration), with the p-value computed as (n</w:t>
      </w:r>
      <w:r>
        <w:rPr>
          <w:rFonts w:ascii="Arial" w:hAnsi="Arial" w:eastAsia="Arial" w:cs="Arial"/>
          <w:b w:val="0"/>
          <w:i w:val="0"/>
          <w:sz w:val="24"/>
          <w:vertAlign w:val="subscript"/>
        </w:rPr>
        <w:t>geq</w:t>
      </w:r>
      <w:r>
        <w:rPr>
          <w:rFonts w:ascii="Arial" w:hAnsi="Arial" w:eastAsia="Arial" w:cs="Arial"/>
          <w:b w:val="0"/>
          <w:i w:val="0"/>
          <w:sz w:val="24"/>
        </w:rPr>
        <w:t xml:space="preserve"> + 1) / (n</w:t>
      </w:r>
      <w:r>
        <w:rPr>
          <w:rFonts w:ascii="Arial" w:hAnsi="Arial" w:eastAsia="Arial" w:cs="Arial"/>
          <w:b w:val="0"/>
          <w:i w:val="0"/>
          <w:sz w:val="24"/>
          <w:vertAlign w:val="subscript"/>
        </w:rPr>
        <w:t>perm</w:t>
      </w:r>
      <w:r>
        <w:rPr>
          <w:rFonts w:ascii="Arial" w:hAnsi="Arial" w:eastAsia="Arial" w:cs="Arial"/>
          <w:b w:val="0"/>
          <w:i w:val="0"/>
          <w:sz w:val="24"/>
        </w:rPr>
        <w:t xml:space="preserve"> + 1) under one-tailed comparison. Without constraint to the centroid-optimal rotation, the aggregate pre-rotation Layer 2 alignment was significant at k = 5 (S = 0.483 vs null mean = 0.375; p &lt; 10</w:t>
      </w:r>
      <w:r>
        <w:rPr>
          <w:rFonts w:ascii="Arial" w:hAnsi="Arial" w:eastAsia="Arial" w:cs="Arial"/>
          <w:b w:val="0"/>
          <w:i w:val="0"/>
          <w:sz w:val="24"/>
          <w:vertAlign w:val="superscript"/>
        </w:rPr>
        <w:t>−4</w:t>
      </w:r>
      <w:r>
        <w:rPr>
          <w:rFonts w:ascii="Arial" w:hAnsi="Arial" w:eastAsia="Arial" w:cs="Arial"/>
          <w:b w:val="0"/>
          <w:i w:val="0"/>
          <w:sz w:val="24"/>
        </w:rPr>
        <w:t>) and at k = 3 (p &lt; 10</w:t>
      </w:r>
      <w:r>
        <w:rPr>
          <w:rFonts w:ascii="Arial" w:hAnsi="Arial" w:eastAsia="Arial" w:cs="Arial"/>
          <w:b w:val="0"/>
          <w:i w:val="0"/>
          <w:sz w:val="24"/>
          <w:vertAlign w:val="superscript"/>
        </w:rPr>
        <w:t>−4</w:t>
      </w:r>
      <w:r>
        <w:rPr>
          <w:rFonts w:ascii="Arial" w:hAnsi="Arial" w:eastAsia="Arial" w:cs="Arial"/>
          <w:b w:val="0"/>
          <w:i w:val="0"/>
          <w:sz w:val="24"/>
        </w:rPr>
        <w:t>), but not at k = 1 (S = 0.129 vs. null mean = 0.119; p = 0.221), indicating that ellipsoid conservation requires three or more axes considered jointly; single-axis alignment is too narrow to detect.</w:t>
      </w:r>
    </w:p>
    <w:p>
      <w:pPr>
        <w:spacing w:line="480" w:lineRule="auto" w:after="0" w:before="0"/>
        <w:jc w:val="both"/>
      </w:pPr>
      <w:r>
        <w:rPr>
          <w:rFonts w:ascii="Arial" w:hAnsi="Arial" w:eastAsia="Arial" w:cs="Arial"/>
          <w:b/>
          <w:i w:val="0"/>
          <w:sz w:val="24"/>
        </w:rPr>
        <w:t>Distinctness of centroid and ellipsoid conservation.</w:t>
      </w:r>
      <w:r>
        <w:rPr>
          <w:rFonts w:ascii="Arial" w:hAnsi="Arial" w:eastAsia="Arial" w:cs="Arial"/>
          <w:b w:val="0"/>
          <w:i w:val="0"/>
          <w:sz w:val="24"/>
        </w:rPr>
        <w:t xml:space="preserve"> A key finding of this analysis is that centroid conservation and ellipsoid orientation conservation are geometrically distinct: the Procrustes rotation optimized for centroid alignment (Layer 1) substantially compresses ellipsoid alignment (Layer 2). Under the centroid-optimal rotation, the same R returned by the primary Procrustes superimposition is applied to each cell type's mouse-side covariance eigenvectors (V</w:t>
      </w:r>
      <w:r>
        <w:rPr>
          <w:rFonts w:ascii="Arial" w:hAnsi="Arial" w:eastAsia="Arial" w:cs="Arial"/>
          <w:b w:val="0"/>
          <w:i w:val="0"/>
          <w:sz w:val="24"/>
          <w:vertAlign w:val="subscript"/>
        </w:rPr>
        <w:t>M,rot</w:t>
      </w:r>
      <w:r>
        <w:rPr>
          <w:rFonts w:ascii="Arial" w:hAnsi="Arial" w:eastAsia="Arial" w:cs="Arial"/>
          <w:b w:val="0"/>
          <w:i w:val="0"/>
          <w:sz w:val="24"/>
        </w:rPr>
        <w:t xml:space="preserve"> = R V</w:t>
      </w:r>
      <w:r>
        <w:rPr>
          <w:rFonts w:ascii="Arial" w:hAnsi="Arial" w:eastAsia="Arial" w:cs="Arial"/>
          <w:b w:val="0"/>
          <w:i w:val="0"/>
          <w:sz w:val="24"/>
          <w:vertAlign w:val="subscript"/>
        </w:rPr>
        <w:t>M</w:t>
      </w:r>
      <w:r>
        <w:rPr>
          <w:rFonts w:ascii="Arial" w:hAnsi="Arial" w:eastAsia="Arial" w:cs="Arial"/>
          <w:b w:val="0"/>
          <w:i w:val="0"/>
          <w:sz w:val="24"/>
        </w:rPr>
        <w:t>, mathematically equivalent under orthogonal rotation to recomputing the per-type mouse covariance in the rotated joint-PCA frame and re-eigendecomposing); the rotated mouse eigenvectors are then aligned with the unrotated human eigenvectors via Krzanowski S(k). The aggregate Layer 2 alignment compresses from S = 0.483 to S = 0.230 at k = 5 (Figure 4B). Significance under this constrained test is assessed against a label-shuffle null in which the same fixed rotation R is applied to each permuted mouse configuration (10,000 permutations; the rotation is held fixed across permutations, only the cell-type-label assignment is shuffled), with the p-value computed as (n</w:t>
      </w:r>
      <w:r>
        <w:rPr>
          <w:rFonts w:ascii="Arial" w:hAnsi="Arial" w:eastAsia="Arial" w:cs="Arial"/>
          <w:b w:val="0"/>
          <w:i w:val="0"/>
          <w:sz w:val="24"/>
          <w:vertAlign w:val="subscript"/>
        </w:rPr>
        <w:t>geq</w:t>
      </w:r>
      <w:r>
        <w:rPr>
          <w:rFonts w:ascii="Arial" w:hAnsi="Arial" w:eastAsia="Arial" w:cs="Arial"/>
          <w:b w:val="0"/>
          <w:i w:val="0"/>
          <w:sz w:val="24"/>
        </w:rPr>
        <w:t xml:space="preserve"> + 1) / (n</w:t>
      </w:r>
      <w:r>
        <w:rPr>
          <w:rFonts w:ascii="Arial" w:hAnsi="Arial" w:eastAsia="Arial" w:cs="Arial"/>
          <w:b w:val="0"/>
          <w:i w:val="0"/>
          <w:sz w:val="24"/>
          <w:vertAlign w:val="subscript"/>
        </w:rPr>
        <w:t>perm</w:t>
      </w:r>
      <w:r>
        <w:rPr>
          <w:rFonts w:ascii="Arial" w:hAnsi="Arial" w:eastAsia="Arial" w:cs="Arial"/>
          <w:b w:val="0"/>
          <w:i w:val="0"/>
          <w:sz w:val="24"/>
        </w:rPr>
        <w:t xml:space="preserve"> + 1). The post-rotation Layer 2 alignment remains significantly above null (S = 0.230 vs null mean = 0.180; p &lt; 10</w:t>
      </w:r>
      <w:r>
        <w:rPr>
          <w:rFonts w:ascii="Arial" w:hAnsi="Arial" w:eastAsia="Arial" w:cs="Arial"/>
          <w:b w:val="0"/>
          <w:i w:val="0"/>
          <w:sz w:val="24"/>
          <w:vertAlign w:val="superscript"/>
        </w:rPr>
        <w:t>−4</w:t>
      </w:r>
      <w:r>
        <w:rPr>
          <w:rFonts w:ascii="Arial" w:hAnsi="Arial" w:eastAsia="Arial" w:cs="Arial"/>
          <w:b w:val="0"/>
          <w:i w:val="0"/>
          <w:sz w:val="24"/>
        </w:rPr>
        <w:t xml:space="preserve"> at k = 5). The post-rotation test is conditional on the centroid-optimal R fit to the observed configuration; it tests whether residual Layer-2 alignment persists under that specific rotation, not whether Layer-2 alignment is significant marginal of Layer-1. Layer 1 (centroid position) significance is established by the primary Procrustes test (p &lt; 10</w:t>
      </w:r>
      <w:r>
        <w:rPr>
          <w:rFonts w:ascii="Arial" w:hAnsi="Arial" w:eastAsia="Arial" w:cs="Arial"/>
          <w:b w:val="0"/>
          <w:i w:val="0"/>
          <w:sz w:val="24"/>
          <w:vertAlign w:val="superscript"/>
        </w:rPr>
        <w:t>−6</w:t>
      </w:r>
      <w:r>
        <w:rPr>
          <w:rFonts w:ascii="Arial" w:hAnsi="Arial" w:eastAsia="Arial" w:cs="Arial"/>
          <w:b w:val="0"/>
          <w:i w:val="0"/>
          <w:sz w:val="24"/>
        </w:rPr>
        <w:t>; §1) and is not retested under the Krzanowski statistic. Layer 2 alignment is preserved (significantly above null) but compressed (S 0.483 → 0.230) under centroid-optimal rotation. This indicates that centroid position and covariance ellipsoid orientation encode distinct geometric information not recovered by a single joint alignment; whether the two are statistically independent at the per-type level is not established (the per-type correlation is not significant; §4, Figure 4D).</w:t>
      </w:r>
    </w:p>
    <w:p>
      <w:pPr>
        <w:spacing w:line="480" w:lineRule="auto" w:after="0" w:before="0"/>
        <w:jc w:val="both"/>
      </w:pPr>
      <w:r>
        <w:rPr>
          <w:rFonts w:ascii="Arial" w:hAnsi="Arial" w:eastAsia="Arial" w:cs="Arial"/>
          <w:b/>
          <w:i w:val="0"/>
          <w:sz w:val="24"/>
        </w:rPr>
        <w:t>Conserved principal component genes.</w:t>
      </w:r>
      <w:r>
        <w:rPr>
          <w:rFonts w:ascii="Arial" w:hAnsi="Arial" w:eastAsia="Arial" w:cs="Arial"/>
          <w:b w:val="0"/>
          <w:i w:val="0"/>
          <w:sz w:val="24"/>
        </w:rPr>
        <w:t xml:space="preserve"> For each cell type, the conserved direction of within-type variation across species was estimated using Krzanowski[23] subspace similarity on the per-type 33×33 joint-PCA covariance matrices: the first conserved principal component (CPC1) is the top eigenvector of the sample-weighted sum n</w:t>
      </w:r>
      <w:r>
        <w:rPr>
          <w:rFonts w:ascii="Arial" w:hAnsi="Arial" w:eastAsia="Arial" w:cs="Arial"/>
          <w:b w:val="0"/>
          <w:i w:val="0"/>
          <w:sz w:val="24"/>
          <w:vertAlign w:val="subscript"/>
        </w:rPr>
        <w:t>h</w:t>
      </w:r>
      <w:r>
        <w:rPr>
          <w:rFonts w:ascii="Arial" w:hAnsi="Arial" w:eastAsia="Arial" w:cs="Arial"/>
          <w:b w:val="0"/>
          <w:i w:val="0"/>
          <w:sz w:val="24"/>
        </w:rPr>
        <w:t>·cov</w:t>
      </w:r>
      <w:r>
        <w:rPr>
          <w:rFonts w:ascii="Arial" w:hAnsi="Arial" w:eastAsia="Arial" w:cs="Arial"/>
          <w:b w:val="0"/>
          <w:i w:val="0"/>
          <w:sz w:val="24"/>
          <w:vertAlign w:val="subscript"/>
        </w:rPr>
        <w:t>h</w:t>
      </w:r>
      <w:r>
        <w:rPr>
          <w:rFonts w:ascii="Arial" w:hAnsi="Arial" w:eastAsia="Arial" w:cs="Arial"/>
          <w:b w:val="0"/>
          <w:i w:val="0"/>
          <w:sz w:val="24"/>
        </w:rPr>
        <w:t xml:space="preserve"> + n</w:t>
      </w:r>
      <w:r>
        <w:rPr>
          <w:rFonts w:ascii="Arial" w:hAnsi="Arial" w:eastAsia="Arial" w:cs="Arial"/>
          <w:b w:val="0"/>
          <w:i w:val="0"/>
          <w:sz w:val="24"/>
          <w:vertAlign w:val="subscript"/>
        </w:rPr>
        <w:t>m</w:t>
      </w:r>
      <w:r>
        <w:rPr>
          <w:rFonts w:ascii="Arial" w:hAnsi="Arial" w:eastAsia="Arial" w:cs="Arial"/>
          <w:b w:val="0"/>
          <w:i w:val="0"/>
          <w:sz w:val="24"/>
        </w:rPr>
        <w:t>·cov</w:t>
      </w:r>
      <w:r>
        <w:rPr>
          <w:rFonts w:ascii="Arial" w:hAnsi="Arial" w:eastAsia="Arial" w:cs="Arial"/>
          <w:b w:val="0"/>
          <w:i w:val="0"/>
          <w:sz w:val="24"/>
          <w:vertAlign w:val="subscript"/>
        </w:rPr>
        <w:t>m</w:t>
      </w:r>
      <w:r>
        <w:rPr>
          <w:rFonts w:ascii="Arial" w:hAnsi="Arial" w:eastAsia="Arial" w:cs="Arial"/>
          <w:b w:val="0"/>
          <w:i w:val="0"/>
          <w:sz w:val="24"/>
        </w:rPr>
        <w:t>, where cov</w:t>
      </w:r>
      <w:r>
        <w:rPr>
          <w:rFonts w:ascii="Arial" w:hAnsi="Arial" w:eastAsia="Arial" w:cs="Arial"/>
          <w:b w:val="0"/>
          <w:i w:val="0"/>
          <w:sz w:val="24"/>
          <w:vertAlign w:val="subscript"/>
        </w:rPr>
        <w:t>h</w:t>
      </w:r>
      <w:r>
        <w:rPr>
          <w:rFonts w:ascii="Arial" w:hAnsi="Arial" w:eastAsia="Arial" w:cs="Arial"/>
          <w:b w:val="0"/>
          <w:i w:val="0"/>
          <w:sz w:val="24"/>
        </w:rPr>
        <w:t>, cov</w:t>
      </w:r>
      <w:r>
        <w:rPr>
          <w:rFonts w:ascii="Arial" w:hAnsi="Arial" w:eastAsia="Arial" w:cs="Arial"/>
          <w:b w:val="0"/>
          <w:i w:val="0"/>
          <w:sz w:val="24"/>
          <w:vertAlign w:val="subscript"/>
        </w:rPr>
        <w:t>m</w:t>
      </w:r>
      <w:r>
        <w:rPr>
          <w:rFonts w:ascii="Arial" w:hAnsi="Arial" w:eastAsia="Arial" w:cs="Arial"/>
          <w:b w:val="0"/>
          <w:i w:val="0"/>
          <w:sz w:val="24"/>
        </w:rPr>
        <w:t xml:space="preserve"> are the per-type covariance matrices in the joint PCA basis and n</w:t>
      </w:r>
      <w:r>
        <w:rPr>
          <w:rFonts w:ascii="Arial" w:hAnsi="Arial" w:eastAsia="Arial" w:cs="Arial"/>
          <w:b w:val="0"/>
          <w:i w:val="0"/>
          <w:sz w:val="24"/>
          <w:vertAlign w:val="subscript"/>
        </w:rPr>
        <w:t>h</w:t>
      </w:r>
      <w:r>
        <w:rPr>
          <w:rFonts w:ascii="Arial" w:hAnsi="Arial" w:eastAsia="Arial" w:cs="Arial"/>
          <w:b w:val="0"/>
          <w:i w:val="0"/>
          <w:sz w:val="24"/>
        </w:rPr>
        <w:t>, n</w:t>
      </w:r>
      <w:r>
        <w:rPr>
          <w:rFonts w:ascii="Arial" w:hAnsi="Arial" w:eastAsia="Arial" w:cs="Arial"/>
          <w:b w:val="0"/>
          <w:i w:val="0"/>
          <w:sz w:val="24"/>
          <w:vertAlign w:val="subscript"/>
        </w:rPr>
        <w:t>m</w:t>
      </w:r>
      <w:r>
        <w:rPr>
          <w:rFonts w:ascii="Arial" w:hAnsi="Arial" w:eastAsia="Arial" w:cs="Arial"/>
          <w:b w:val="0"/>
          <w:i w:val="0"/>
          <w:sz w:val="24"/>
        </w:rPr>
        <w:t xml:space="preserve"> are the cell counts in each species. The CPC1 axis was projected back into the 16,959-gene ortholog space via the joint-PCA loading matrix and ranked by absolute gene-level loading; the top-20 loaded genes per cell type are reported in Table S6. A cell type was classified as having a ribosomal rank-1 CPC1 driver (a binary rank-1 criterion that does not exclude ribosomal contribution at lower ranks; see Table S6 top-20 loadings for ranks 2–20) when the highest-loaded gene's symbol matched the regular expression ^(RPL|RPS|Rpl|Rps)\d. Under this criterion, 25 of 35 cell types were ribosomal-dominated; for the remaining 10 cell types (stromal cell, hematopoietic stem cell, neutrophil, plasma cell, classical monocyte, large intestine goblet cell, monocyte, intermediate monocyte, mature NK T cell, hepatocyte), the rank-1 driver was cell-type-specific (CFD, MACROH2A1, NAMPT, SSR4, S100A4, AGR2, S100A8, DPYD, PARP8, and FTH1 respectively). Several of these cell-type-specific cases still have ribosomal proteins among the top-3 loaders (e.g., stromal cell: CFD, RPS28, RPL34); the rank-1 classification reflects the dominant axis only and does not exclude ribosomal contribution at lower ranks. CPC1 conservation describes within-type variation axes and operates on a different geometric quantity than the centroid-based per-type divergence ranking, which uses mean expression vectors. Because Layer 2 is computed in the joint-PCA basis selected for between-type discrimination, it captures only within-type variance projected onto those axes; within-type variation orthogonal to them is not captured, so dominant within-type axes (cell-cycle, activation, technical variance) may be invisible. Layer 2 is therefore a conserved statistic in this basis, not a claim about the dominant axes of within-type variation.</w:t>
      </w:r>
    </w:p>
    <w:p>
      <w:pPr>
        <w:spacing w:line="480" w:lineRule="auto" w:after="0" w:before="0"/>
        <w:jc w:val="both"/>
      </w:pPr>
      <w:r>
        <w:rPr>
          <w:rFonts w:ascii="Arial" w:hAnsi="Arial" w:eastAsia="Arial" w:cs="Arial"/>
          <w:b/>
          <w:i w:val="0"/>
          <w:sz w:val="24"/>
        </w:rPr>
        <w:t>Eigenvalue profile similarity (exploratory; not carried as an inferential finding).</w:t>
      </w:r>
      <w:r>
        <w:rPr>
          <w:rFonts w:ascii="Arial" w:hAnsi="Arial" w:eastAsia="Arial" w:cs="Arial"/>
          <w:b w:val="0"/>
          <w:i w:val="0"/>
          <w:sz w:val="24"/>
        </w:rPr>
        <w:t xml:space="preserve"> For completeness, a third potential axis of Layer 2 conservation (the eigenvalue profile of within-type covariance) was tested. Across the 35 cell types, sorted-eigenvalue profile similarity between species was high (mean r = 0.953) but the global permutation test against a label-shuffle null was non-significant (p = 0.866, n = 10,000 permutations), indicating that the high mean similarity reflects shared mathematical structure of sorted eigenvalue decay rather than cell-type-specific conservation. The metric is therefore reported descriptively rather than as an inferential finding (Table 1 row T32). A post-hoc correlation between eigenvalue conservation and Procrustes residuals (Spearman ρ = 0.395, p = 0.019) was observed; given the non-inferential status of the underlying eigenvalue metric, this correlation is not reported as a finding (Table 1 row T33).</w:t>
      </w:r>
    </w:p>
    <w:p>
      <w:pPr>
        <w:spacing w:line="480" w:lineRule="auto" w:after="0" w:before="0"/>
        <w:jc w:val="both"/>
      </w:pPr>
      <w:r>
        <w:rPr>
          <w:rFonts w:ascii="Arial" w:hAnsi="Arial" w:eastAsia="Arial" w:cs="Arial"/>
          <w:b/>
          <w:i w:val="0"/>
          <w:sz w:val="24"/>
        </w:rPr>
        <w:t>Sensitivity to ribosomal-protein-gene contribution.</w:t>
      </w:r>
      <w:r>
        <w:rPr>
          <w:rFonts w:ascii="Arial" w:hAnsi="Arial" w:eastAsia="Arial" w:cs="Arial"/>
          <w:b w:val="0"/>
          <w:i w:val="0"/>
          <w:sz w:val="24"/>
        </w:rPr>
        <w:t xml:space="preserve"> To test whether the Layer 2 signal is carried primarily by ribosomal-protein genes, the full pipeline was re-run after excluding all ribosomal-protein genes from the ortholog space. The exclusion regex ^(RPL|RPS|Rpl|Rps)\d matched 68 genes, leaving 16,891 genes; joint PCA was refit at the same 95% variance threshold, yielding 33 components. The Krzanowski S statistic was recomputed at k = 5 with the same 10,000-permutation label-shuffle null. Pre-rotation S = 0.446 (null mean 0.329; p &lt; 10</w:t>
      </w:r>
      <w:r>
        <w:rPr>
          <w:rFonts w:ascii="Arial" w:hAnsi="Arial" w:eastAsia="Arial" w:cs="Arial"/>
          <w:b w:val="0"/>
          <w:i w:val="0"/>
          <w:sz w:val="24"/>
          <w:vertAlign w:val="superscript"/>
        </w:rPr>
        <w:t>−4</w:t>
      </w:r>
      <w:r>
        <w:rPr>
          <w:rFonts w:ascii="Arial" w:hAnsi="Arial" w:eastAsia="Arial" w:cs="Arial"/>
          <w:b w:val="0"/>
          <w:i w:val="0"/>
          <w:sz w:val="24"/>
        </w:rPr>
        <w:t>); post-rotation S = 0.234 (null mean 0.180; p &lt; 10</w:t>
      </w:r>
      <w:r>
        <w:rPr>
          <w:rFonts w:ascii="Arial" w:hAnsi="Arial" w:eastAsia="Arial" w:cs="Arial"/>
          <w:b w:val="0"/>
          <w:i w:val="0"/>
          <w:sz w:val="24"/>
          <w:vertAlign w:val="superscript"/>
        </w:rPr>
        <w:t>−4</w:t>
      </w:r>
      <w:r>
        <w:rPr>
          <w:rFonts w:ascii="Arial" w:hAnsi="Arial" w:eastAsia="Arial" w:cs="Arial"/>
          <w:b w:val="0"/>
          <w:i w:val="0"/>
          <w:sz w:val="24"/>
        </w:rPr>
        <w:t>). The Layer 2 statistical signal therefore persists after ribosomal-gene exclusion. Under this exclusion, of the 25 cell types whose original rank-1 CPC1 driver was a ribosomal-protein gene, the new rank-1 driver was mitochondrial (MT-ND3) in 9 cases, another housekeeping gene (FAU, RACK1, PTMA, ACTB, GPX1) in 8 cases, and a cell-type-specific marker (DCN, S100A8, KRT8, S100A4, IL1R2, FOSB) in the remaining 8 cases; the 10 cell types with originally cell-type-specific rank-1 drivers retained that classification (full driver table in Table S6, new column under_ribosomal_exclusion).</w:t>
      </w:r>
    </w:p>
    <w:p>
      <w:pPr>
        <w:pStyle w:val="Heading2"/>
        <w:spacing w:line="480" w:lineRule="auto" w:after="120" w:before="360"/>
        <w:jc w:val="left"/>
      </w:pPr>
      <w:r>
        <w:rPr>
          <w:rFonts w:ascii="Arial" w:hAnsi="Arial" w:eastAsia="Arial" w:cs="Arial"/>
          <w:b/>
          <w:color w:val="000000"/>
          <w:sz w:val="28"/>
        </w:rPr>
        <w:t>Layer 2 PanSci replication</w:t>
      </w:r>
    </w:p>
    <w:p>
      <w:pPr>
        <w:spacing w:line="480" w:lineRule="auto" w:after="0" w:before="0"/>
        <w:jc w:val="both"/>
      </w:pPr>
      <w:r>
        <w:rPr>
          <w:rFonts w:ascii="Arial" w:hAnsi="Arial" w:eastAsia="Arial" w:cs="Arial"/>
          <w:b w:val="0"/>
          <w:i w:val="0"/>
          <w:sz w:val="24"/>
        </w:rPr>
        <w:t>To test whether the Layer 2 (covariance ellipsoid orientation) signal generalizes beyond the primary 10x atlas pair, the two-layer decomposition was applied to the PanSci snRNA-seq atlas[27] on the 16 cell types matched in the global Layer-1 PanSci replication (§5). Cell-type centroids for Tabula Sapiens (restricted from the primary 35-type set to the 16 matched types) and PanSci were stacked and projected via joint PCA at the same 95% variance threshold used in the primary analysis, yielding 17 principal components (95.5% variance retained). The endothelial cell centroid for PanSci was computed from lung-only cells (ENDO_TISSUE = "lung", mirroring the global Layer-1 replication's tissue restriction). Per-type 17×17 covariance matrices were computed for each species using all available cells of that type (no per-type subsampling, matching the primary Layer 2 convention). Krzanowski subspace similarity S was computed at k = 1, 3, 5 pre-rotation (no R applied) and post-rotation (centroid-optimal R from the global Layer-1 PanSci Procrustes alignment held fixed across permutations). Significance was assessed against a 10,000-permutation label-shuffle null in the PanSci configuration, with the same random permutation indexing across k values within each pre/post group (matching the primary convention).</w:t>
      </w:r>
    </w:p>
    <w:p>
      <w:pPr>
        <w:spacing w:line="480" w:lineRule="auto" w:after="0" w:before="0"/>
        <w:jc w:val="both"/>
      </w:pPr>
      <w:r>
        <w:rPr>
          <w:rFonts w:ascii="Arial" w:hAnsi="Arial" w:eastAsia="Arial" w:cs="Arial"/>
          <w:b w:val="0"/>
          <w:i w:val="0"/>
          <w:sz w:val="24"/>
        </w:rPr>
        <w:t>Pre-rotation aggregate S at k = 5 was 0.396 (null mean 0.302; p &lt; 10</w:t>
      </w:r>
      <w:r>
        <w:rPr>
          <w:rFonts w:ascii="Arial" w:hAnsi="Arial" w:eastAsia="Arial" w:cs="Arial"/>
          <w:b w:val="0"/>
          <w:i w:val="0"/>
          <w:sz w:val="24"/>
          <w:vertAlign w:val="superscript"/>
        </w:rPr>
        <w:t>−4</w:t>
      </w:r>
      <w:r>
        <w:rPr>
          <w:rFonts w:ascii="Arial" w:hAnsi="Arial" w:eastAsia="Arial" w:cs="Arial"/>
          <w:b w:val="0"/>
          <w:i w:val="0"/>
          <w:sz w:val="24"/>
        </w:rPr>
        <w:t>; margin +0.094), with significance also at k = 3 (S = 0.375 vs null 0.278; p &lt; 10</w:t>
      </w:r>
      <w:r>
        <w:rPr>
          <w:rFonts w:ascii="Arial" w:hAnsi="Arial" w:eastAsia="Arial" w:cs="Arial"/>
          <w:b w:val="0"/>
          <w:i w:val="0"/>
          <w:sz w:val="24"/>
          <w:vertAlign w:val="superscript"/>
        </w:rPr>
        <w:t>−4</w:t>
      </w:r>
      <w:r>
        <w:rPr>
          <w:rFonts w:ascii="Arial" w:hAnsi="Arial" w:eastAsia="Arial" w:cs="Arial"/>
          <w:b w:val="0"/>
          <w:i w:val="0"/>
          <w:sz w:val="24"/>
        </w:rPr>
        <w:t>) and k = 1 (S = 0.203 vs null 0.127; p &lt; 10</w:t>
      </w:r>
      <w:r>
        <w:rPr>
          <w:rFonts w:ascii="Arial" w:hAnsi="Arial" w:eastAsia="Arial" w:cs="Arial"/>
          <w:b w:val="0"/>
          <w:i w:val="0"/>
          <w:sz w:val="24"/>
          <w:vertAlign w:val="superscript"/>
        </w:rPr>
        <w:t>−4</w:t>
      </w:r>
      <w:r>
        <w:rPr>
          <w:rFonts w:ascii="Arial" w:hAnsi="Arial" w:eastAsia="Arial" w:cs="Arial"/>
          <w:b w:val="0"/>
          <w:i w:val="0"/>
          <w:sz w:val="24"/>
        </w:rPr>
        <w:t>). Post-rotation aggregate S at k = 5 was 0.402 (null mean 0.360; p &lt; 10</w:t>
      </w:r>
      <w:r>
        <w:rPr>
          <w:rFonts w:ascii="Arial" w:hAnsi="Arial" w:eastAsia="Arial" w:cs="Arial"/>
          <w:b w:val="0"/>
          <w:i w:val="0"/>
          <w:sz w:val="24"/>
          <w:vertAlign w:val="superscript"/>
        </w:rPr>
        <w:t>−4</w:t>
      </w:r>
      <w:r>
        <w:rPr>
          <w:rFonts w:ascii="Arial" w:hAnsi="Arial" w:eastAsia="Arial" w:cs="Arial"/>
          <w:b w:val="0"/>
          <w:i w:val="0"/>
          <w:sz w:val="24"/>
        </w:rPr>
        <w:t>; margin +0.042), with significance at k = 3 (p &lt; 10</w:t>
      </w:r>
      <w:r>
        <w:rPr>
          <w:rFonts w:ascii="Arial" w:hAnsi="Arial" w:eastAsia="Arial" w:cs="Arial"/>
          <w:b w:val="0"/>
          <w:i w:val="0"/>
          <w:sz w:val="24"/>
          <w:vertAlign w:val="superscript"/>
        </w:rPr>
        <w:t>−4</w:t>
      </w:r>
      <w:r>
        <w:rPr>
          <w:rFonts w:ascii="Arial" w:hAnsi="Arial" w:eastAsia="Arial" w:cs="Arial"/>
          <w:b w:val="0"/>
          <w:i w:val="0"/>
          <w:sz w:val="24"/>
        </w:rPr>
        <w:t>) and non-significance at k = 1 (S = 0.102 vs null 0.094; p = 0.314), mirroring the primary's k = 1 non-significance. The per-type S(k = 5) and Layer-1 residual correlation was Spearman ρ = +0.288, p = 0.279, n = 16, with sign opposite to the primary (ρ = −0.266) but both within noise, consistent with, but not establishing, statistical independence of the two layers.</w:t>
      </w:r>
    </w:p>
    <w:p>
      <w:pPr>
        <w:spacing w:line="480" w:lineRule="auto" w:after="0" w:before="0"/>
        <w:jc w:val="both"/>
      </w:pPr>
      <w:r>
        <w:rPr>
          <w:rFonts w:ascii="Arial" w:hAnsi="Arial" w:eastAsia="Arial" w:cs="Arial"/>
          <w:b w:val="0"/>
          <w:i w:val="0"/>
          <w:sz w:val="24"/>
        </w:rPr>
        <w:t>CPC1 drivers were computed via Krzanowski common principal components on the per-type joint covariance matrix n</w:t>
      </w:r>
      <w:r>
        <w:rPr>
          <w:rFonts w:ascii="Arial" w:hAnsi="Arial" w:eastAsia="Arial" w:cs="Arial"/>
          <w:b w:val="0"/>
          <w:i w:val="0"/>
          <w:sz w:val="24"/>
          <w:vertAlign w:val="subscript"/>
        </w:rPr>
        <w:t>TS</w:t>
      </w:r>
      <w:r>
        <w:rPr>
          <w:rFonts w:ascii="Arial" w:hAnsi="Arial" w:eastAsia="Arial" w:cs="Arial"/>
          <w:b w:val="0"/>
          <w:i w:val="0"/>
          <w:sz w:val="24"/>
        </w:rPr>
        <w:t>·cov</w:t>
      </w:r>
      <w:r>
        <w:rPr>
          <w:rFonts w:ascii="Arial" w:hAnsi="Arial" w:eastAsia="Arial" w:cs="Arial"/>
          <w:b w:val="0"/>
          <w:i w:val="0"/>
          <w:sz w:val="24"/>
          <w:vertAlign w:val="subscript"/>
        </w:rPr>
        <w:t>TS</w:t>
      </w:r>
      <w:r>
        <w:rPr>
          <w:rFonts w:ascii="Arial" w:hAnsi="Arial" w:eastAsia="Arial" w:cs="Arial"/>
          <w:b w:val="0"/>
          <w:i w:val="0"/>
          <w:sz w:val="24"/>
        </w:rPr>
        <w:t xml:space="preserve"> + n</w:t>
      </w:r>
      <w:r>
        <w:rPr>
          <w:rFonts w:ascii="Arial" w:hAnsi="Arial" w:eastAsia="Arial" w:cs="Arial"/>
          <w:b w:val="0"/>
          <w:i w:val="0"/>
          <w:sz w:val="24"/>
          <w:vertAlign w:val="subscript"/>
        </w:rPr>
        <w:t>PanSci</w:t>
      </w:r>
      <w:r>
        <w:rPr>
          <w:rFonts w:ascii="Arial" w:hAnsi="Arial" w:eastAsia="Arial" w:cs="Arial"/>
          <w:b w:val="0"/>
          <w:i w:val="0"/>
          <w:sz w:val="24"/>
        </w:rPr>
        <w:t>·cov</w:t>
      </w:r>
      <w:r>
        <w:rPr>
          <w:rFonts w:ascii="Arial" w:hAnsi="Arial" w:eastAsia="Arial" w:cs="Arial"/>
          <w:b w:val="0"/>
          <w:i w:val="0"/>
          <w:sz w:val="24"/>
          <w:vertAlign w:val="subscript"/>
        </w:rPr>
        <w:t>PanSci</w:t>
      </w:r>
      <w:r>
        <w:rPr>
          <w:rFonts w:ascii="Arial" w:hAnsi="Arial" w:eastAsia="Arial" w:cs="Arial"/>
          <w:b w:val="0"/>
          <w:i w:val="0"/>
          <w:sz w:val="24"/>
        </w:rPr>
        <w:t>. Classification followed the primary's regex (rank-1 driver matching ^(RPL|RPS|Rpl|Rps)\d → ribosomal). All 16 PanSci types were classified as cell-type-specific (0/16 ribosomal-dominated, vs 25/35 in primary 10x; Table S6 PanSci columns). The single mitochondrial rank-1 driver was MT-CO2 (plasma cell). The ribosomal-exclusion sensitivity analysis applied to the primary was not run on PanSci because no PanSci type has a ribosomal-protein rank-1 driver; the protocol-driven suppression of ribosomal-mRNA capture in snRNA-seq produces the equivalent isolation that the primary's gene-exclusion procedure achieves analytically.</w:t>
      </w:r>
    </w:p>
    <w:p>
      <w:pPr>
        <w:spacing w:line="480" w:lineRule="auto" w:after="0" w:before="0"/>
        <w:jc w:val="both"/>
      </w:pPr>
      <w:r>
        <w:rPr>
          <w:rFonts w:ascii="Arial" w:hAnsi="Arial" w:eastAsia="Arial" w:cs="Arial"/>
          <w:b w:val="0"/>
          <w:i w:val="0"/>
          <w:sz w:val="24"/>
        </w:rPr>
        <w:t>Implementation and outputs are provided in the accompanying repository. QC characteristics of the PanSci 16-type matched set are summarized as follows: 7 types have per-cell ortholog-detection proxy below 500 genes; 9 types are ≥80% concentrated in a single tissue of the lung/liver/colon PanSci panel; 3 types (epithelial cell, fibroblast, smooth muscle cell) are clean on both axes. The PanSci panel's multi-tissue composition mirrors the primary analysis's multi-tissue caveat at the centroid level.</w:t>
      </w:r>
    </w:p>
    <w:p>
      <w:pPr>
        <w:pStyle w:val="Heading2"/>
        <w:spacing w:line="480" w:lineRule="auto" w:after="120" w:before="360"/>
        <w:jc w:val="left"/>
      </w:pPr>
      <w:r>
        <w:rPr>
          <w:rFonts w:ascii="Arial" w:hAnsi="Arial" w:eastAsia="Arial" w:cs="Arial"/>
          <w:b/>
          <w:color w:val="000000"/>
          <w:sz w:val="28"/>
        </w:rPr>
        <w:t>SAMap validation and comparison</w:t>
      </w:r>
    </w:p>
    <w:p>
      <w:pPr>
        <w:spacing w:line="480" w:lineRule="auto" w:after="0" w:before="0"/>
        <w:jc w:val="both"/>
      </w:pPr>
      <w:r>
        <w:rPr>
          <w:rFonts w:ascii="Arial" w:hAnsi="Arial" w:eastAsia="Arial" w:cs="Arial"/>
          <w:b w:val="0"/>
          <w:i w:val="0"/>
          <w:sz w:val="24"/>
        </w:rPr>
        <w:t>SAMap[3] was used for two purposes: as an independent validation of the cell type pairings used in the Procrustes analysis, and as a methodological comparison to establish that CellWarp Procrustes residuals measure a different biological property from SAMap[3] correspondence scores. For this paper, SAMap[3] was extended from the initial 6-type subset pairing validation to the full 35-type ontology; the 35-type scores are the definitive pairing validation reported in this paper.</w:t>
      </w:r>
    </w:p>
    <w:p>
      <w:pPr>
        <w:spacing w:line="480" w:lineRule="auto" w:after="0" w:before="0"/>
        <w:jc w:val="both"/>
      </w:pPr>
      <w:r>
        <w:rPr>
          <w:rFonts w:ascii="Arial" w:hAnsi="Arial" w:eastAsia="Arial" w:cs="Arial"/>
          <w:b w:val="0"/>
          <w:i w:val="0"/>
          <w:sz w:val="24"/>
        </w:rPr>
        <w:t>SAMap[3] was run on the full 35-type matched set using the standard published pipeline (3 iterations, 1:1 ortholog gene neighborhood graph). Full re-description of the SAMap[3] algorithm is not provided here as the method is published; the implementation followed default parameters without modification.</w:t>
      </w:r>
    </w:p>
    <w:p>
      <w:pPr>
        <w:spacing w:line="480" w:lineRule="auto" w:after="0" w:before="0"/>
        <w:jc w:val="both"/>
      </w:pPr>
      <w:r>
        <w:rPr>
          <w:rFonts w:ascii="Arial" w:hAnsi="Arial" w:eastAsia="Arial" w:cs="Arial"/>
          <w:b w:val="0"/>
          <w:i w:val="0"/>
          <w:sz w:val="24"/>
        </w:rPr>
        <w:t>Correspondence scores across the 35 matched pairs were distributed as follows (Figure S5): 17 high-confidence pairings (score ≥0.6), 8 moderate (0.3–0.59), and 10 low (&lt;0.3). Twenty-four of 35 cell types had SAMap[3]'s highest correspondence score pointing to the same-name partner-species type; the remaining 11 showed within-lineage cross-mappings, where SAMap[3]'s highest correspondence pointed to a related but non-identical type in the partner species (for example, CD4+ T cell mapping to the parent T cell type, classical monocyte mapping to the broader monocyte category, and a reciprocal fibroblast/stromal cell confusion). Within-lineage cross-mappings are interpreted here as a resolution effect: SAMap[3]'s correspondence-score procedure operates on coarser-grained gene-expression neighborhoods than the per-type centroid distinction used by the CellWarp pairings, and tightly related types within a lineage may not be reliably distinguished. The CellWarp pairings were not revised based on SAMap[3] cross-mappings; the 24/35 same-name agreement provides direct pairing validation, and the 11/35 within-lineage cases are noted as a partial validation at coarser ontological resolution.</w:t>
      </w:r>
    </w:p>
    <w:p>
      <w:pPr>
        <w:spacing w:line="480" w:lineRule="auto" w:after="0" w:before="0"/>
        <w:jc w:val="both"/>
      </w:pPr>
      <w:r>
        <w:rPr>
          <w:rFonts w:ascii="Arial" w:hAnsi="Arial" w:eastAsia="Arial" w:cs="Arial"/>
          <w:b w:val="0"/>
          <w:i w:val="0"/>
          <w:sz w:val="24"/>
        </w:rPr>
        <w:t>No significant correlation was detected between SAMap[3] correspondence scores and CellWarp per-type Procrustes residuals (Spearman ρ = −0.247, p = 0.153, n = 35); they measure different biological properties. This independence is the expected and informative result: SAMap[3] correspondence scores capture how readily two cell types can be matched across species by gene expression similarity, while CellWarp residuals capture how much the geometric transformation between already-matched types displaces centroid position (higher residual = more divergent). A strong correlation between the two would suggest they are measuring the same thing; the observed independence confirms they are not.</w:t>
      </w:r>
    </w:p>
    <w:p>
      <w:pPr>
        <w:spacing w:line="480" w:lineRule="auto" w:after="0" w:before="0"/>
        <w:jc w:val="both"/>
      </w:pPr>
      <w:r>
        <w:rPr>
          <w:rFonts w:ascii="Arial" w:hAnsi="Arial" w:eastAsia="Arial" w:cs="Arial"/>
          <w:b w:val="0"/>
          <w:i w:val="0"/>
          <w:sz w:val="24"/>
        </w:rPr>
        <w:t>Among the most flexible types in the CellWarp ranking (rank 1–3 by Procrustes residual: stromal cell, epithelial cell, and hematopoietic precursor cell), all three fall within the SAMap[3] low-confidence subset (correspondence score &lt; 0.3). This co-localization is observational and is not reported as a formal enrichment statistic; across 35 cell types and 10 SAMap[3] low-confidence cases, ad-hoc hypergeometric tests under several flexible-set definitions (top-5 through top-17 by Procrustes residual rank) do not reach significance (best-case p = 0.13). The low-confidence SAMap[3] pairings are not interpreted as a concern about pairing quality; the observational co-localization with the most-flexible CellWarp types is consistent with both methods responding to the same underlying biological labile property at the few most divergent types, but the available sample size does not support a formal enrichment claim.</w:t>
      </w:r>
    </w:p>
    <w:p>
      <w:pPr>
        <w:pStyle w:val="Heading2"/>
        <w:spacing w:line="480" w:lineRule="auto" w:after="120" w:before="360"/>
        <w:jc w:val="left"/>
      </w:pPr>
      <w:r>
        <w:rPr>
          <w:rFonts w:ascii="Arial" w:hAnsi="Arial" w:eastAsia="Arial" w:cs="Arial"/>
          <w:b/>
          <w:color w:val="000000"/>
          <w:sz w:val="28"/>
        </w:rPr>
        <w:t>CellMarker identity gene set comparison</w:t>
      </w:r>
    </w:p>
    <w:p>
      <w:pPr>
        <w:spacing w:line="480" w:lineRule="auto" w:after="0" w:before="0"/>
        <w:jc w:val="both"/>
      </w:pPr>
      <w:r>
        <w:rPr>
          <w:rFonts w:ascii="Arial" w:hAnsi="Arial" w:eastAsia="Arial" w:cs="Arial"/>
          <w:b w:val="0"/>
          <w:i w:val="0"/>
          <w:sz w:val="24"/>
        </w:rPr>
        <w:t>The identity gene set was compared against CellMarker 2.0, an externally curated database of cell type marker genes assembled from published literature independently of the Tabula Sapiens[25] atlas and independently of the CellWarp analysis pipeline. CellMarker 2.0 marker genes were filtered to experimentally validated entries (flow cytometry, immunohistochemistry, and in situ hybridization) prior to all enrichment analyses (downloaded 2026-03-16). Comparison against an external database provides descriptive evidence that the identity genes identified by CellWarp reflect genuine cell type identity programs rather than dataset-specific expression artifacts.</w:t>
      </w:r>
    </w:p>
    <w:p>
      <w:pPr>
        <w:spacing w:line="480" w:lineRule="auto" w:after="0" w:before="0"/>
        <w:jc w:val="both"/>
      </w:pPr>
      <w:r>
        <w:rPr>
          <w:rFonts w:ascii="Arial" w:hAnsi="Arial" w:eastAsia="Arial" w:cs="Arial"/>
          <w:b w:val="0"/>
          <w:i w:val="0"/>
          <w:sz w:val="24"/>
        </w:rPr>
        <w:t>The overall identity gene set comprised the top 500 genes by centroid variance across all 35 cell type centroids; per-cell-type identity genes were defined as the 50 genes with the largest absolute deviation between each cell type's centroid and the global mean centroid across all 35 types, computed directly in the full 16,959-gene ortholog space. Per-cell-type comparison tested these genes against CellMarker 2.0 for the 6-type subset (B cell, CD4+ T cell, CD8+ T cell, endothelial cell, hepatocyte, and macrophage; defined in Data acquisition and cell type selection). The per-type test was developed in steps, reported here in full for transparency. The initial method selected each type's top 20 genes by Procrustes back-projection loading on the 6-type centroids and passed 3 of 6 types, indicating the gene set was underpowered for per-type resolution. The gene selection was then respecified to each type's top 50 genes by absolute deviation from the mean centroid; this respecification was data-informed, made after observing the 3/6 failure rate but before examining which specific types had failed or why, and on the 6-type centroids it passed 6 of 6. Because the 20-to-50 threshold change and the loading-to-deviation metric change were made together, the relative contribution of each cannot be separately attributed. The test was then recomputed on the 35-type centroids, to match the identity-gene-set definition above, which spans all 35 matched types, giving 5 of 6; the single non-passer, CD4+ T cell, reflects sparse CellMarker CD4 annotation (4 markers) and is recovered, with all six types passing, against the held-out Human Protein Atlas (HPA) reference (211 CD4 markers; reported below), whose marker assignments are curated independently of CellMarker 2.0. The overall 500-gene set p-value (2.10 × 10</w:t>
      </w:r>
      <w:r>
        <w:rPr>
          <w:rFonts w:ascii="Arial" w:hAnsi="Arial" w:eastAsia="Arial" w:cs="Arial"/>
          <w:b w:val="0"/>
          <w:i w:val="0"/>
          <w:sz w:val="24"/>
          <w:vertAlign w:val="superscript"/>
        </w:rPr>
        <w:t>−13</w:t>
      </w:r>
      <w:r>
        <w:rPr>
          <w:rFonts w:ascii="Arial" w:hAnsi="Arial" w:eastAsia="Arial" w:cs="Arial"/>
          <w:b w:val="0"/>
          <w:i w:val="0"/>
          <w:sz w:val="24"/>
        </w:rPr>
        <w:t>) should accordingly be interpreted as post-hoc rather than confirmatory, and the identity-gene-set method was data-informed. All results reported in this paper use the 50-gene centroid-deviation method throughout.</w:t>
      </w:r>
    </w:p>
    <w:p>
      <w:pPr>
        <w:spacing w:line="480" w:lineRule="auto" w:after="0" w:before="0"/>
        <w:jc w:val="both"/>
      </w:pPr>
      <w:r>
        <w:rPr>
          <w:rFonts w:ascii="Arial" w:hAnsi="Arial" w:eastAsia="Arial" w:cs="Arial"/>
          <w:b w:val="0"/>
          <w:i w:val="0"/>
          <w:sz w:val="24"/>
        </w:rPr>
        <w:t>The overall 500-gene identity set showed 4.49-fold enrichment in CellMarker 2.0 canonical marker gene sets (34 observed overlaps vs 7.58 expected, K = 257; one-sided hypergeometric test against the full 16,959-gene ortholog background; p = 2.10×10</w:t>
      </w:r>
      <w:r>
        <w:rPr>
          <w:rFonts w:ascii="Arial" w:hAnsi="Arial" w:eastAsia="Arial" w:cs="Arial"/>
          <w:b w:val="0"/>
          <w:i w:val="0"/>
          <w:sz w:val="24"/>
          <w:vertAlign w:val="superscript"/>
        </w:rPr>
        <w:t>−13</w:t>
      </w:r>
      <w:r>
        <w:rPr>
          <w:rFonts w:ascii="Arial" w:hAnsi="Arial" w:eastAsia="Arial" w:cs="Arial"/>
          <w:b w:val="0"/>
          <w:i w:val="0"/>
          <w:sz w:val="24"/>
        </w:rPr>
        <w:t>). Across the 6 tested cell types (B cell, CD4+ T cell, CD8+ T cell, endothelial cell, hepatocyte, and macrophage), the per-cell-type top 50 centroid-deviation genes passed the same enrichment test in 5 of 6 types. Representative CellMarker markers recovered include CD8A (CD8+ T cell), PECAM1 and VWF (endothelial cell), CD163 (macrophage), ALB and CPS1 (hepatocyte), CD74 (B cell), and PTPRC (CD4+ T cell; pan-leukocyte marker, not a CD4-specific match).</w:t>
      </w:r>
    </w:p>
    <w:p>
      <w:pPr>
        <w:spacing w:line="480" w:lineRule="auto" w:after="0" w:before="0"/>
        <w:jc w:val="both"/>
      </w:pPr>
      <w:r>
        <w:rPr>
          <w:rFonts w:ascii="Arial" w:hAnsi="Arial" w:eastAsia="Arial" w:cs="Arial"/>
          <w:b w:val="0"/>
          <w:i w:val="0"/>
          <w:sz w:val="24"/>
        </w:rPr>
        <w:t>To rule out a mean-variance artifact (the possibility that high-loading genes appear in CellMarker by coincidence because both select for highly expressed genes), an expression-matched control analysis was performed. For each of the 500 identity genes, the 10 non-identity genes closest in mean expression within ±10% of that gene's mean across the 35 type centroids were selected as controls, yielding 2,238 unique expression-matched background genes. Enrichment recomputed within this restricted background (2,738 genes total) remained highly significant (3.32-fold, p = 1.15×10</w:t>
      </w:r>
      <w:r>
        <w:rPr>
          <w:rFonts w:ascii="Arial" w:hAnsi="Arial" w:eastAsia="Arial" w:cs="Arial"/>
          <w:b w:val="0"/>
          <w:i w:val="0"/>
          <w:sz w:val="24"/>
          <w:vertAlign w:val="superscript"/>
        </w:rPr>
        <w:t>−12</w:t>
      </w:r>
      <w:r>
        <w:rPr>
          <w:rFonts w:ascii="Arial" w:hAnsi="Arial" w:eastAsia="Arial" w:cs="Arial"/>
          <w:b w:val="0"/>
          <w:i w:val="0"/>
          <w:sz w:val="24"/>
        </w:rPr>
        <w:t>), ruling out mean expression level as the driver of CellMarker enrichment. Of the 6 cell types tested individually, CD4-positive T cell did not pass the per-type test (top-50 centroid-deviation genes overlap with 0 of 4 CellMarker CD4 markers; p = 1.0). This is methodologically expected: CD4-positive T cell shares most of its expression profile with other T cell subtypes (CD8-positive T cell, helper T cell), so its centroid-deviation gene set captures cross-cluster contrasts (immune vs structural; lymphoid vs myeloid) rather than CD4-specific markers. The per-type test is underpowered for closely-related subtypes when identity genes are defined by deviation from a multi-lineage mean centroid.</w:t>
      </w:r>
    </w:p>
    <w:p>
      <w:pPr>
        <w:spacing w:line="480" w:lineRule="auto" w:after="0" w:before="0"/>
        <w:jc w:val="both"/>
      </w:pPr>
      <w:r>
        <w:rPr>
          <w:rFonts w:ascii="Arial" w:hAnsi="Arial" w:eastAsia="Arial" w:cs="Arial"/>
          <w:b w:val="0"/>
          <w:i w:val="0"/>
          <w:sz w:val="24"/>
        </w:rPr>
        <w:t>Two circularity concerns were addressed. First, identity genes were defined from Tabula Sapiens[25] centroids, the same atlas used for Procrustes. This is partially addressed by the CellMarker comparison itself: CellMarker 2.0 aggregates marker genes from many independent datasets and platforms, and enrichment confirms the identity genes are recognized in the broader literature, not specific to Tabula Sapiens, though CellMarker 2.0 is not strictly Tabula-Sapiens-independent (CellMarker may include markers reported in any literature that itself draws on Tabula Sapiens). Second, the enrichment test uses genes derived from the same Procrustes residuals that determine the per-type ranking. This is addressed by the direction of the test: enrichment asks whether CellWarp-selected genes appear in a fixed pre-existing marker set, not whether that set predicts CellWarp rankings. No CellMarker information entered the Procrustes pipeline at any stage.</w:t>
      </w:r>
    </w:p>
    <w:p>
      <w:pPr>
        <w:spacing w:line="480" w:lineRule="auto" w:after="0" w:before="0"/>
        <w:jc w:val="both"/>
      </w:pPr>
      <w:r>
        <w:rPr>
          <w:rFonts w:ascii="Arial" w:hAnsi="Arial" w:eastAsia="Arial" w:cs="Arial"/>
          <w:b/>
          <w:i w:val="0"/>
          <w:sz w:val="24"/>
        </w:rPr>
        <w:t>Independent replication on the Human Protein Atlas.</w:t>
      </w:r>
      <w:r>
        <w:rPr>
          <w:rFonts w:ascii="Arial" w:hAnsi="Arial" w:eastAsia="Arial" w:cs="Arial"/>
          <w:b w:val="0"/>
          <w:i w:val="0"/>
          <w:sz w:val="24"/>
        </w:rPr>
        <w:t xml:space="preserve"> To confirm the CellMarker enrichment against an independently curated marker reference, the same per-cell-type 50-gene centroid-deviation lists were tested against the Human Protein Atlas (HPA; proteinatlas.org, version dated 2025-11-14, accessed 2026-05-15). HPA's RNA single-cell type specificity classifications (Cell type enriched, Cell type enhanced, Group enriched) provide an independently curated marker set whose composition does not derive from CellMarker 2.0. All 6 validation cell types passed individually (per-type fold 13.4× to 28.3×, all p ≤ 1 × 10</w:t>
      </w:r>
      <w:r>
        <w:rPr>
          <w:rFonts w:ascii="Arial" w:hAnsi="Arial" w:eastAsia="Arial" w:cs="Arial"/>
          <w:b w:val="0"/>
          <w:i w:val="0"/>
          <w:sz w:val="24"/>
          <w:vertAlign w:val="superscript"/>
        </w:rPr>
        <w:t>−8</w:t>
      </w:r>
      <w:r>
        <w:rPr>
          <w:rFonts w:ascii="Arial" w:hAnsi="Arial" w:eastAsia="Arial" w:cs="Arial"/>
          <w:b w:val="0"/>
          <w:i w:val="0"/>
          <w:sz w:val="24"/>
        </w:rPr>
        <w:t>); notably, CD4-positive alpha-beta T cell, which failed the per-type CellMarker test, passes in HPA (14.5×, p = 9.7 × 10</w:t>
      </w:r>
      <w:r>
        <w:rPr>
          <w:rFonts w:ascii="Arial" w:hAnsi="Arial" w:eastAsia="Arial" w:cs="Arial"/>
          <w:b w:val="0"/>
          <w:i w:val="0"/>
          <w:sz w:val="24"/>
          <w:vertAlign w:val="superscript"/>
        </w:rPr>
        <w:t>−9</w:t>
      </w:r>
      <w:r>
        <w:rPr>
          <w:rFonts w:ascii="Arial" w:hAnsi="Arial" w:eastAsia="Arial" w:cs="Arial"/>
          <w:b w:val="0"/>
          <w:i w:val="0"/>
          <w:sz w:val="24"/>
        </w:rPr>
        <w:t>), indicating the CellMarker miss reflected the narrow CD4-specific marker set in that database rather than a limitation of the centroid-deviation method. The pooled enrichment yielded fold = 1.15× (observed 495 of 500 vs expected 429; p = 8.31 × 10</w:t>
      </w:r>
      <w:r>
        <w:rPr>
          <w:rFonts w:ascii="Arial" w:hAnsi="Arial" w:eastAsia="Arial" w:cs="Arial"/>
          <w:b w:val="0"/>
          <w:i w:val="0"/>
          <w:sz w:val="24"/>
          <w:vertAlign w:val="superscript"/>
        </w:rPr>
        <w:t>−27</w:t>
      </w:r>
      <w:r>
        <w:rPr>
          <w:rFonts w:ascii="Arial" w:hAnsi="Arial" w:eastAsia="Arial" w:cs="Arial"/>
          <w:b w:val="0"/>
          <w:i w:val="0"/>
          <w:sz w:val="24"/>
        </w:rPr>
        <w:t>), with expression-matched control fold = 1.17×, p = 5.20 × 10</w:t>
      </w:r>
      <w:r>
        <w:rPr>
          <w:rFonts w:ascii="Arial" w:hAnsi="Arial" w:eastAsia="Arial" w:cs="Arial"/>
          <w:b w:val="0"/>
          <w:i w:val="0"/>
          <w:sz w:val="24"/>
          <w:vertAlign w:val="superscript"/>
        </w:rPr>
        <w:t>−32</w:t>
      </w:r>
      <w:r>
        <w:rPr>
          <w:rFonts w:ascii="Arial" w:hAnsi="Arial" w:eastAsia="Arial" w:cs="Arial"/>
          <w:b w:val="0"/>
          <w:i w:val="0"/>
          <w:sz w:val="24"/>
        </w:rPr>
        <w:t>. HPA's broader marker definition (K = 14,559 genes vs CellMarker's K = 257) compresses fold-enrichment (both pooled and per-type) while strengthening absolute statistical significance at fixed query size; the cross-reference confirmation therefore rests on per-type significance and pass-rate rather than fold magnitude, with all six validation cell types significant under HPA, including CD4-positive alpha-beta T cell, which failed under CellMarker.</w:t>
      </w:r>
    </w:p>
    <w:p>
      <w:pPr>
        <w:pStyle w:val="Heading2"/>
        <w:spacing w:line="480" w:lineRule="auto" w:after="120" w:before="360"/>
        <w:jc w:val="left"/>
      </w:pPr>
      <w:r>
        <w:rPr>
          <w:rFonts w:ascii="Arial" w:hAnsi="Arial" w:eastAsia="Arial" w:cs="Arial"/>
          <w:b/>
          <w:color w:val="000000"/>
          <w:sz w:val="28"/>
        </w:rPr>
        <w:t>L1000 landmark gene analysis</w:t>
      </w:r>
    </w:p>
    <w:p>
      <w:pPr>
        <w:spacing w:line="480" w:lineRule="auto" w:after="0" w:before="0"/>
        <w:jc w:val="both"/>
      </w:pPr>
      <w:r>
        <w:rPr>
          <w:rFonts w:ascii="Arial" w:hAnsi="Arial" w:eastAsia="Arial" w:cs="Arial"/>
          <w:b w:val="0"/>
          <w:i w:val="0"/>
          <w:sz w:val="24"/>
        </w:rPr>
        <w:t>The sampling-robustness of the per-type divergence ranking was assessed using the L1000[35] landmark gene set, a panel of 978 genes selected by the Broad Institute for their ability to predict transcriptional responses across a broad range of chemical and genetic perturbations. The L1000 selection criterion, transcriptional predictability across perturbations, has no reference to cross-species conservation or cell type identity. This independence is the basis for the sampling-robustness claim: there is no a priori reason a gene set selected for perturbational predictability should preserve a cross-species geometric ranking, and any correlation observed is therefore a property of the data rather than an artifact of gene selection.</w:t>
      </w:r>
    </w:p>
    <w:p>
      <w:pPr>
        <w:spacing w:line="480" w:lineRule="auto" w:after="0" w:before="0"/>
        <w:jc w:val="both"/>
      </w:pPr>
      <w:r>
        <w:rPr>
          <w:rFonts w:ascii="Arial" w:hAnsi="Arial" w:eastAsia="Arial" w:cs="Arial"/>
          <w:b w:val="0"/>
          <w:i w:val="0"/>
          <w:sz w:val="24"/>
        </w:rPr>
        <w:t>Of the 978 L1000 genes, 907 were present in the 16,959-gene CellWarp ortholog space, representing 5.3% of the primary gene space. The per-type divergence ranking was recomputed in full using only these 907 genes, applying the same centroid computation, PCA projection, Procrustes superimposition, and permutation test procedure as the primary analysis, restricted to the 907-gene subspace. The ranking derived from this 5.3% gene subset was then compared to the full-space ranking by Spearman correlation across all 35 cell types.</w:t>
      </w:r>
    </w:p>
    <w:p>
      <w:pPr>
        <w:spacing w:line="480" w:lineRule="auto" w:after="0" w:before="0"/>
        <w:jc w:val="both"/>
      </w:pPr>
      <w:r>
        <w:rPr>
          <w:rFonts w:ascii="Arial" w:hAnsi="Arial" w:eastAsia="Arial" w:cs="Arial"/>
          <w:b w:val="0"/>
          <w:i w:val="0"/>
          <w:sz w:val="24"/>
        </w:rPr>
        <w:t>The 907-gene per-type divergence ranking correlated with the full-space ranking at Spearman ρ = 0.852, p = 8.92×10</w:t>
      </w:r>
      <w:r>
        <w:rPr>
          <w:rFonts w:ascii="Arial" w:hAnsi="Arial" w:eastAsia="Arial" w:cs="Arial"/>
          <w:b w:val="0"/>
          <w:i w:val="0"/>
          <w:sz w:val="24"/>
          <w:vertAlign w:val="superscript"/>
        </w:rPr>
        <w:t>−11</w:t>
      </w:r>
      <w:r>
        <w:rPr>
          <w:rFonts w:ascii="Arial" w:hAnsi="Arial" w:eastAsia="Arial" w:cs="Arial"/>
          <w:b w:val="0"/>
          <w:i w:val="0"/>
          <w:sz w:val="24"/>
        </w:rPr>
        <w:t>, n = 35 (95% CI [0.724, 0.923], computed via Fisher z-transform: SE = 1/√(n−3), z = arctanh(ρ), CI = tanh(z ± 1.96·SE), back-transformed to ρ-space; the Fisher-z approximation is standard practice for Spearman correlations at this sample size, though formally exact only for Pearson correlations on bivariate Gaussian data). The relative ordering of cell types by cross-species divergence is therefore preserved at 5.3% of the gene space, using a gene set selected on entirely independent grounds. This result establishes that the per-type divergence ranking is robust to gene-subset selection: it does not depend on inclusion of the full ortholog space and is not sensitive to the specific genes measured, provided those genes are sufficiently representative of the transcriptome.</w:t>
      </w:r>
    </w:p>
    <w:p>
      <w:pPr>
        <w:spacing w:line="480" w:lineRule="auto" w:after="0" w:before="0"/>
        <w:jc w:val="both"/>
      </w:pPr>
      <w:r>
        <w:rPr>
          <w:rFonts w:ascii="Arial" w:hAnsi="Arial" w:eastAsia="Arial" w:cs="Arial"/>
          <w:b w:val="0"/>
          <w:i w:val="0"/>
          <w:sz w:val="24"/>
        </w:rPr>
        <w:t>To assess whether this concordance reflects properties of the L1000 gene set rather than an artifact of gene count, ρ = 0.852 was compared against a null distribution of 1,000 random same-size (907-gene) subsets drawn from the full ortholog space (seed = 42). For each random subset, the per-type divergence ranking was recomputed by subsetting the corresponding columns of the pre-saved 35×16,959 species-specific centroid matrices (mathematically identical to recomputing centroids on the gene subset, since centroids are gene-marginals: the centroid of a subset of features is the corresponding subset of the full centroid), then re-running the full downstream pipeline (PCA fit at 95% variance threshold, Procrustes superimposition, per-type residual ranking) per iteration. The L1000 result reflects two findings: (i) at 907 genes, L1000 outperforms random subsets at empirical p = 0.031 (observed ρ = 0.852 exceeds the 95th percentile of the random baseline at ρ = 0.835; random mean ρ = 0.701 ± 0.089); (ii) by 2,000 genes, the random-baseline mean reaches ρ = 0.848, approaching the observed L1000 value. Together these indicate that the per-type divergence ranking is well-recovered from any moderately-sized representative gene subset, with L1000 providing a modest but statistically significant advantage at smaller gene-set sizes only.</w:t>
      </w:r>
    </w:p>
    <w:p>
      <w:pPr>
        <w:spacing w:line="480" w:lineRule="auto" w:after="0" w:before="0"/>
        <w:jc w:val="both"/>
      </w:pPr>
      <w:r>
        <w:rPr>
          <w:rFonts w:ascii="Arial" w:hAnsi="Arial" w:eastAsia="Arial" w:cs="Arial"/>
          <w:b w:val="0"/>
          <w:i w:val="0"/>
          <w:sz w:val="24"/>
        </w:rPr>
        <w:t>Per-gene cross-species conservation score and master-TF enrichment</w:t>
      </w:r>
    </w:p>
    <w:p>
      <w:pPr>
        <w:spacing w:line="480" w:lineRule="auto" w:after="0" w:before="0"/>
        <w:jc w:val="both"/>
      </w:pPr>
      <w:r>
        <w:rPr>
          <w:rFonts w:ascii="Arial" w:hAnsi="Arial" w:eastAsia="Arial" w:cs="Arial"/>
          <w:b w:val="0"/>
          <w:i w:val="0"/>
          <w:sz w:val="24"/>
        </w:rPr>
        <w:t>For each 1:1 ortholog, the conservation score C is the Pearson correlation between the gene's expression profile across the 35 matched cell-type centroids in human and the corresponding profile in mouse, computed directly on the deposited centroids and independent of the joint-PCA and Procrustes axes. Because Pearson correlation is mean-centered and scale-invariant, C measures conservation of the cell-type-specificity pattern rather than expression magnitude. Genes with a constant profile in either species (undefined correlation) were excluded from ranking, leaving 15,940 of 16,959 orthologs with a defined C (Table S11). As a non-circularity contrast, C was compared against the within-data axis-loading metric procrustes_contribution (each gene's loading on the between-type axes used by the alignment); the two orderings differ (Spearman ρ = 0.27), confirming C is not a restatement of a gene's contribution to the fitted geometry.</w:t>
      </w:r>
    </w:p>
    <w:p>
      <w:pPr>
        <w:spacing w:line="480" w:lineRule="auto" w:after="0" w:before="0"/>
        <w:jc w:val="both"/>
      </w:pPr>
      <w:r>
        <w:rPr>
          <w:rFonts w:ascii="Arial" w:hAnsi="Arial" w:eastAsia="Arial" w:cs="Arial"/>
          <w:b w:val="0"/>
          <w:i w:val="0"/>
          <w:sz w:val="24"/>
        </w:rPr>
        <w:t>Conserved-set properties were evaluated against matched-background nulls, never against all genes. The expression-matched null bins all valid orthologs into 20 equal-frequency bins of mean centroid expression and, for any target gene set, redraws from each bin the same number of genes the target occupies in that bin, without replacement. The joint expression-and-specificity-matched null uses 100 bins formed as the product of 10 equal-frequency mean-expression bins and 10 equal-frequency Tau-specificity bins (Tau computed on the 35 human centroids); against this joint null the master-TF median percentile is 0.76, which is the matched background reported in the text. The master-TF positive control is a pre-specified list of canonical lineage-defining (master) regulators mapped to the lineages of the 35 matched types: T/NKT/thymocyte (TCF7, LEF1, GATA3, TBX21, RUNX3, FOXP3, ETS1, BCL11B, ZEB1, TOX), NK (EOMES, ID2, NFIL3), B/plasma (PAX5, EBF1, POU2AF1, SPIB, IRF4, PRDM1, XBP1, BACH2), myeloid (SPI1, CEBPA, CEBPB, CEBPE, CEBPD, MAFB, IRF8, KLF4, BATF3), HSC/precursor (GATA1, GATA2, TAL1, RUNX1, GFI1B, MEIS1, HLF, KLF1), hepatocyte (HNF4A, FOXA1, FOXA2, ONECUT1, NR1H4, HNF1A), endothelial (ERG, FLI1, SOX17, SOX18, KLF2, FOXF1), smooth-muscle/cardiac/fibroblast/stromal (MYOCD, SRF, GATA4, NKX2-5, TBX5, MEF2C, TCF21, PRRX1, TWIST2), and epithelial/basal/secretory (TP63, GRHL2, ELF3, EHF, KLF5, CDX2, HNF1B, SPDEF, PTF1A, RBPJL, FOXA3, GATA6, SOX9, ASCL2). These 73 lineage entries are all unique genes, present in the 16,959-ortholog space with a defined C (zero ortholog attrition). The list is not exhaustive and omits some defensible canonical lineage masters, for example ATOH1 (intestinal secretory) and ZBTB16/PLZF (NKT); as a post-hoc sensitivity (the frozen list was not modified), adding these omitted masters leaves the master-TF median conservation percentile unchanged at 0.94. The test statistic is the median conservation percentile of the master TFs, with a one-sided empirical p against the matched null. The deposited gate and robustness scripts used 1,000 matched draws, giving the empirical floor p = 0.001 for both backgrounds; the reported p values come from a higher-resolution rerun at 10</w:t>
      </w:r>
      <w:r>
        <w:rPr>
          <w:rFonts w:ascii="Arial" w:hAnsi="Arial" w:eastAsia="Arial" w:cs="Arial"/>
          <w:b w:val="0"/>
          <w:i w:val="0"/>
          <w:sz w:val="24"/>
          <w:vertAlign w:val="superscript"/>
        </w:rPr>
        <w:t>6</w:t>
      </w:r>
      <w:r>
        <w:rPr>
          <w:rFonts w:ascii="Arial" w:hAnsi="Arial" w:eastAsia="Arial" w:cs="Arial"/>
          <w:b w:val="0"/>
          <w:i w:val="0"/>
          <w:sz w:val="24"/>
        </w:rPr>
        <w:t xml:space="preserve"> matched draws (highN_tf_pvalues.py), which leaves the medians unchanged (master TFs 0.94; expression-matched background 0.54; joint-matched background 0.76) and resolves both to p &lt; 10</w:t>
      </w:r>
      <w:r>
        <w:rPr>
          <w:rFonts w:ascii="Arial" w:hAnsi="Arial" w:eastAsia="Arial" w:cs="Arial"/>
          <w:b w:val="0"/>
          <w:i w:val="0"/>
          <w:sz w:val="24"/>
          <w:vertAlign w:val="superscript"/>
        </w:rPr>
        <w:t>−6</w:t>
      </w:r>
      <w:r>
        <w:rPr>
          <w:rFonts w:ascii="Arial" w:hAnsi="Arial" w:eastAsia="Arial" w:cs="Arial"/>
          <w:b w:val="0"/>
          <w:i w:val="0"/>
          <w:sz w:val="24"/>
        </w:rPr>
        <w:t xml:space="preserve"> (zero of 10</w:t>
      </w:r>
      <w:r>
        <w:rPr>
          <w:rFonts w:ascii="Arial" w:hAnsi="Arial" w:eastAsia="Arial" w:cs="Arial"/>
          <w:b w:val="0"/>
          <w:i w:val="0"/>
          <w:sz w:val="24"/>
          <w:vertAlign w:val="superscript"/>
        </w:rPr>
        <w:t>6</w:t>
      </w:r>
      <w:r>
        <w:rPr>
          <w:rFonts w:ascii="Arial" w:hAnsi="Arial" w:eastAsia="Arial" w:cs="Arial"/>
          <w:b w:val="0"/>
          <w:i w:val="0"/>
          <w:sz w:val="24"/>
        </w:rPr>
        <w:t xml:space="preserve"> draws reached the observed median). Coherent-enrichment tests of the conserved set against a transcription-factor reference and a CellMarker identity-marker reference use the same matched-null construction with Benjamini-Hochberg correction across the tested families.</w:t>
      </w:r>
    </w:p>
    <w:p>
      <w:pPr>
        <w:spacing w:line="480" w:lineRule="auto" w:after="0" w:before="0"/>
        <w:jc w:val="both"/>
      </w:pPr>
      <w:r>
        <w:rPr>
          <w:rFonts w:ascii="Arial" w:hAnsi="Arial" w:eastAsia="Arial" w:cs="Arial"/>
          <w:b w:val="0"/>
          <w:i w:val="0"/>
          <w:sz w:val="24"/>
        </w:rPr>
        <w:t>For the geometry-attribution analysis, the joint-PCA and Procrustes obs/null pipeline (Procrustes superimposition, above) was rebuilt on three gene sets: the conserved-C set (top quartile, 3,985 genes), the divergent-C set (bottom quartile, 3,985 genes), and 20 expression-matched-random sets of the same size as the conserved set, drawn from the 20-bin expression-matched null; each obs/null used 2,000 label permutations. Because the random sets match the conserved set's expression distribution, this contrast isolates conservation from expression amplitude. As pre-specified, the conserved set's absolute obs/null is partly expected from selection; the interpretable contrasts are conserved versus divergent and conserved versus expression-matched-random.</w:t>
      </w:r>
    </w:p>
    <w:p>
      <w:pPr>
        <w:spacing w:line="480" w:lineRule="auto" w:after="0" w:before="0"/>
        <w:jc w:val="both"/>
      </w:pPr>
      <w:r>
        <w:rPr>
          <w:rFonts w:ascii="Arial" w:hAnsi="Arial" w:eastAsia="Arial" w:cs="Arial"/>
          <w:b w:val="0"/>
          <w:i w:val="0"/>
          <w:sz w:val="24"/>
        </w:rPr>
        <w:t>Donor-split reproducibility of C was assessed by partitioning both atlases' donor pools (Tabula Sapiens and Tabula Muris Senis) into disjoint halves over 100 random splits, recomputing per-gene C in each half pair (human half against mouse half), and correlating the two halves by Spearman; a within-donor cell-split test-retest provided the cell-sampling ceiling and a gene-label shuffle provided the chance null. A fresh re-acquisition of the cells from CZ CELLxGENE Census (version 2025-11-08) recomputed centroids and C as a validity check. The conservation score, the matched-null construction, the master-TF list, the geometry attribution, and the donor-split design were specified in an internal analysis plan before the corresponding statistics were computed; that plan and the master-TF list are frozen and were not altered for this analysis. Because these analyses were pre-specified as a distinct module with their own matched-null thresholds, their significance is evaluated against those thresholds rather than the paper-wide Bonferroni family (k = 52; Table 1).</w:t>
      </w:r>
    </w:p>
    <w:p>
      <w:pPr>
        <w:pStyle w:val="Heading2"/>
        <w:spacing w:line="480" w:lineRule="auto" w:after="120" w:before="360"/>
        <w:jc w:val="left"/>
      </w:pPr>
      <w:r>
        <w:rPr>
          <w:rFonts w:ascii="Arial" w:hAnsi="Arial" w:eastAsia="Arial" w:cs="Arial"/>
          <w:b/>
          <w:color w:val="000000"/>
          <w:sz w:val="28"/>
        </w:rPr>
        <w:t>Permutation test and statistical framework</w:t>
      </w:r>
    </w:p>
    <w:p>
      <w:pPr>
        <w:spacing w:line="480" w:lineRule="auto" w:after="0" w:before="0"/>
        <w:jc w:val="both"/>
      </w:pPr>
      <w:r>
        <w:rPr>
          <w:rFonts w:ascii="Arial" w:hAnsi="Arial" w:eastAsia="Arial" w:cs="Arial"/>
          <w:b w:val="0"/>
          <w:i w:val="0"/>
          <w:sz w:val="24"/>
        </w:rPr>
        <w:t>The statistical significance of Procrustes coherence was assessed by permutation test (iteration count varied by analysis tier; see below). The null permutes cell type labels, not cells within types, testing whether the global geometric transformation aligns all cell types simultaneously better than chance. This distinction is critical: permuting cell type labels tests whether the observed coherence arises from a globally structured transformation, not whether individual cell types happen to be nearby in expression space. A null constructed by permuting cells within types would test a weaker and biologically uninteresting hypothesis (that centroid positions are stable) rather than the hypothesis of interest, which is that the cross-species transformation is geometrically coherent.</w:t>
      </w:r>
    </w:p>
    <w:p>
      <w:pPr>
        <w:spacing w:line="480" w:lineRule="auto" w:after="0" w:before="0"/>
        <w:jc w:val="both"/>
      </w:pPr>
      <w:r>
        <w:rPr>
          <w:rFonts w:ascii="Arial" w:hAnsi="Arial" w:eastAsia="Arial" w:cs="Arial"/>
          <w:b w:val="0"/>
          <w:i w:val="0"/>
          <w:sz w:val="24"/>
        </w:rPr>
        <w:t>In each permutation iteration, cell type labels were randomly reassigned across the cell type positions in the mouse configuration, and Procrustes distance was computed between the human configuration and the label-permuted mouse configuration using the same centering, scaling, and SVD rotation procedure as the primary analysis. The empirical p-value was computed under the conservative (n</w:t>
      </w:r>
      <w:r>
        <w:rPr>
          <w:rFonts w:ascii="Arial" w:hAnsi="Arial" w:eastAsia="Arial" w:cs="Arial"/>
          <w:b w:val="0"/>
          <w:i w:val="0"/>
          <w:sz w:val="24"/>
          <w:vertAlign w:val="subscript"/>
        </w:rPr>
        <w:t>leq</w:t>
      </w:r>
      <w:r>
        <w:rPr>
          <w:rFonts w:ascii="Arial" w:hAnsi="Arial" w:eastAsia="Arial" w:cs="Arial"/>
          <w:b w:val="0"/>
          <w:i w:val="0"/>
          <w:sz w:val="24"/>
        </w:rPr>
        <w:t xml:space="preserve"> + 1) / (n</w:t>
      </w:r>
      <w:r>
        <w:rPr>
          <w:rFonts w:ascii="Arial" w:hAnsi="Arial" w:eastAsia="Arial" w:cs="Arial"/>
          <w:b w:val="0"/>
          <w:i w:val="0"/>
          <w:sz w:val="24"/>
          <w:vertAlign w:val="subscript"/>
        </w:rPr>
        <w:t>permutations</w:t>
      </w:r>
      <w:r>
        <w:rPr>
          <w:rFonts w:ascii="Arial" w:hAnsi="Arial" w:eastAsia="Arial" w:cs="Arial"/>
          <w:b w:val="0"/>
          <w:i w:val="0"/>
          <w:sz w:val="24"/>
        </w:rPr>
        <w:t xml:space="preserve"> + 1) estimator, where n</w:t>
      </w:r>
      <w:r>
        <w:rPr>
          <w:rFonts w:ascii="Arial" w:hAnsi="Arial" w:eastAsia="Arial" w:cs="Arial"/>
          <w:b w:val="0"/>
          <w:i w:val="0"/>
          <w:sz w:val="24"/>
          <w:vertAlign w:val="subscript"/>
        </w:rPr>
        <w:t>leq</w:t>
      </w:r>
      <w:r>
        <w:rPr>
          <w:rFonts w:ascii="Arial" w:hAnsi="Arial" w:eastAsia="Arial" w:cs="Arial"/>
          <w:b w:val="0"/>
          <w:i w:val="0"/>
          <w:sz w:val="24"/>
        </w:rPr>
        <w:t xml:space="preserve"> is the number of permuted distances less than or equal to the observed Procrustes distance and n</w:t>
      </w:r>
      <w:r>
        <w:rPr>
          <w:rFonts w:ascii="Arial" w:hAnsi="Arial" w:eastAsia="Arial" w:cs="Arial"/>
          <w:b w:val="0"/>
          <w:i w:val="0"/>
          <w:sz w:val="24"/>
          <w:vertAlign w:val="subscript"/>
        </w:rPr>
        <w:t>permutations</w:t>
      </w:r>
      <w:r>
        <w:rPr>
          <w:rFonts w:ascii="Arial" w:hAnsi="Arial" w:eastAsia="Arial" w:cs="Arial"/>
          <w:b w:val="0"/>
          <w:i w:val="0"/>
          <w:sz w:val="24"/>
        </w:rPr>
        <w:t xml:space="preserve"> is the total iteration count; this convention avoids zero-valued p-values at the floor and was applied uniformly across all permutation tests reported in this study (primary 35-type analysis, replications, macaque, mouse lemur, lineage-stratified test, donor-split tests, and Layer 2 S-tests). The label-permutation null tests whether homologous cell types occupy geometrically corresponding positions across species.</w:t>
      </w:r>
    </w:p>
    <w:p>
      <w:pPr>
        <w:spacing w:line="480" w:lineRule="auto" w:after="0" w:before="0"/>
        <w:jc w:val="both"/>
      </w:pPr>
      <w:r>
        <w:rPr>
          <w:rFonts w:ascii="Arial" w:hAnsi="Arial" w:eastAsia="Arial" w:cs="Arial"/>
          <w:b w:val="0"/>
          <w:i w:val="0"/>
          <w:sz w:val="24"/>
        </w:rPr>
        <w:t>A lineage-stratified permutation test was also conducted in which cell type labels were permuted only within five lineage blocks: immune/hematopoietic (18 types), epithelial (8 types), stromal/mesenchymal (7 types), endothelial (1 type, singleton), and metabolic/parenchymal (1 type, singleton). Lineage assignments were based on Cell Ontology lineage; ambiguous types (hematopoietic precursor/stem cells, mesenchymal stem cells) were assigned to their differentiation lineage. Singleton blocks remain correctly matched in all permutations, making the within-lineage null more conservative. This test asks whether per-type positional correspondence is conserved beyond what lineage membership alone predicts (obs/null = 0.668, p &lt; 10</w:t>
      </w:r>
      <w:r>
        <w:rPr>
          <w:rFonts w:ascii="Arial" w:hAnsi="Arial" w:eastAsia="Arial" w:cs="Arial"/>
          <w:b w:val="0"/>
          <w:i w:val="0"/>
          <w:sz w:val="24"/>
          <w:vertAlign w:val="superscript"/>
        </w:rPr>
        <w:t>−4</w:t>
      </w:r>
      <w:r>
        <w:rPr>
          <w:rFonts w:ascii="Arial" w:hAnsi="Arial" w:eastAsia="Arial" w:cs="Arial"/>
          <w:b w:val="0"/>
          <w:i w:val="0"/>
          <w:sz w:val="24"/>
        </w:rPr>
        <w:t>, 10,000 iterations; full lineage assignments in the code repository). The 18-type immune block dominates the test's discriminative power, and the within-lineage null is 21.9% tighter than the global null.</w:t>
      </w:r>
    </w:p>
    <w:p>
      <w:pPr>
        <w:spacing w:line="480" w:lineRule="auto" w:after="0" w:before="0"/>
        <w:jc w:val="both"/>
      </w:pPr>
      <w:r>
        <w:rPr>
          <w:rFonts w:ascii="Arial" w:hAnsi="Arial" w:eastAsia="Arial" w:cs="Arial"/>
          <w:b w:val="0"/>
          <w:i w:val="0"/>
          <w:sz w:val="24"/>
        </w:rPr>
        <w:t>For the primary Procrustes coherence result (35-type human–mouse analysis), significance was assessed with 1,000,000 permutations; zero of 1,000,000 permuted configurations produced a Procrustes distance equal to or less than the observed value (observed = 61.15; nearest null = 98.88), yielding p &lt; 10</w:t>
      </w:r>
      <w:r>
        <w:rPr>
          <w:rFonts w:ascii="Arial" w:hAnsi="Arial" w:eastAsia="Arial" w:cs="Arial"/>
          <w:b w:val="0"/>
          <w:i w:val="0"/>
          <w:sz w:val="24"/>
          <w:vertAlign w:val="superscript"/>
        </w:rPr>
        <w:t>−6</w:t>
      </w:r>
      <w:r>
        <w:rPr>
          <w:rFonts w:ascii="Arial" w:hAnsi="Arial" w:eastAsia="Arial" w:cs="Arial"/>
          <w:b w:val="0"/>
          <w:i w:val="0"/>
          <w:sz w:val="24"/>
        </w:rPr>
        <w:t>. Replication datasets, mechanistic nulls, and secondary analyses used 10,000 permutations (floor p &lt; 10</w:t>
      </w:r>
      <w:r>
        <w:rPr>
          <w:rFonts w:ascii="Arial" w:hAnsi="Arial" w:eastAsia="Arial" w:cs="Arial"/>
          <w:b w:val="0"/>
          <w:i w:val="0"/>
          <w:sz w:val="24"/>
          <w:vertAlign w:val="superscript"/>
        </w:rPr>
        <w:t>−4</w:t>
      </w:r>
      <w:r>
        <w:rPr>
          <w:rFonts w:ascii="Arial" w:hAnsi="Arial" w:eastAsia="Arial" w:cs="Arial"/>
          <w:b w:val="0"/>
          <w:i w:val="0"/>
          <w:sz w:val="24"/>
        </w:rPr>
        <w:t>). All tests reporting p &lt; 10</w:t>
      </w:r>
      <w:r>
        <w:rPr>
          <w:rFonts w:ascii="Arial" w:hAnsi="Arial" w:eastAsia="Arial" w:cs="Arial"/>
          <w:b w:val="0"/>
          <w:i w:val="0"/>
          <w:sz w:val="24"/>
          <w:vertAlign w:val="superscript"/>
        </w:rPr>
        <w:t>−4</w:t>
      </w:r>
      <w:r>
        <w:rPr>
          <w:rFonts w:ascii="Arial" w:hAnsi="Arial" w:eastAsia="Arial" w:cs="Arial"/>
          <w:b w:val="0"/>
          <w:i w:val="0"/>
          <w:sz w:val="24"/>
        </w:rPr>
        <w:t xml:space="preserve"> indicate that zero of 10,000 permutations produced a distance ≤ the observed value.</w:t>
      </w:r>
    </w:p>
    <w:p>
      <w:pPr>
        <w:spacing w:line="480" w:lineRule="auto" w:after="0" w:before="0"/>
        <w:jc w:val="both"/>
      </w:pPr>
      <w:r>
        <w:rPr>
          <w:rFonts w:ascii="Arial" w:hAnsi="Arial" w:eastAsia="Arial" w:cs="Arial"/>
          <w:b w:val="0"/>
          <w:i w:val="0"/>
          <w:sz w:val="24"/>
        </w:rPr>
        <w:t>The observed-to-null ratio, defined as the ratio of the observed Procrustes distance to the median Procrustes distance across permutation iterations, is reported alongside the p-value for each analysis as the primary effect size measure. This ratio quantifies how much more compressed the observed alignment is relative to chance expectation, and is comparable across datasets and cell type sets of different sizes. A ratio of 1.0 indicates no geometric coherence beyond chance; ratios substantially below 1.0 indicate progressively stronger coherence. Permutation null distributions are computed separately for each analysis and their medians vary with the number of cell types; obs/null ratios from analyses with different n are therefore not directly comparable as effect sizes.</w:t>
      </w:r>
    </w:p>
    <w:p>
      <w:pPr>
        <w:spacing w:line="480" w:lineRule="auto" w:after="0" w:before="0"/>
        <w:jc w:val="both"/>
      </w:pPr>
      <w:r>
        <w:rPr>
          <w:rFonts w:ascii="Arial" w:hAnsi="Arial" w:eastAsia="Arial" w:cs="Arial"/>
          <w:b w:val="0"/>
          <w:i w:val="0"/>
          <w:sz w:val="24"/>
        </w:rPr>
        <w:t>All tests were one-tailed in the direction of geometric coherence (observed Procrustes distance less than permuted). The significance threshold was set at α = 0.01 for primary Procrustes coherence tests, pre-specified before analysis. All primary analyses exceed this threshold by a substantial margin (p &lt; 10</w:t>
      </w:r>
      <w:r>
        <w:rPr>
          <w:rFonts w:ascii="Arial" w:hAnsi="Arial" w:eastAsia="Arial" w:cs="Arial"/>
          <w:b w:val="0"/>
          <w:i w:val="0"/>
          <w:sz w:val="24"/>
          <w:vertAlign w:val="superscript"/>
        </w:rPr>
        <w:t>−4</w:t>
      </w:r>
      <w:r>
        <w:rPr>
          <w:rFonts w:ascii="Arial" w:hAnsi="Arial" w:eastAsia="Arial" w:cs="Arial"/>
          <w:b w:val="0"/>
          <w:i w:val="0"/>
          <w:sz w:val="24"/>
        </w:rPr>
        <w:t>, the permutation floor), making the threshold choice inconsequential for the reported results. Secondary analyses, including mechanistic null tests and Spearman correlation tests, used α = 0.05 unless otherwise pre-specified. Although each replication is arguably an independent re-test of the same hypothesis rather than a member of a related family, the paper-wide Bonferroni correction (k = 52) is nonetheless applied uniformly to the replication tests for completeness (Table 1); all four remain significant after correction (raw p = 0.0001 → corrected p = 0.0052). All Spearman rank correlation tests reported in this study are two-tailed. No analysis in this study was registered with an external pre-registration repository; "pre-specified" throughout denotes a design or threshold decision fixed before the corresponding result was observed.</w:t>
      </w:r>
    </w:p>
    <w:p>
      <w:pPr>
        <w:pStyle w:val="Heading2"/>
        <w:spacing w:line="480" w:lineRule="auto" w:after="120" w:before="360"/>
        <w:jc w:val="left"/>
      </w:pPr>
      <w:r>
        <w:rPr>
          <w:rFonts w:ascii="Arial" w:hAnsi="Arial" w:eastAsia="Arial" w:cs="Arial"/>
          <w:b/>
          <w:color w:val="000000"/>
          <w:sz w:val="28"/>
        </w:rPr>
        <w:t>Leave-one-out cross-validation</w:t>
      </w:r>
    </w:p>
    <w:p>
      <w:pPr>
        <w:spacing w:line="480" w:lineRule="auto" w:after="0" w:before="0"/>
        <w:jc w:val="both"/>
      </w:pPr>
      <w:r>
        <w:rPr>
          <w:rFonts w:ascii="Arial" w:hAnsi="Arial" w:eastAsia="Arial" w:cs="Arial"/>
          <w:b w:val="0"/>
          <w:i w:val="0"/>
          <w:sz w:val="24"/>
        </w:rPr>
        <w:t>The predictive stability of the per-type divergence ranking was assessed by leave-one-out cross-validation (LOOCV) across the 35-type cell type set. In each fold, PCA was recomputed from scratch on the 68 training centroids only (34 human, 34 mouse), using the same 95% variance threshold as the primary analysis. The withheld cell type pair did not participate in PCA fitting; its centroids were projected into the training-derived PCA subspace by multiplying the held-out centroids with the loading matrix learned from the 34-pair training set. The number of components selected by the 95% threshold was stable across all 35 folds: range 32–33, mode = 32, consistent with the 33-component solution from the full 70-centroid analysis. The rotation matrix was computed on the remaining 34 types, and the withheld type's human centroid position in PCA space was predicted by applying that rotation to its mouse centroid. Prediction error was quantified as the Euclidean distance between the predicted and observed human positions. The null distance for each held-out type was computed as the mean Euclidean distance from the predicted position to all 34 training human centroids in PCA space, representing the expected error under random cell type pairing. A ratio below 1.0 indicates that the model predicts the held-out type's position better than random pairing; a ratio of 0.0 would indicate perfect prediction.</w:t>
      </w:r>
    </w:p>
    <w:p>
      <w:pPr>
        <w:spacing w:line="480" w:lineRule="auto" w:after="0" w:before="0"/>
        <w:jc w:val="both"/>
      </w:pPr>
      <w:r>
        <w:rPr>
          <w:rFonts w:ascii="Arial" w:hAnsi="Arial" w:eastAsia="Arial" w:cs="Arial"/>
          <w:b w:val="0"/>
          <w:i w:val="0"/>
          <w:sz w:val="24"/>
        </w:rPr>
        <w:t>All 35 cell types were predicted better than chance (35/35 error-to-null ratios below 1.0). The mean error-to-null ratio across all types was 0.4201, indicating that predictions were on average 58% better than random pairing. Predictive accuracy varied systematically across cell types: the best-predicted type was CD8+ T cell (ratio = 0.226) and the hardest to predict was hematopoietic stem cell (ratio = 0.796), consistent with the pattern of Procrustes residuals in which immune effector types occupy the most conserved positions and progenitor types the least; the least-predictable types are, however, largely broad parent or progenitor labels whose residuals may partly reflect cross-species subtype-composition differences rather than resolved biological divergence.</w:t>
      </w:r>
    </w:p>
    <w:p>
      <w:pPr>
        <w:spacing w:line="480" w:lineRule="auto" w:after="0" w:before="0"/>
        <w:jc w:val="both"/>
      </w:pPr>
      <w:r>
        <w:rPr>
          <w:rFonts w:ascii="Arial" w:hAnsi="Arial" w:eastAsia="Arial" w:cs="Arial"/>
          <w:b w:val="0"/>
          <w:i w:val="0"/>
          <w:sz w:val="24"/>
        </w:rPr>
        <w:t>By lineage category, mean error-to-null ratios were: immune 0.39, structural 0.39, epithelial 0.45, and stem/progenitor 0.52. The stem/progenitor category was the hardest to predict as a group, consistent with the higher geometric divergence of progenitor types observed in the full analysis. This pattern should be interpreted as a trend: as established in Data acquisition and cell type selection, the Smart-seq2 protocol composition in Tabula Muris Senis[26] is highest in progenitor-type annotations, and the 10x-only sensitivity analysis weakens the progenitor divergence finding. The elevated stem/progenitor LOOCV error is directionally consistent with greater evolutionary flexibility in these types, but is not treated as a confirmed finding pending replication in a protocol-homogeneous dataset. The four LOOCV lineage categories collapse the five-category permutation-framework taxonomy (Permutation test and statistical framework) as follows: "structural" pools the stromal/mesenchymal, endothelial, and metabolic/parenchymal blocks; "stem/progenitor" is regrouped from hematopoietic stem cell, hematopoietic precursor cell, and mesenchymal stem cell, which the permutation framework otherwise distributes across the immune/hematopoietic and stromal/mesenchymal blocks; "immune" and "epithelial" map directly.</w:t>
      </w:r>
    </w:p>
    <w:p>
      <w:pPr>
        <w:pStyle w:val="Heading2"/>
        <w:spacing w:line="480" w:lineRule="auto" w:after="120" w:before="360"/>
        <w:jc w:val="left"/>
      </w:pPr>
      <w:r>
        <w:rPr>
          <w:rFonts w:ascii="Arial" w:hAnsi="Arial" w:eastAsia="Arial" w:cs="Arial"/>
          <w:b/>
          <w:color w:val="000000"/>
          <w:sz w:val="28"/>
        </w:rPr>
        <w:t>Bootstrap robustness</w:t>
      </w:r>
    </w:p>
    <w:p>
      <w:pPr>
        <w:spacing w:line="480" w:lineRule="auto" w:after="0" w:before="0"/>
        <w:jc w:val="both"/>
      </w:pPr>
      <w:r>
        <w:rPr>
          <w:rFonts w:ascii="Arial" w:hAnsi="Arial" w:eastAsia="Arial" w:cs="Arial"/>
          <w:b w:val="0"/>
          <w:i w:val="0"/>
          <w:sz w:val="24"/>
        </w:rPr>
        <w:t>The stability of the Procrustes coherence signal was assessed by bootstrap resampling. In each of 100 bootstrap iterations, 50% of cells were randomly subsampled per type per species prior to centroid computation, and Procrustes superimposition was performed on the resampled centroids. Statistical significance within each iteration was assessed by permutation test with 1,000 permutations, using the same label-permutation null described in Permutation test and statistical framework. Bootstrap robustness as defined here tests pipeline-level Procrustes-distance stability under cell sampling; per-type divergence ranking stability under bootstrap is reported separately in Bootstrap ranking analysis below.</w:t>
      </w:r>
    </w:p>
    <w:p>
      <w:pPr>
        <w:spacing w:line="480" w:lineRule="auto" w:after="0" w:before="0"/>
        <w:jc w:val="both"/>
      </w:pPr>
      <w:r>
        <w:rPr>
          <w:rFonts w:ascii="Arial" w:hAnsi="Arial" w:eastAsia="Arial" w:cs="Arial"/>
          <w:b w:val="0"/>
          <w:i w:val="0"/>
          <w:sz w:val="24"/>
        </w:rPr>
        <w:t>The primary robustness measure is the coefficient of variation (CV) of the Procrustes distance across the 100 bootstrap resamples. The CV is the ratio of the standard deviation to the mean of the per-iteration Procrustes distances. A low CV indicates that the geometric signal is stable to cell sampling and is not driven by any particular subset of cells within any type. The observed CV was 0.004 (mean Procrustes distance 61.18, standard deviation 0.24). This value is approximately 50 times below the pre-specified robustness gate criterion of CV = 0.2, which was established prior to analysis as the threshold above which centroid instability would have been considered a confound requiring remediation. All 100 bootstrap iterations were statistically significant at the α = 0.01 threshold (100/100, p &lt; 0.01 in each iteration).</w:t>
      </w:r>
    </w:p>
    <w:p>
      <w:pPr>
        <w:spacing w:line="480" w:lineRule="auto" w:after="0" w:before="0"/>
        <w:jc w:val="both"/>
      </w:pPr>
      <w:r>
        <w:rPr>
          <w:rFonts w:ascii="Arial" w:hAnsi="Arial" w:eastAsia="Arial" w:cs="Arial"/>
          <w:b w:val="0"/>
          <w:i w:val="0"/>
          <w:sz w:val="24"/>
        </w:rPr>
        <w:t>The number of PCA components selected by the 95% variance threshold was consistent across all 100 bootstrap iterations at 33 components, confirming that the dimensionality of the biologically informative subspace is stable to cell sampling and does not depend on the specific cells included in any given centroid estimate.</w:t>
      </w:r>
    </w:p>
    <w:p>
      <w:pPr>
        <w:pStyle w:val="Heading2"/>
        <w:spacing w:line="480" w:lineRule="auto" w:after="120" w:before="360"/>
        <w:jc w:val="left"/>
      </w:pPr>
      <w:r>
        <w:rPr>
          <w:rFonts w:ascii="Arial" w:hAnsi="Arial" w:eastAsia="Arial" w:cs="Arial"/>
          <w:b/>
          <w:color w:val="000000"/>
          <w:sz w:val="28"/>
        </w:rPr>
        <w:t>Mantel test</w:t>
      </w:r>
    </w:p>
    <w:p>
      <w:pPr>
        <w:spacing w:line="480" w:lineRule="auto" w:after="0" w:before="0"/>
        <w:jc w:val="both"/>
      </w:pPr>
      <w:r>
        <w:rPr>
          <w:rFonts w:ascii="Arial" w:hAnsi="Arial" w:eastAsia="Arial" w:cs="Arial"/>
          <w:b w:val="0"/>
          <w:i w:val="0"/>
          <w:sz w:val="24"/>
        </w:rPr>
        <w:t>To validate the Procrustes coherence result under a weaker geometric assumption, testing whether pairwise distance structure is conserved without requiring a single linear transformation, a Mantel test was applied to the 35 cell-type centroids in the 33-component PCA space. Euclidean pairwise distance matrices were computed independently for human and mouse centroids, yielding two 35 × 35 symmetric matrices. The correlation between these matrices was assessed using both Pearson (r = 0.789) and Spearman (ρ = 0.737) coefficients, with significance determined by 10,000 label permutations (both p &lt; 0.001). The Mantel test confirms that the relative spacing among cell types is conserved across species without assuming the global rotation-and-scaling model imposed by Procrustes superimposition. Mantel-significance is implied by Procrustes-significance under the present model but does not by itself imply Procrustes-significance.</w:t>
      </w:r>
    </w:p>
    <w:p>
      <w:pPr>
        <w:pStyle w:val="Heading2"/>
        <w:spacing w:line="480" w:lineRule="auto" w:after="120" w:before="360"/>
        <w:jc w:val="left"/>
      </w:pPr>
      <w:r>
        <w:rPr>
          <w:rFonts w:ascii="Arial" w:hAnsi="Arial" w:eastAsia="Arial" w:cs="Arial"/>
          <w:b/>
          <w:color w:val="000000"/>
          <w:sz w:val="28"/>
        </w:rPr>
        <w:t>Cell count confound analysis</w:t>
      </w:r>
    </w:p>
    <w:p>
      <w:pPr>
        <w:spacing w:line="480" w:lineRule="auto" w:after="0" w:before="0"/>
        <w:jc w:val="both"/>
      </w:pPr>
      <w:r>
        <w:rPr>
          <w:rFonts w:ascii="Arial" w:hAnsi="Arial" w:eastAsia="Arial" w:cs="Arial"/>
          <w:b w:val="0"/>
          <w:i w:val="0"/>
          <w:sz w:val="24"/>
        </w:rPr>
        <w:t>To rule out the possibility that per-type cell count drives the per-type divergence ranking (the prediction that cell types with more cells would yield more stable centroids and therefore smaller Procrustes residuals), the correlation between cell count (total cells per type across both species after the 2,000-cell cap) and Procrustes residual was assessed. The correlation was non-significant and in the opposite direction from a cell-count confound prediction (Spearman ρ = 0.052, p = 0.768, n = 35). A partial correlation controlling for lineage membership confirmed the null (partial ρ = 0.061, p = 0.732). Cell count does not confound the per-type divergence ranking.</w:t>
      </w:r>
    </w:p>
    <w:p>
      <w:pPr>
        <w:pStyle w:val="Heading2"/>
        <w:spacing w:line="480" w:lineRule="auto" w:after="120" w:before="360"/>
        <w:jc w:val="left"/>
      </w:pPr>
      <w:r>
        <w:rPr>
          <w:rFonts w:ascii="Arial" w:hAnsi="Arial" w:eastAsia="Arial" w:cs="Arial"/>
          <w:b/>
          <w:color w:val="000000"/>
          <w:sz w:val="28"/>
        </w:rPr>
        <w:t>Mechanistic null tests</w:t>
      </w:r>
    </w:p>
    <w:p>
      <w:pPr>
        <w:spacing w:line="480" w:lineRule="auto" w:after="0" w:before="0"/>
        <w:jc w:val="both"/>
      </w:pPr>
      <w:r>
        <w:rPr>
          <w:rFonts w:ascii="Arial" w:hAnsi="Arial" w:eastAsia="Arial" w:cs="Arial"/>
          <w:b w:val="0"/>
          <w:i w:val="0"/>
          <w:sz w:val="24"/>
        </w:rPr>
        <w:t>Ten independent mechanistic hypotheses for the cellular basis of cross-species divergence were tested; none reached significance. Statistical power to detect moderate effects (ρ ≈ 0.30) is approximately 37% at n = 35 (sample size per test in the table below). Power was estimated under a Fisher z-transform approximation at n = 35, α = 0.05; all reported correlation tests use the two-tailed convention, and the ~37% figure is a conservative estimate that does not overstate sensitivity.</w:t>
      </w:r>
    </w:p>
    <w:p>
      <w:pPr>
        <w:spacing w:line="480" w:lineRule="auto" w:after="0" w:before="0"/>
        <w:jc w:val="both"/>
      </w:pPr>
      <w:r>
        <w:rPr>
          <w:rFonts w:ascii="Arial" w:hAnsi="Arial" w:eastAsia="Arial" w:cs="Arial"/>
          <w:b w:val="0"/>
          <w:i w:val="0"/>
          <w:sz w:val="24"/>
        </w:rPr>
        <w:t>All correlations are Spearman ρ against the 35-type per-type divergence ranking unless otherwise specified.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after="40" w:before="40"/>
            </w:pPr>
            <w:r>
              <w:rPr>
                <w:rFonts w:ascii="Arial" w:hAnsi="Arial" w:eastAsia="Arial" w:cs="Arial"/>
                <w:b/>
                <w:i w:val="0"/>
                <w:sz w:val="18"/>
              </w:rPr>
              <w:t>#</w:t>
            </w:r>
          </w:p>
        </w:tc>
        <w:tc>
          <w:tcPr>
            <w:tcW w:type="dxa" w:w="2340"/>
          </w:tcPr>
          <w:p>
            <w:pPr>
              <w:spacing w:line="240" w:lineRule="auto" w:after="40" w:before="40"/>
            </w:pPr>
            <w:r>
              <w:rPr>
                <w:rFonts w:ascii="Arial" w:hAnsi="Arial" w:eastAsia="Arial" w:cs="Arial"/>
                <w:b/>
                <w:i w:val="0"/>
                <w:sz w:val="18"/>
              </w:rPr>
              <w:t>Hypothesis tested</w:t>
            </w:r>
          </w:p>
        </w:tc>
        <w:tc>
          <w:tcPr>
            <w:tcW w:type="dxa" w:w="2340"/>
          </w:tcPr>
          <w:p>
            <w:pPr>
              <w:spacing w:line="240" w:lineRule="auto" w:after="40" w:before="40"/>
            </w:pPr>
            <w:r>
              <w:rPr>
                <w:rFonts w:ascii="Arial" w:hAnsi="Arial" w:eastAsia="Arial" w:cs="Arial"/>
                <w:b/>
                <w:i w:val="0"/>
                <w:sz w:val="18"/>
              </w:rPr>
              <w:t>Data source</w:t>
            </w:r>
          </w:p>
        </w:tc>
        <w:tc>
          <w:tcPr>
            <w:tcW w:type="dxa" w:w="2340"/>
          </w:tcPr>
          <w:p>
            <w:pPr>
              <w:spacing w:line="240" w:lineRule="auto" w:after="40" w:before="40"/>
            </w:pPr>
            <w:r>
              <w:rPr>
                <w:rFonts w:ascii="Arial" w:hAnsi="Arial" w:eastAsia="Arial" w:cs="Arial"/>
                <w:b/>
                <w:i w:val="0"/>
                <w:sz w:val="18"/>
              </w:rPr>
              <w:t>Result</w:t>
            </w:r>
          </w:p>
        </w:tc>
      </w:tr>
      <w:tr>
        <w:tc>
          <w:tcPr>
            <w:tcW w:type="dxa" w:w="2340"/>
          </w:tcPr>
          <w:p>
            <w:pPr>
              <w:spacing w:line="240" w:lineRule="auto" w:after="40" w:before="40"/>
            </w:pPr>
            <w:r>
              <w:rPr>
                <w:rFonts w:ascii="Arial" w:hAnsi="Arial" w:eastAsia="Arial" w:cs="Arial"/>
                <w:b w:val="0"/>
                <w:i w:val="0"/>
                <w:sz w:val="18"/>
              </w:rPr>
              <w:t>1</w:t>
            </w:r>
          </w:p>
        </w:tc>
        <w:tc>
          <w:tcPr>
            <w:tcW w:type="dxa" w:w="2340"/>
          </w:tcPr>
          <w:p>
            <w:pPr>
              <w:spacing w:line="240" w:lineRule="auto" w:after="40" w:before="40"/>
            </w:pPr>
            <w:r>
              <w:rPr>
                <w:rFonts w:ascii="Arial" w:hAnsi="Arial" w:eastAsia="Arial" w:cs="Arial"/>
                <w:b w:val="0"/>
                <w:i w:val="0"/>
                <w:sz w:val="18"/>
              </w:rPr>
              <w:t>Housekeeping gene ratio</w:t>
            </w:r>
          </w:p>
        </w:tc>
        <w:tc>
          <w:tcPr>
            <w:tcW w:type="dxa" w:w="2340"/>
          </w:tcPr>
          <w:p>
            <w:pPr>
              <w:spacing w:line="240" w:lineRule="auto" w:after="40" w:before="40"/>
            </w:pPr>
            <w:r>
              <w:rPr>
                <w:rFonts w:ascii="Arial" w:hAnsi="Arial" w:eastAsia="Arial" w:cs="Arial"/>
                <w:b w:val="0"/>
                <w:i w:val="0"/>
                <w:sz w:val="18"/>
              </w:rPr>
              <w:t>Eisenberg and Levanon[46] housekeeping gene list</w:t>
            </w:r>
          </w:p>
        </w:tc>
        <w:tc>
          <w:tcPr>
            <w:tcW w:type="dxa" w:w="2340"/>
          </w:tcPr>
          <w:p>
            <w:pPr>
              <w:spacing w:line="240" w:lineRule="auto" w:after="40" w:before="40"/>
            </w:pPr>
            <w:r>
              <w:rPr>
                <w:rFonts w:ascii="Arial" w:hAnsi="Arial" w:eastAsia="Arial" w:cs="Arial"/>
                <w:b w:val="0"/>
                <w:i w:val="0"/>
                <w:sz w:val="18"/>
              </w:rPr>
              <w:t>ρ = 0.167, NS</w:t>
            </w:r>
          </w:p>
        </w:tc>
      </w:tr>
      <w:tr>
        <w:tc>
          <w:tcPr>
            <w:tcW w:type="dxa" w:w="2340"/>
          </w:tcPr>
          <w:p>
            <w:pPr>
              <w:spacing w:line="240" w:lineRule="auto" w:after="40" w:before="40"/>
            </w:pPr>
            <w:r>
              <w:rPr>
                <w:rFonts w:ascii="Arial" w:hAnsi="Arial" w:eastAsia="Arial" w:cs="Arial"/>
                <w:b w:val="0"/>
                <w:i w:val="0"/>
                <w:sz w:val="18"/>
              </w:rPr>
              <w:t>2</w:t>
            </w:r>
          </w:p>
        </w:tc>
        <w:tc>
          <w:tcPr>
            <w:tcW w:type="dxa" w:w="2340"/>
          </w:tcPr>
          <w:p>
            <w:pPr>
              <w:spacing w:line="240" w:lineRule="auto" w:after="40" w:before="40"/>
            </w:pPr>
            <w:r>
              <w:rPr>
                <w:rFonts w:ascii="Arial" w:hAnsi="Arial" w:eastAsia="Arial" w:cs="Arial"/>
                <w:b w:val="0"/>
                <w:i w:val="0"/>
                <w:sz w:val="18"/>
              </w:rPr>
              <w:t>TF network complexity</w:t>
            </w:r>
          </w:p>
        </w:tc>
        <w:tc>
          <w:tcPr>
            <w:tcW w:type="dxa" w:w="2340"/>
          </w:tcPr>
          <w:p>
            <w:pPr>
              <w:spacing w:line="240" w:lineRule="auto" w:after="40" w:before="40"/>
            </w:pPr>
            <w:r>
              <w:rPr>
                <w:rFonts w:ascii="Arial" w:hAnsi="Arial" w:eastAsia="Arial" w:cs="Arial"/>
                <w:b w:val="0"/>
                <w:i w:val="0"/>
                <w:sz w:val="18"/>
              </w:rPr>
              <w:t>DoRothEA[47] regulon database</w:t>
            </w:r>
          </w:p>
        </w:tc>
        <w:tc>
          <w:tcPr>
            <w:tcW w:type="dxa" w:w="2340"/>
          </w:tcPr>
          <w:p>
            <w:pPr>
              <w:spacing w:line="240" w:lineRule="auto" w:after="40" w:before="40"/>
            </w:pPr>
            <w:r>
              <w:rPr>
                <w:rFonts w:ascii="Arial" w:hAnsi="Arial" w:eastAsia="Arial" w:cs="Arial"/>
                <w:b w:val="0"/>
                <w:i w:val="0"/>
                <w:sz w:val="18"/>
              </w:rPr>
              <w:t>ρ = −0.229, NS</w:t>
            </w:r>
          </w:p>
        </w:tc>
      </w:tr>
      <w:tr>
        <w:tc>
          <w:tcPr>
            <w:tcW w:type="dxa" w:w="2340"/>
          </w:tcPr>
          <w:p>
            <w:pPr>
              <w:spacing w:line="240" w:lineRule="auto" w:after="40" w:before="40"/>
            </w:pPr>
            <w:r>
              <w:rPr>
                <w:rFonts w:ascii="Arial" w:hAnsi="Arial" w:eastAsia="Arial" w:cs="Arial"/>
                <w:b w:val="0"/>
                <w:i w:val="0"/>
                <w:sz w:val="18"/>
              </w:rPr>
              <w:t>3</w:t>
            </w:r>
          </w:p>
        </w:tc>
        <w:tc>
          <w:tcPr>
            <w:tcW w:type="dxa" w:w="2340"/>
          </w:tcPr>
          <w:p>
            <w:pPr>
              <w:spacing w:line="240" w:lineRule="auto" w:after="40" w:before="40"/>
            </w:pPr>
            <w:r>
              <w:rPr>
                <w:rFonts w:ascii="Arial" w:hAnsi="Arial" w:eastAsia="Arial" w:cs="Arial"/>
                <w:b w:val="0"/>
                <w:i w:val="0"/>
                <w:sz w:val="18"/>
              </w:rPr>
              <w:t>Niche adaptation</w:t>
            </w:r>
          </w:p>
        </w:tc>
        <w:tc>
          <w:tcPr>
            <w:tcW w:type="dxa" w:w="2340"/>
          </w:tcPr>
          <w:p>
            <w:pPr>
              <w:spacing w:line="240" w:lineRule="auto" w:after="40" w:before="40"/>
            </w:pPr>
            <w:r>
              <w:rPr>
                <w:rFonts w:ascii="Arial" w:hAnsi="Arial" w:eastAsia="Arial" w:cs="Arial"/>
                <w:b w:val="0"/>
                <w:i w:val="0"/>
                <w:sz w:val="18"/>
              </w:rPr>
              <w:t>MSigDB[48–49] curated niche adaptation gene sets</w:t>
            </w:r>
          </w:p>
        </w:tc>
        <w:tc>
          <w:tcPr>
            <w:tcW w:type="dxa" w:w="2340"/>
          </w:tcPr>
          <w:p>
            <w:pPr>
              <w:spacing w:line="240" w:lineRule="auto" w:after="40" w:before="40"/>
            </w:pPr>
            <w:r>
              <w:rPr>
                <w:rFonts w:ascii="Arial" w:hAnsi="Arial" w:eastAsia="Arial" w:cs="Arial"/>
                <w:b w:val="0"/>
                <w:i w:val="0"/>
                <w:sz w:val="18"/>
              </w:rPr>
              <w:t>0/6 significant after FDR[50]</w:t>
            </w:r>
          </w:p>
        </w:tc>
      </w:tr>
      <w:tr>
        <w:tc>
          <w:tcPr>
            <w:tcW w:type="dxa" w:w="2340"/>
          </w:tcPr>
          <w:p>
            <w:pPr>
              <w:spacing w:line="240" w:lineRule="auto" w:after="40" w:before="40"/>
            </w:pPr>
            <w:r>
              <w:rPr>
                <w:rFonts w:ascii="Arial" w:hAnsi="Arial" w:eastAsia="Arial" w:cs="Arial"/>
                <w:b w:val="0"/>
                <w:i w:val="0"/>
                <w:sz w:val="18"/>
              </w:rPr>
              <w:t>4</w:t>
            </w:r>
          </w:p>
        </w:tc>
        <w:tc>
          <w:tcPr>
            <w:tcW w:type="dxa" w:w="2340"/>
          </w:tcPr>
          <w:p>
            <w:pPr>
              <w:spacing w:line="240" w:lineRule="auto" w:after="40" w:before="40"/>
            </w:pPr>
            <w:r>
              <w:rPr>
                <w:rFonts w:ascii="Arial" w:hAnsi="Arial" w:eastAsia="Arial" w:cs="Arial"/>
                <w:b w:val="0"/>
                <w:i w:val="0"/>
                <w:sz w:val="18"/>
              </w:rPr>
              <w:t>Within-type expression variance</w:t>
            </w:r>
          </w:p>
        </w:tc>
        <w:tc>
          <w:tcPr>
            <w:tcW w:type="dxa" w:w="2340"/>
          </w:tcPr>
          <w:p>
            <w:pPr>
              <w:spacing w:line="240" w:lineRule="auto" w:after="40" w:before="40"/>
            </w:pPr>
            <w:r>
              <w:rPr>
                <w:rFonts w:ascii="Arial" w:hAnsi="Arial" w:eastAsia="Arial" w:cs="Arial"/>
                <w:b w:val="0"/>
                <w:i w:val="0"/>
                <w:sz w:val="18"/>
              </w:rPr>
              <w:t>Tabula Sapiens per-cell variance</w:t>
            </w:r>
          </w:p>
        </w:tc>
        <w:tc>
          <w:tcPr>
            <w:tcW w:type="dxa" w:w="2340"/>
          </w:tcPr>
          <w:p>
            <w:pPr>
              <w:spacing w:line="240" w:lineRule="auto" w:after="40" w:before="40"/>
            </w:pPr>
            <w:r>
              <w:rPr>
                <w:rFonts w:ascii="Arial" w:hAnsi="Arial" w:eastAsia="Arial" w:cs="Arial"/>
                <w:b w:val="0"/>
                <w:i w:val="0"/>
                <w:sz w:val="18"/>
              </w:rPr>
              <w:t>ρ = −0.038, NS</w:t>
            </w:r>
          </w:p>
        </w:tc>
      </w:tr>
      <w:tr>
        <w:tc>
          <w:tcPr>
            <w:tcW w:type="dxa" w:w="2340"/>
          </w:tcPr>
          <w:p>
            <w:pPr>
              <w:spacing w:line="240" w:lineRule="auto" w:after="40" w:before="40"/>
            </w:pPr>
            <w:r>
              <w:rPr>
                <w:rFonts w:ascii="Arial" w:hAnsi="Arial" w:eastAsia="Arial" w:cs="Arial"/>
                <w:b w:val="0"/>
                <w:i w:val="0"/>
                <w:sz w:val="18"/>
              </w:rPr>
              <w:t>5</w:t>
            </w:r>
          </w:p>
        </w:tc>
        <w:tc>
          <w:tcPr>
            <w:tcW w:type="dxa" w:w="2340"/>
          </w:tcPr>
          <w:p>
            <w:pPr>
              <w:spacing w:line="240" w:lineRule="auto" w:after="40" w:before="40"/>
            </w:pPr>
            <w:r>
              <w:rPr>
                <w:rFonts w:ascii="Arial" w:hAnsi="Arial" w:eastAsia="Arial" w:cs="Arial"/>
                <w:b w:val="0"/>
                <w:i w:val="0"/>
                <w:sz w:val="18"/>
              </w:rPr>
              <w:t>Inter-donor variance</w:t>
            </w:r>
          </w:p>
        </w:tc>
        <w:tc>
          <w:tcPr>
            <w:tcW w:type="dxa" w:w="2340"/>
          </w:tcPr>
          <w:p>
            <w:pPr>
              <w:spacing w:line="240" w:lineRule="auto" w:after="40" w:before="40"/>
            </w:pPr>
            <w:r>
              <w:rPr>
                <w:rFonts w:ascii="Arial" w:hAnsi="Arial" w:eastAsia="Arial" w:cs="Arial"/>
                <w:b w:val="0"/>
                <w:i w:val="0"/>
                <w:sz w:val="18"/>
              </w:rPr>
              <w:t>Tabula Sapiens per-donor centroid variance</w:t>
            </w:r>
          </w:p>
        </w:tc>
        <w:tc>
          <w:tcPr>
            <w:tcW w:type="dxa" w:w="2340"/>
          </w:tcPr>
          <w:p>
            <w:pPr>
              <w:spacing w:line="240" w:lineRule="auto" w:after="40" w:before="40"/>
            </w:pPr>
            <w:r>
              <w:rPr>
                <w:rFonts w:ascii="Arial" w:hAnsi="Arial" w:eastAsia="Arial" w:cs="Arial"/>
                <w:b w:val="0"/>
                <w:i w:val="0"/>
                <w:sz w:val="18"/>
              </w:rPr>
              <w:t>ρ = −0.127, NS</w:t>
            </w:r>
          </w:p>
        </w:tc>
      </w:tr>
      <w:tr>
        <w:tc>
          <w:tcPr>
            <w:tcW w:type="dxa" w:w="2340"/>
          </w:tcPr>
          <w:p>
            <w:pPr>
              <w:spacing w:line="240" w:lineRule="auto" w:after="40" w:before="40"/>
            </w:pPr>
            <w:r>
              <w:rPr>
                <w:rFonts w:ascii="Arial" w:hAnsi="Arial" w:eastAsia="Arial" w:cs="Arial"/>
                <w:b w:val="0"/>
                <w:i w:val="0"/>
                <w:sz w:val="18"/>
              </w:rPr>
              <w:t>6</w:t>
            </w:r>
          </w:p>
        </w:tc>
        <w:tc>
          <w:tcPr>
            <w:tcW w:type="dxa" w:w="2340"/>
          </w:tcPr>
          <w:p>
            <w:pPr>
              <w:spacing w:line="240" w:lineRule="auto" w:after="40" w:before="40"/>
            </w:pPr>
            <w:r>
              <w:rPr>
                <w:rFonts w:ascii="Arial" w:hAnsi="Arial" w:eastAsia="Arial" w:cs="Arial"/>
                <w:b w:val="0"/>
                <w:i w:val="0"/>
                <w:sz w:val="18"/>
              </w:rPr>
              <w:t>Expression-level confounds</w:t>
            </w:r>
          </w:p>
        </w:tc>
        <w:tc>
          <w:tcPr>
            <w:tcW w:type="dxa" w:w="2340"/>
          </w:tcPr>
          <w:p>
            <w:pPr>
              <w:spacing w:line="240" w:lineRule="auto" w:after="40" w:before="40"/>
            </w:pPr>
            <w:r>
              <w:rPr>
                <w:rFonts w:ascii="Arial" w:hAnsi="Arial" w:eastAsia="Arial" w:cs="Arial"/>
                <w:b w:val="0"/>
                <w:i w:val="0"/>
                <w:sz w:val="18"/>
              </w:rPr>
              <w:t>Tabula Sapiens cell-level QC metrics</w:t>
            </w:r>
          </w:p>
        </w:tc>
        <w:tc>
          <w:tcPr>
            <w:tcW w:type="dxa" w:w="2340"/>
          </w:tcPr>
          <w:p>
            <w:pPr>
              <w:spacing w:line="240" w:lineRule="auto" w:after="40" w:before="40"/>
            </w:pPr>
            <w:r>
              <w:rPr>
                <w:rFonts w:ascii="Arial" w:hAnsi="Arial" w:eastAsia="Arial" w:cs="Arial"/>
                <w:b w:val="0"/>
                <w:i w:val="0"/>
                <w:sz w:val="18"/>
              </w:rPr>
              <w:t>All ρ &lt; 0.21, all NS</w:t>
            </w:r>
          </w:p>
        </w:tc>
      </w:tr>
      <w:tr>
        <w:tc>
          <w:tcPr>
            <w:tcW w:type="dxa" w:w="2340"/>
          </w:tcPr>
          <w:p>
            <w:pPr>
              <w:spacing w:line="240" w:lineRule="auto" w:after="40" w:before="40"/>
            </w:pPr>
            <w:r>
              <w:rPr>
                <w:rFonts w:ascii="Arial" w:hAnsi="Arial" w:eastAsia="Arial" w:cs="Arial"/>
                <w:b w:val="0"/>
                <w:i w:val="0"/>
                <w:sz w:val="18"/>
              </w:rPr>
              <w:t>7</w:t>
            </w:r>
          </w:p>
        </w:tc>
        <w:tc>
          <w:tcPr>
            <w:tcW w:type="dxa" w:w="2340"/>
          </w:tcPr>
          <w:p>
            <w:pPr>
              <w:spacing w:line="240" w:lineRule="auto" w:after="40" w:before="40"/>
            </w:pPr>
            <w:r>
              <w:rPr>
                <w:rFonts w:ascii="Arial" w:hAnsi="Arial" w:eastAsia="Arial" w:cs="Arial"/>
                <w:b w:val="0"/>
                <w:i w:val="0"/>
                <w:sz w:val="18"/>
              </w:rPr>
              <w:t>PPI network centrality</w:t>
            </w:r>
          </w:p>
        </w:tc>
        <w:tc>
          <w:tcPr>
            <w:tcW w:type="dxa" w:w="2340"/>
          </w:tcPr>
          <w:p>
            <w:pPr>
              <w:spacing w:line="240" w:lineRule="auto" w:after="40" w:before="40"/>
            </w:pPr>
            <w:r>
              <w:rPr>
                <w:rFonts w:ascii="Arial" w:hAnsi="Arial" w:eastAsia="Arial" w:cs="Arial"/>
                <w:b w:val="0"/>
                <w:i w:val="0"/>
                <w:sz w:val="18"/>
              </w:rPr>
              <w:t>STRING v12.0[51] (15,977/16,959 genes)</w:t>
            </w:r>
          </w:p>
        </w:tc>
        <w:tc>
          <w:tcPr>
            <w:tcW w:type="dxa" w:w="2340"/>
          </w:tcPr>
          <w:p>
            <w:pPr>
              <w:spacing w:line="240" w:lineRule="auto" w:after="40" w:before="40"/>
            </w:pPr>
            <w:r>
              <w:rPr>
                <w:rFonts w:ascii="Arial" w:hAnsi="Arial" w:eastAsia="Arial" w:cs="Arial"/>
                <w:b w:val="0"/>
                <w:i w:val="0"/>
                <w:sz w:val="18"/>
              </w:rPr>
              <w:t>Best ρ = 0.291, NS (0/27 centrality metrics significant after FDR[50])</w:t>
            </w:r>
          </w:p>
        </w:tc>
      </w:tr>
      <w:tr>
        <w:tc>
          <w:tcPr>
            <w:tcW w:type="dxa" w:w="2340"/>
          </w:tcPr>
          <w:p>
            <w:pPr>
              <w:spacing w:line="240" w:lineRule="auto" w:after="40" w:before="40"/>
            </w:pPr>
            <w:r>
              <w:rPr>
                <w:rFonts w:ascii="Arial" w:hAnsi="Arial" w:eastAsia="Arial" w:cs="Arial"/>
                <w:b w:val="0"/>
                <w:i w:val="0"/>
                <w:sz w:val="18"/>
              </w:rPr>
              <w:t>8</w:t>
            </w:r>
          </w:p>
        </w:tc>
        <w:tc>
          <w:tcPr>
            <w:tcW w:type="dxa" w:w="2340"/>
          </w:tcPr>
          <w:p>
            <w:pPr>
              <w:spacing w:line="240" w:lineRule="auto" w:after="40" w:before="40"/>
            </w:pPr>
            <w:r>
              <w:rPr>
                <w:rFonts w:ascii="Arial" w:hAnsi="Arial" w:eastAsia="Arial" w:cs="Arial"/>
                <w:b w:val="0"/>
                <w:i w:val="0"/>
                <w:sz w:val="18"/>
              </w:rPr>
              <w:t>Promoter sequence conservation</w:t>
            </w:r>
          </w:p>
        </w:tc>
        <w:tc>
          <w:tcPr>
            <w:tcW w:type="dxa" w:w="2340"/>
          </w:tcPr>
          <w:p>
            <w:pPr>
              <w:spacing w:line="240" w:lineRule="auto" w:after="40" w:before="40"/>
            </w:pPr>
            <w:r>
              <w:rPr>
                <w:rFonts w:ascii="Arial" w:hAnsi="Arial" w:eastAsia="Arial" w:cs="Arial"/>
                <w:b w:val="0"/>
                <w:i w:val="0"/>
                <w:sz w:val="18"/>
              </w:rPr>
              <w:t>UCSC phastCons[52] placental-mammals (20way) alignment</w:t>
            </w:r>
          </w:p>
        </w:tc>
        <w:tc>
          <w:tcPr>
            <w:tcW w:type="dxa" w:w="2340"/>
          </w:tcPr>
          <w:p>
            <w:pPr>
              <w:spacing w:line="240" w:lineRule="auto" w:after="40" w:before="40"/>
            </w:pPr>
            <w:r>
              <w:rPr>
                <w:rFonts w:ascii="Arial" w:hAnsi="Arial" w:eastAsia="Arial" w:cs="Arial"/>
                <w:b w:val="0"/>
                <w:i w:val="0"/>
                <w:sz w:val="18"/>
              </w:rPr>
              <w:t>ρ = −0.058, n = 35, NS</w:t>
            </w:r>
          </w:p>
        </w:tc>
      </w:tr>
      <w:tr>
        <w:tc>
          <w:tcPr>
            <w:tcW w:type="dxa" w:w="2340"/>
          </w:tcPr>
          <w:p>
            <w:pPr>
              <w:spacing w:line="240" w:lineRule="auto" w:after="40" w:before="40"/>
            </w:pPr>
            <w:r>
              <w:rPr>
                <w:rFonts w:ascii="Arial" w:hAnsi="Arial" w:eastAsia="Arial" w:cs="Arial"/>
                <w:b w:val="0"/>
                <w:i w:val="0"/>
                <w:sz w:val="18"/>
              </w:rPr>
              <w:t>9</w:t>
            </w:r>
          </w:p>
        </w:tc>
        <w:tc>
          <w:tcPr>
            <w:tcW w:type="dxa" w:w="2340"/>
          </w:tcPr>
          <w:p>
            <w:pPr>
              <w:spacing w:line="240" w:lineRule="auto" w:after="40" w:before="40"/>
            </w:pPr>
            <w:r>
              <w:rPr>
                <w:rFonts w:ascii="Arial" w:hAnsi="Arial" w:eastAsia="Arial" w:cs="Arial"/>
                <w:b w:val="0"/>
                <w:i w:val="0"/>
                <w:sz w:val="18"/>
              </w:rPr>
              <w:t>Active enhancer conservation</w:t>
            </w:r>
          </w:p>
        </w:tc>
        <w:tc>
          <w:tcPr>
            <w:tcW w:type="dxa" w:w="2340"/>
          </w:tcPr>
          <w:p>
            <w:pPr>
              <w:spacing w:line="240" w:lineRule="auto" w:after="40" w:before="40"/>
            </w:pPr>
            <w:r>
              <w:rPr>
                <w:rFonts w:ascii="Arial" w:hAnsi="Arial" w:eastAsia="Arial" w:cs="Arial"/>
                <w:b w:val="0"/>
                <w:i w:val="0"/>
                <w:sz w:val="18"/>
              </w:rPr>
              <w:t>ENCODE H3K27ac[53] ChIP-seq</w:t>
            </w:r>
          </w:p>
        </w:tc>
        <w:tc>
          <w:tcPr>
            <w:tcW w:type="dxa" w:w="2340"/>
          </w:tcPr>
          <w:p>
            <w:pPr>
              <w:spacing w:line="240" w:lineRule="auto" w:after="40" w:before="40"/>
            </w:pPr>
            <w:r>
              <w:rPr>
                <w:rFonts w:ascii="Arial" w:hAnsi="Arial" w:eastAsia="Arial" w:cs="Arial"/>
                <w:b w:val="0"/>
                <w:i w:val="0"/>
                <w:sz w:val="18"/>
              </w:rPr>
              <w:t>ρ = −0.429, n = 6, NS</w:t>
            </w:r>
          </w:p>
        </w:tc>
      </w:tr>
      <w:tr>
        <w:tc>
          <w:tcPr>
            <w:tcW w:type="dxa" w:w="2340"/>
          </w:tcPr>
          <w:p>
            <w:pPr>
              <w:spacing w:line="240" w:lineRule="auto" w:after="40" w:before="40"/>
            </w:pPr>
            <w:r>
              <w:rPr>
                <w:rFonts w:ascii="Arial" w:hAnsi="Arial" w:eastAsia="Arial" w:cs="Arial"/>
                <w:b w:val="0"/>
                <w:i w:val="0"/>
                <w:sz w:val="18"/>
              </w:rPr>
              <w:t>10</w:t>
            </w:r>
          </w:p>
        </w:tc>
        <w:tc>
          <w:tcPr>
            <w:tcW w:type="dxa" w:w="2340"/>
          </w:tcPr>
          <w:p>
            <w:pPr>
              <w:spacing w:line="240" w:lineRule="auto" w:after="40" w:before="40"/>
            </w:pPr>
            <w:r>
              <w:rPr>
                <w:rFonts w:ascii="Arial" w:hAnsi="Arial" w:eastAsia="Arial" w:cs="Arial"/>
                <w:b w:val="0"/>
                <w:i w:val="0"/>
                <w:sz w:val="18"/>
              </w:rPr>
              <w:t>Drug target conservation</w:t>
            </w:r>
          </w:p>
        </w:tc>
        <w:tc>
          <w:tcPr>
            <w:tcW w:type="dxa" w:w="2340"/>
          </w:tcPr>
          <w:p>
            <w:pPr>
              <w:spacing w:line="240" w:lineRule="auto" w:after="40" w:before="40"/>
            </w:pPr>
            <w:r>
              <w:rPr>
                <w:rFonts w:ascii="Arial" w:hAnsi="Arial" w:eastAsia="Arial" w:cs="Arial"/>
                <w:b w:val="0"/>
                <w:i w:val="0"/>
                <w:sz w:val="18"/>
              </w:rPr>
              <w:t>ChEMBL/DrugBank[54–55] annotations</w:t>
            </w:r>
          </w:p>
        </w:tc>
        <w:tc>
          <w:tcPr>
            <w:tcW w:type="dxa" w:w="2340"/>
          </w:tcPr>
          <w:p>
            <w:pPr>
              <w:spacing w:line="240" w:lineRule="auto" w:after="40" w:before="40"/>
            </w:pPr>
            <w:r>
              <w:rPr>
                <w:rFonts w:ascii="Arial" w:hAnsi="Arial" w:eastAsia="Arial" w:cs="Arial"/>
                <w:b w:val="0"/>
                <w:i w:val="0"/>
                <w:sz w:val="18"/>
              </w:rPr>
              <w:t>ρ = −0.176, n = 34, NS</w:t>
            </w:r>
          </w:p>
        </w:tc>
      </w:tr>
    </w:tbl>
    <w:p>
      <w:pPr>
        <w:spacing w:line="480" w:lineRule="auto" w:after="0" w:before="0"/>
      </w:pPr>
    </w:p>
    <w:p>
      <w:pPr>
        <w:spacing w:line="480" w:lineRule="auto" w:after="0" w:before="0"/>
        <w:jc w:val="both"/>
      </w:pPr>
      <w:r>
        <w:rPr>
          <w:rFonts w:ascii="Arial" w:hAnsi="Arial" w:eastAsia="Arial" w:cs="Arial"/>
          <w:b w:val="0"/>
          <w:i w:val="0"/>
          <w:sz w:val="24"/>
        </w:rPr>
        <w:t>All ten null tests had their analysis design logged before data access; the sequence was adaptive: each null motivated the next, but no test was designed after seeing its own result. Nulls 1–6 were pre-specified as part of the original mechanistic investigation agenda and confound diagnostics. Nulls 7–9 were designed sequentially as each prior null was recorded; nulls 8 and 9 had significance thresholds (ρ &lt; 0.35 triggers null closure) locked in the analysis scripts prior to invoking them on the data; thresholds were not pre-registered with an external repository. Null 10 was exploratory, designed after the computational limit of available feature data was reached following null 9. A drug-target density baseline (per-type drug-target count across all 35 types, distinct from the Null-10 conservation-ratio test) was also computed as an exploratory check: ρ = −0.323, p = 0.059, n = 35 (Table 1, T52), likewise non-significant.</w:t>
      </w:r>
    </w:p>
    <w:p>
      <w:pPr>
        <w:pStyle w:val="Heading2"/>
        <w:spacing w:line="480" w:lineRule="auto" w:after="120" w:before="360"/>
        <w:jc w:val="left"/>
      </w:pPr>
      <w:r>
        <w:rPr>
          <w:rFonts w:ascii="Arial" w:hAnsi="Arial" w:eastAsia="Arial" w:cs="Arial"/>
          <w:b/>
          <w:color w:val="000000"/>
          <w:sz w:val="28"/>
        </w:rPr>
        <w:t>Simulation study</w:t>
      </w:r>
    </w:p>
    <w:p>
      <w:pPr>
        <w:spacing w:line="480" w:lineRule="auto" w:after="0" w:before="0"/>
        <w:jc w:val="both"/>
      </w:pPr>
      <w:r>
        <w:rPr>
          <w:rFonts w:ascii="Arial" w:hAnsi="Arial" w:eastAsia="Arial" w:cs="Arial"/>
          <w:b w:val="0"/>
          <w:i w:val="0"/>
          <w:sz w:val="24"/>
        </w:rPr>
        <w:t>A simulation study was conducted to characterize the CellWarp pipeline's statistical properties under controlled conditions. Synthetic cross-species data were generated by placing n cell-type centroids in a 50-factor latent space (CENTROID_SCALE = 2.0, drawn from a unit Gaussian) and embedding the latent coordinates into a 500-gene expression space via a Gaussian projection matrix scaled by 1/√50, yielding paired human/mouse centroid configurations sharing the same latent factor structure. A planted rotation matrix simulating the cross-species transformation was generated by QR decomposition of a random Gaussian matrix, yielding a Haar-distributed orthogonal Q with sign correction via the diagonal of R and determinant correction to +1; this construction was used in place of scipy.stats.special_ortho_group, which overflows np.linalg.det at dim &gt; 30. Per-type Gaussian noise was added with noise_scale = CENTROID_SCALE / signal_strength = 2.0 / signal_strength (higher signal_strength implies less noise). Per-type noise levels were drawn from a log-normal distribution with σ</w:t>
      </w:r>
      <w:r>
        <w:rPr>
          <w:rFonts w:ascii="Arial" w:hAnsi="Arial" w:eastAsia="Arial" w:cs="Arial"/>
          <w:b w:val="0"/>
          <w:i w:val="0"/>
          <w:sz w:val="24"/>
          <w:vertAlign w:val="subscript"/>
        </w:rPr>
        <w:t>log</w:t>
      </w:r>
      <w:r>
        <w:rPr>
          <w:rFonts w:ascii="Arial" w:hAnsi="Arial" w:eastAsia="Arial" w:cs="Arial"/>
          <w:b w:val="0"/>
          <w:i w:val="0"/>
          <w:sz w:val="24"/>
        </w:rPr>
        <w:t xml:space="preserve"> = 1.0, giving an approximate 95th-/5th-percentile spread of ≈ 25× across types and planting a known per-type divergence ranking. Centroid noise was modeled via the central-limit-theorem shortcut, drawing centroid displacement directly from a diagonal isotropic Gaussian with per-gene variance σ[2]/n</w:t>
      </w:r>
      <w:r>
        <w:rPr>
          <w:rFonts w:ascii="Arial" w:hAnsi="Arial" w:eastAsia="Arial" w:cs="Arial"/>
          <w:b w:val="0"/>
          <w:i w:val="0"/>
          <w:sz w:val="24"/>
          <w:vertAlign w:val="subscript"/>
        </w:rPr>
        <w:t>cells</w:t>
      </w:r>
      <w:r>
        <w:rPr>
          <w:rFonts w:ascii="Arial" w:hAnsi="Arial" w:eastAsia="Arial" w:cs="Arial"/>
          <w:b w:val="0"/>
          <w:i w:val="0"/>
          <w:sz w:val="24"/>
        </w:rPr>
        <w:t xml:space="preserve"> (σ = 1.0); this is exact for Gaussian cells and an idealization for non-isotropic real data, used to enable efficient parameter-space exploration without per-cell sampling.</w:t>
      </w:r>
    </w:p>
    <w:p>
      <w:pPr>
        <w:spacing w:line="480" w:lineRule="auto" w:after="0" w:before="0"/>
        <w:jc w:val="both"/>
      </w:pPr>
      <w:r>
        <w:rPr>
          <w:rFonts w:ascii="Arial" w:hAnsi="Arial" w:eastAsia="Arial" w:cs="Arial"/>
          <w:b w:val="0"/>
          <w:i w:val="0"/>
          <w:sz w:val="24"/>
        </w:rPr>
        <w:t>The signal_strength parameter was calibrated by grid search over [0.5, 1.0, 1.5, 2.0, 2.5, 3.0, 4.0, 5.0, 7.0, 10.0, 15.0] (30 replicates per grid value at n = 35, 200 cells per type), with linear interpolation between the bracketing grid points (signal = 3.0 yields obs/null = 0.578; signal = 4.0 yields obs/null = 0.496) to reproduce the observed primary obs/null = 0.522, yielding a calibrated signal_strength of 3.68. For each evaluation condition, 100 independent replicates were generated. Detection power was assessed across type counts (15, 25, 35) at the calibrated signal. Ranking recovery was measured as Spearman ρ between planted and recovered per-type rankings across signal strengths (0.5–10.0) and cell counts (50–2,000). Test-retest stability was assessed by generating two independent cell samples from the same true centroids. Null calibration was verified by running 1,000 replicates with signal = 0 (no planted structure) and checking rejection rates at α = 0.05 and α = 0.01. Simulation results inform the per-type ranking-recovery ceiling and the global detection-power claims in Results §8, with detection-power, ranking-recovery, test-retest, and null-calibration panels in Figure S1C–F and per-condition summaries in Table S2.</w:t>
      </w:r>
    </w:p>
    <w:p>
      <w:pPr>
        <w:pStyle w:val="Heading2"/>
        <w:spacing w:line="480" w:lineRule="auto" w:after="120" w:before="360"/>
        <w:jc w:val="left"/>
      </w:pPr>
      <w:r>
        <w:rPr>
          <w:rFonts w:ascii="Arial" w:hAnsi="Arial" w:eastAsia="Arial" w:cs="Arial"/>
          <w:b/>
          <w:color w:val="000000"/>
          <w:sz w:val="28"/>
        </w:rPr>
        <w:t>Bootstrap ranking analysis</w:t>
      </w:r>
    </w:p>
    <w:p>
      <w:pPr>
        <w:spacing w:line="480" w:lineRule="auto" w:after="0" w:before="0"/>
        <w:jc w:val="both"/>
      </w:pPr>
      <w:r>
        <w:rPr>
          <w:rFonts w:ascii="Arial" w:hAnsi="Arial" w:eastAsia="Arial" w:cs="Arial"/>
          <w:b w:val="0"/>
          <w:i w:val="0"/>
          <w:sz w:val="24"/>
        </w:rPr>
        <w:t>Bootstrap confidence intervals for per-type divergence rankings were computed over 1,000 iterations. In each iteration, cells were resampled with replacement within each cell type (maintaining original cell counts per type), centroids were recomputed, PCA was refit from scratch on the resampled centroids, and Procrustes superimposition was performed. Refitting PCA per iteration tests the stability of the full pipeline end-to-end. Rankings were extracted per iteration, and 95% CIs were computed from the 2.5th and 97.5th percentile ranks across iterations. Types were classified as stable (CI width ≤ 10), moderate (CI width 11–15), or unstable (CI width &gt; 15). Cross-referencing with cross-atlas consistency used the mean absolute rank shift across all available replications (Sun2023, PanSci, CellHint, Pan-Census, macaque, mouse lemur) for each type present in ≥2 replications (n = 20 types). The correlation between bootstrap CI width and mean cross-atlas rank shift was computed by Spearman rank correlation. Headline results (all 35 types classified as stable [CI width ≤ 10], median 95% CI width = 3 ranks [maximum 7], and ρ = −0.410 [p = 0.073] between within-atlas CI width and cross-atlas rank shift) are reported in Results §8, with full per-type CIs in Figure S3A–B and Table S2.</w:t>
      </w:r>
    </w:p>
    <w:p>
      <w:pPr>
        <w:pStyle w:val="Heading2"/>
        <w:spacing w:line="480" w:lineRule="auto" w:after="120" w:before="360"/>
        <w:jc w:val="left"/>
      </w:pPr>
      <w:r>
        <w:rPr>
          <w:rFonts w:ascii="Arial" w:hAnsi="Arial" w:eastAsia="Arial" w:cs="Arial"/>
          <w:b/>
          <w:color w:val="000000"/>
          <w:sz w:val="28"/>
        </w:rPr>
        <w:t>Expanded negative controls</w:t>
      </w:r>
    </w:p>
    <w:p>
      <w:pPr>
        <w:spacing w:line="480" w:lineRule="auto" w:after="0" w:before="0"/>
        <w:jc w:val="both"/>
      </w:pPr>
      <w:r>
        <w:rPr>
          <w:rFonts w:ascii="Arial" w:hAnsi="Arial" w:eastAsia="Arial" w:cs="Arial"/>
          <w:b w:val="0"/>
          <w:i w:val="0"/>
          <w:sz w:val="24"/>
        </w:rPr>
        <w:t>The within-species negative control analysis was expanded from 6 cell types to all available within-species tissue partition pairs. For both Tabula Sapiens[25] and Tabula Muris Senis[26], all possible tissue partition pairs were enumerated such that each pair shared ≥6 cell types with ≥50 cells per type per tissue. This yielded 24 within-species tissue pairs (22 human, 2 mouse). For each pair, Procrustes superimposition was performed on the shared cell types, with significance assessed by 10,000 label permutations. Fifty random-split self-comparisons were performed: for each iteration, cells within each type were randomly split into two halves, centroids computed independently, and Procrustes coherence assessed. Self-comparisons provide a floor estimate (expected obs/null near zero for identical populations), within-species pairs provide a mid-range reference, and the cross-species primary result provides the evolutionary comparison. Across the 24 within-species pairs, mean obs/null was 0.466 (Figure S2E), with 71% of pairs more coherent than the cross-species primary value (0.522). This is the expected direction under the biological-signal interpretation: within-species tissue partitions share genome, regulatory programs, and atlas protocol, and lack the evolutionary divergence that partially degrades cross-species geometric correspondence. A matched-scale 6-type cross-atlas variant (Figure S7) reverses this direction (within-species less coherent than cross-species), attributable to unmatched-protocol heterogeneity between the independently constructed atlases used in that variant; the within-atlas tissue-partition design here avoids that confound by sourcing both arms of every pair from a single atlas. The donor-split within-species control (next subsection) provides an orthogonal confirmation under a different within-atlas design, with cross-species obs/null exceeding within-species obs/null in 100 of 100 splits. As a further annotation-robustness check, granulocyte and neutrophil (partitioned inconsistently across the two atlases: human predominantly neutrophil-labeled, mouse predominantly granulocyte-labeled) were merged into a single matched type and the global analysis re-run on the resulting 34 types; the global obs/null was essentially unchanged (0.522 to 0.529; the shift is within permutation noise), confirming the headline coherence is not an artifact of this annotation split. The merged granulocytic type ranks among the most divergent (3 of 34), consistent with the split being an annotation convention rather than two conserved populations.</w:t>
      </w:r>
    </w:p>
    <w:p>
      <w:pPr>
        <w:pStyle w:val="Heading2"/>
        <w:spacing w:line="480" w:lineRule="auto" w:after="120" w:before="360"/>
        <w:jc w:val="left"/>
      </w:pPr>
      <w:r>
        <w:rPr>
          <w:rFonts w:ascii="Arial" w:hAnsi="Arial" w:eastAsia="Arial" w:cs="Arial"/>
          <w:b/>
          <w:color w:val="000000"/>
          <w:sz w:val="28"/>
        </w:rPr>
        <w:t>Donor-split within-species control</w:t>
      </w:r>
    </w:p>
    <w:p>
      <w:pPr>
        <w:spacing w:line="480" w:lineRule="auto" w:after="0" w:before="0"/>
        <w:jc w:val="both"/>
      </w:pPr>
      <w:r>
        <w:rPr>
          <w:rFonts w:ascii="Arial" w:hAnsi="Arial" w:eastAsia="Arial" w:cs="Arial"/>
          <w:b w:val="0"/>
          <w:i w:val="0"/>
          <w:sz w:val="24"/>
        </w:rPr>
        <w:t>To separate the cross-species geometric signal from within-species individual variation, a donor-split analysis was conducted within Tabula Sapiens. Protocol, normalization, and annotation pipeline are matched on the within-species arm (Tabula Sapiens donor-halves); the cross-species arm compares Tabula Sapiens against Tabula Muris Senis and is therefore cross-(atlas and species), not protocol-matched, so no single-atlas cross-species comparison is available. For each of 100 random balanced splits (master seed = 42, deterministic per-split seed chain), the 24 Tabula Sapiens donors were partitioned into two non-overlapping groups. Cell-type centroids were computed independently on each donor half. A cell type was included in a given split only if both halves contained ≥100 cells for that type; 32 of 35 cell types were feasible across the full set (excluded: pancreatic acinar cell, 2 donors; luminal epithelial cell of mammary gland, 2 donors; pancreatic ductal cell, 3 donors). The median number of types per split was 31 (range 27–32).</w:t>
      </w:r>
    </w:p>
    <w:p>
      <w:pPr>
        <w:spacing w:line="480" w:lineRule="auto" w:after="0" w:before="0"/>
        <w:jc w:val="both"/>
      </w:pPr>
      <w:r>
        <w:rPr>
          <w:rFonts w:ascii="Arial" w:hAnsi="Arial" w:eastAsia="Arial" w:cs="Arial"/>
          <w:b w:val="0"/>
          <w:i w:val="0"/>
          <w:sz w:val="24"/>
        </w:rPr>
        <w:t>For each split, two Procrustes analyses were conducted in a shared PCA space: (1) within-species (human half 1 vs. human half 2) and (2) cross-species (human half 1 vs. mouse, restricted to the same cell type set). PCA was fit once on the stacked centroids of all three matrices (human half 1, human half 2, mouse) using the 95% variance threshold, yielding a median of 32 components (range 28–34). Both comparisons were then conducted in this shared coordinate system, ensuring direct comparability of obs/null ratios. Significance was assessed by 1,000 label permutations per comparison per split.</w:t>
      </w:r>
    </w:p>
    <w:p>
      <w:pPr>
        <w:spacing w:line="480" w:lineRule="auto" w:after="0" w:before="0"/>
        <w:jc w:val="both"/>
      </w:pPr>
      <w:r>
        <w:rPr>
          <w:rFonts w:ascii="Arial" w:hAnsi="Arial" w:eastAsia="Arial" w:cs="Arial"/>
          <w:b w:val="0"/>
          <w:i w:val="0"/>
          <w:sz w:val="24"/>
        </w:rPr>
        <w:t>The delta (cross-species obs/null minus within-species obs/null) was computed for each split. Across the 100 (non-independent) donor resamples, cross-species obs/null exceeded within-species obs/null in 100 of 100, with median delta = +0.159 (95% CI: +0.100–+0.218, excluding zero; empirical 2.5/97.5 percentiles across the 100 splits). The cross-species donor-split value (0.527) is statistically consistent with the full-atlas primary result (0.522), reflecting the half-atlas / 31-type subset design. The 95% CIs reported here for the within-species median, cross-species median, and delta were computed as the empirical 2.5th and 97.5th percentiles of the relevant per-split distribution across the 100 splits (no parametric, bootstrap, or Fisher z-transform assumption). As a sensitivity analysis, the full procedure was repeated with PCA fit independently per comparison (within-species PCA on human halves only; cross-species PCA on human half 1 and mouse); results were virtually identical (delta = +0.158 vs. +0.159 under shared PCA).</w:t>
      </w:r>
    </w:p>
    <w:p>
      <w:pPr>
        <w:spacing w:line="480" w:lineRule="auto" w:after="0" w:before="0"/>
        <w:jc w:val="both"/>
      </w:pPr>
      <w:r>
        <w:rPr>
          <w:rFonts w:ascii="Arial" w:hAnsi="Arial" w:eastAsia="Arial" w:cs="Arial"/>
          <w:b w:val="0"/>
          <w:i w:val="0"/>
          <w:sz w:val="24"/>
        </w:rPr>
        <w:t>Donor representation in Tabula Sapiens is skewed: 5 of 24 donors contribute approximately 73% of cells. The balanced split procedure does not correct for this skew; some splits may assign most high-contribution donors to one half. This is reflected in the variance of per-split obs/null ratios (within-species 95% CI: 0.318–0.423) and is a caveat on the precision of the delta estimate.</w:t>
      </w:r>
    </w:p>
    <w:p>
      <w:pPr>
        <w:pStyle w:val="Heading2"/>
        <w:spacing w:line="480" w:lineRule="auto" w:after="120" w:before="360"/>
        <w:jc w:val="left"/>
      </w:pPr>
      <w:r>
        <w:rPr>
          <w:rFonts w:ascii="Arial" w:hAnsi="Arial" w:eastAsia="Arial" w:cs="Arial"/>
          <w:b/>
          <w:color w:val="000000"/>
          <w:sz w:val="28"/>
        </w:rPr>
        <w:t>Biological predictors</w:t>
      </w:r>
    </w:p>
    <w:p>
      <w:pPr>
        <w:spacing w:line="480" w:lineRule="auto" w:after="0" w:before="0"/>
        <w:jc w:val="both"/>
      </w:pPr>
      <w:r>
        <w:rPr>
          <w:rFonts w:ascii="Arial" w:hAnsi="Arial" w:eastAsia="Arial" w:cs="Arial"/>
          <w:b w:val="0"/>
          <w:i w:val="0"/>
          <w:sz w:val="24"/>
        </w:rPr>
        <w:t>Fifteen cell-type features were computed from Tabula Sapiens[25] expression data and correlated with the Procrustes residuals across all 35 cell types by Spearman rank correlation. Features included: cell count, tissue breadth, mean expression level, within-type heterogeneity, inter-donor variance, transcriptomic complexity, housekeeping gene ratio, mean active transcription factors, TF entropy, marker gene count, marker sequence divergence, cell cycle fraction, chromatin conservation, germ layer (endoderm), and progenitor/stem cell status (binary). Of the 15 univariate Spearman tests, only progenitor/stem cell status reached significance (ρ = 0.43, p = 0.01); the per-predictor Spearman correlations and uncorrected p-values are reported in Table S1, and this single positive does not survive paper-wide Bonferroni correction (k = 52). Multivariate models (elastic net[56] and random forest[57] with leave-one-out cross-validation) were fit to test joint predictive power. Neither elastic net (LOO-CV R[2] = −0.064) nor random forest (LOO-CV R[2] = −0.044) predicted the Procrustes residual better than a null model, despite non-trivial training-set fits (elastic net training R[2] = 0.19, random forest training R[2] = 0.56), indicating overfitting at n = 35 with 15 predictors. Only four features received non-zero elastic net coefficients: progenitor status (0.49), cell cycle fraction (0.32), tissue breadth (−0.04), and active transcription factor count (−0.07).</w:t>
      </w:r>
    </w:p>
    <w:p>
      <w:pPr>
        <w:spacing w:line="480" w:lineRule="auto" w:after="0" w:before="0"/>
        <w:jc w:val="both"/>
      </w:pPr>
      <w:r>
        <w:rPr>
          <w:rFonts w:ascii="Arial" w:hAnsi="Arial" w:eastAsia="Arial" w:cs="Arial"/>
          <w:b w:val="0"/>
          <w:i w:val="0"/>
          <w:sz w:val="24"/>
        </w:rPr>
        <w:t>Annotation granularity was tested as a potential confound for per-type Procrustes residuals using four independent proxies: Cell Ontology descendant count, manual broad/specific binary classification, label word count, and label character length. None showed significant association with the Procrustes residual rank (all p &gt; 0.13, n = 35; Mann-Whitney U for broad/specific classification, Spearman rank correlation for all others).</w:t>
      </w:r>
    </w:p>
    <w:p>
      <w:pPr>
        <w:spacing w:line="480" w:lineRule="auto" w:after="0" w:before="0"/>
        <w:jc w:val="both"/>
      </w:pPr>
      <w:r>
        <w:rPr>
          <w:rFonts w:ascii="Arial" w:hAnsi="Arial" w:eastAsia="Arial" w:cs="Arial"/>
          <w:b w:val="0"/>
          <w:i w:val="0"/>
          <w:sz w:val="24"/>
        </w:rPr>
        <w:t>Two additional descriptive correlations were computed to address commonly raised confounds. Per-type mitochondrial transcript fraction (mean per-cell mt-counts / total counts, pulled fresh from CZ CELLxGENE Census 2025-11-08 in the pre-ortholog full per-species gene space, ≤2,000 cells per type per species, seed 42) was computed on the human-side Tabula Sapiens raw counts; the Tabula Muris Senis matrix as stored in this Census version has mt-* counts zeroed at the upstream TMS preprocessing stage and contributed no mouse-side signal, so the bilateral combined value is effectively the human-only value. Per-type mt-fraction showed no correlation with the 35-type per-type divergence ranking (Spearman ρ = +0.099, p = 0.570, n = 35). Per-type cell-cycle (S + G2M) phase fraction, computed via scanpy.tl.score_genes_cell_cycle (Tirosh et al. 2016 gene lists), similarly showed no significant correlation (Spearman ρ = −0.201 [combined], p = 0.247, n = 35; human-only ρ = −0.292, p = 0.089 trending; mouse-only ρ = −0.124, p = 0.480). These descriptive correlations are reported against the per-type rank (rank 1 = most divergent), so a negative coefficient denotes higher cell-cycle fraction in more-divergent types; the same human-only quantity correlates at +0.30 against the residual magnitude in Table S1; the sign difference reflects the opposite orientation of the two targets (rank vs. magnitude), not a discrepancy. Both are descriptive sensitivity tests outside the inferential family of 52 (Table 1); neither reaches significance at α = 0.05. The multivariate elastic-net entry for cell-cycle fraction (coefficient +0.32, computed on the human-only fraction) remains in the joint predictor model above and is not duplicated in the inferential family.</w:t>
      </w:r>
    </w:p>
    <w:p>
      <w:pPr>
        <w:pStyle w:val="Heading2"/>
        <w:spacing w:line="480" w:lineRule="auto" w:after="120" w:before="360"/>
        <w:jc w:val="left"/>
      </w:pPr>
      <w:r>
        <w:rPr>
          <w:rFonts w:ascii="Arial" w:hAnsi="Arial" w:eastAsia="Arial" w:cs="Arial"/>
          <w:b/>
          <w:color w:val="000000"/>
          <w:sz w:val="28"/>
        </w:rPr>
        <w:t>Mouse lemur analysis</w:t>
      </w:r>
    </w:p>
    <w:p>
      <w:pPr>
        <w:spacing w:line="480" w:lineRule="auto" w:after="0" w:before="0"/>
        <w:jc w:val="both"/>
      </w:pPr>
      <w:r>
        <w:rPr>
          <w:rFonts w:ascii="Arial" w:hAnsi="Arial" w:eastAsia="Arial" w:cs="Arial"/>
          <w:b w:val="0"/>
          <w:i w:val="0"/>
          <w:sz w:val="24"/>
        </w:rPr>
        <w:t xml:space="preserve">Human–mouse-lemur Procrustes analysis used Tabula Microcebus[19], a multi-organ </w:t>
      </w:r>
      <w:r>
        <w:rPr>
          <w:rFonts w:ascii="Arial" w:hAnsi="Arial" w:eastAsia="Arial" w:cs="Arial"/>
          <w:b w:val="0"/>
          <w:i/>
          <w:sz w:val="24"/>
        </w:rPr>
        <w:t>Microcebus murinus</w:t>
      </w:r>
      <w:r>
        <w:rPr>
          <w:rFonts w:ascii="Arial" w:hAnsi="Arial" w:eastAsia="Arial" w:cs="Arial"/>
          <w:b w:val="0"/>
          <w:i w:val="0"/>
          <w:sz w:val="24"/>
        </w:rPr>
        <w:t xml:space="preserve"> single-cell atlas (~75 Mya divergence from human) accessed via CZ CELLxGENE Discover. Data were filtered to 10x 3' v2 protocol only (95% of atlas). Cell type matching followed the same Cell Ontology label-based criteria as the primary analysis. Fifteen cell types passed the ≥500-cell gate, all subsets of the primary 35-type set: B cell, CD4-positive alpha-beta T cell, CD8-positive alpha-beta T cell, T cell, endothelial cell, enterocyte of epithelium of large intestine, fibroblast, macrophage, mature NK T cell, mesenchymal stem cell, monocyte, natural killer cell, neutrophil, pancreatic acinar cell, and plasma cell. Per-type cell counts in the lemur atlas ranged from 546 to 2,000 (capped via the 2,000-cell-per-type sampling). Human–mouse-lemur 1:1 orthologs were obtained from Ensembl BioMart release 115 (mmurinus_homolog cross-reference attributes), yielding 13,796 shared ortholog genes after intersecting with genes expressed in both atlases. Human centroids were drawn from the pre-computed primary Tabula Sapiens[25] centroids. The same pipeline was applied (centroid computation; PCA selected by the same ≥95% variance-retention threshold as the primary analysis, yielding 15 components on the 30-centroid joint matrix at 95.5% variance retained; k = 14 retains 94.6%, just below threshold; Procrustes superimposition; 10,000 label permutations). Procrustes coherence was confirmed at obs/null = 0.346, p &lt; 10</w:t>
      </w:r>
      <w:r>
        <w:rPr>
          <w:rFonts w:ascii="Arial" w:hAnsi="Arial" w:eastAsia="Arial" w:cs="Arial"/>
          <w:b w:val="0"/>
          <w:i w:val="0"/>
          <w:sz w:val="24"/>
          <w:vertAlign w:val="superscript"/>
        </w:rPr>
        <w:t>−4</w:t>
      </w:r>
      <w:r>
        <w:rPr>
          <w:rFonts w:ascii="Arial" w:hAnsi="Arial" w:eastAsia="Arial" w:cs="Arial"/>
          <w:b w:val="0"/>
          <w:i w:val="0"/>
          <w:sz w:val="24"/>
        </w:rPr>
        <w:t xml:space="preserve"> (10,000 iterations); the per-type divergence ranking correlation against the primary 35-type ranking, restricted to the 15 shared types, was Spearman ρ = 0.157 (not significant).</w:t>
      </w:r>
    </w:p>
    <w:p>
      <w:pPr>
        <w:pStyle w:val="Heading2"/>
        <w:spacing w:line="480" w:lineRule="auto" w:after="120" w:before="360"/>
        <w:jc w:val="left"/>
      </w:pPr>
      <w:r>
        <w:rPr>
          <w:rFonts w:ascii="Arial" w:hAnsi="Arial" w:eastAsia="Arial" w:cs="Arial"/>
          <w:b/>
          <w:color w:val="000000"/>
          <w:sz w:val="28"/>
        </w:rPr>
        <w:t>Pan-Census replication</w:t>
      </w:r>
    </w:p>
    <w:p>
      <w:pPr>
        <w:spacing w:line="480" w:lineRule="auto" w:after="0" w:before="0"/>
        <w:jc w:val="both"/>
      </w:pPr>
      <w:r>
        <w:rPr>
          <w:rFonts w:ascii="Arial" w:hAnsi="Arial" w:eastAsia="Arial" w:cs="Arial"/>
          <w:b w:val="0"/>
          <w:i w:val="0"/>
          <w:sz w:val="24"/>
        </w:rPr>
        <w:t>A pan-Census replication was assembled from CZ CELLxGENE Census[29] (version 2025-11-08 build) by selecting independent datasets not used in the primary analysis or other replications. Datasets corresponding to the primary atlases or to existing replications were excluded by name (Tabula Sapiens, Tabula Muris Senis, CellHint, PanSci, EasySci). Eligible datasets were ranked by greedy set cover with the objective of maximizing the count of newly covered cell types from the 35-type primary set per dataset added: a cell type was counted as covered for a candidate dataset only if the dataset contained ≥200 cells of that type and the type was within the 35-type primary set. The procedure iteratively selected the dataset adding the most uncovered types, with pandas stable-sort tie-breaking and a secondary preference for datasets with more total qualifying types, and stopped either when the full 35-type set was covered or when no remaining dataset added any new types. The procedure was run independently for each species, and the union of selected datasets across the two runs constitutes the pan-Census panel. The greedy procedure converged at 15 datasets across 15 distinct CELLxGENE collections (9 mouse + 6 human; 15 is the empirical greedy output, not a pre-specified target), spanning research areas including lung development, kidney, pancreatic islet, embryonic limb, brain-border immunity, mammary gland, perinatal heart, cardiac injury, cardiomyopathy, white adipose tissue, distal airway, duodenum, and the developing immune system. Cell type matching used the same Cell Ontology label-based annotation criteria as the primary analysis, yielding a final pool of 22 shared cell types. Procrustes coherence was assessed using the standard pipeline with 10,000 label permutations, confirming the result at obs/null = 0.811 (p &lt; 10</w:t>
      </w:r>
      <w:r>
        <w:rPr>
          <w:rFonts w:ascii="Arial" w:hAnsi="Arial" w:eastAsia="Arial" w:cs="Arial"/>
          <w:b w:val="0"/>
          <w:i w:val="0"/>
          <w:sz w:val="24"/>
          <w:vertAlign w:val="superscript"/>
        </w:rPr>
        <w:t>−4</w:t>
      </w:r>
      <w:r>
        <w:rPr>
          <w:rFonts w:ascii="Arial" w:hAnsi="Arial" w:eastAsia="Arial" w:cs="Arial"/>
          <w:b w:val="0"/>
          <w:i w:val="0"/>
          <w:sz w:val="24"/>
        </w:rPr>
        <w:t>). The full 15-dataset UUID manifest is deposited with the analysis code (see Data Availability).</w:t>
      </w:r>
    </w:p>
    <w:p>
      <w:pPr>
        <w:pStyle w:val="Heading2"/>
        <w:spacing w:line="480" w:lineRule="auto" w:after="120" w:before="360"/>
        <w:jc w:val="left"/>
      </w:pPr>
      <w:r>
        <w:rPr>
          <w:rFonts w:ascii="Arial" w:hAnsi="Arial" w:eastAsia="Arial" w:cs="Arial"/>
          <w:b/>
          <w:color w:val="000000"/>
          <w:sz w:val="28"/>
        </w:rPr>
        <w:t>Software and reproducibility</w:t>
      </w:r>
    </w:p>
    <w:p>
      <w:pPr>
        <w:spacing w:line="480" w:lineRule="auto" w:after="0" w:before="0"/>
        <w:jc w:val="both"/>
      </w:pPr>
      <w:r>
        <w:rPr>
          <w:rFonts w:ascii="Arial" w:hAnsi="Arial" w:eastAsia="Arial" w:cs="Arial"/>
          <w:b w:val="0"/>
          <w:i w:val="0"/>
          <w:sz w:val="24"/>
        </w:rPr>
        <w:t>All analyses were implemented in Python 3.12.12 in a pip-managed virtual environment; the version-pinned dependency manifest is enumerated below and archived as requirements.txt alongside the analysis code (see Data Availability). A global random seed of RANDOM_SEED=42 was set at the entry point of all scripts involving stochastic operations, including bootstrap resampling, permutation testing, and cell subsampling. Results are fully deterministic given the archived data and code.</w:t>
      </w:r>
    </w:p>
    <w:p>
      <w:pPr>
        <w:spacing w:line="480" w:lineRule="auto" w:after="0" w:before="0"/>
        <w:jc w:val="both"/>
      </w:pPr>
      <w:r>
        <w:rPr>
          <w:rFonts w:ascii="Arial" w:hAnsi="Arial" w:eastAsia="Arial" w:cs="Arial"/>
          <w:b w:val="0"/>
          <w:i w:val="0"/>
          <w:sz w:val="24"/>
        </w:rPr>
        <w:t>The full version-pinned list of key software packages is provided in Supplementary Table S12.</w:t>
      </w:r>
    </w:p>
    <w:p>
      <w:pPr>
        <w:spacing w:line="480" w:lineRule="auto" w:after="0" w:before="0"/>
        <w:jc w:val="both"/>
      </w:pPr>
      <w:r>
        <w:rPr>
          <w:rFonts w:ascii="Arial" w:hAnsi="Arial" w:eastAsia="Arial" w:cs="Arial"/>
          <w:b/>
          <w:i w:val="0"/>
          <w:sz w:val="24"/>
        </w:rPr>
        <w:t>Primary datasets.</w:t>
      </w:r>
      <w:r>
        <w:rPr>
          <w:rFonts w:ascii="Arial" w:hAnsi="Arial" w:eastAsia="Arial" w:cs="Arial"/>
          <w:b w:val="0"/>
          <w:i w:val="0"/>
          <w:sz w:val="24"/>
        </w:rPr>
        <w:t xml:space="preserve"> Tabula Sapiens[25] and Tabula Muris Senis[26] data were accessed programmatically via the CZ CELLxGENE Census[29] Python package (v1.17.0, census_version='2025-11-08') rather than from original figshare deposits; the Census version pin is the reproducibility anchor for these two datasets. CellHint[28] data were similarly accessed via the same Census build. Tabula Microcebus[19] was accessed via CZ CELLxGENE Discover; because Discover does not version-pin in the manner of Census, the download date is the reproducibility anchor for this dataset.</w:t>
      </w:r>
    </w:p>
    <w:p>
      <w:pPr>
        <w:spacing w:line="480" w:lineRule="auto" w:after="0" w:before="0"/>
        <w:jc w:val="both"/>
      </w:pPr>
      <w:r>
        <w:rPr>
          <w:rFonts w:ascii="Arial" w:hAnsi="Arial" w:eastAsia="Arial" w:cs="Arial"/>
          <w:b/>
          <w:i w:val="0"/>
          <w:sz w:val="24"/>
        </w:rPr>
        <w:t>Ortholog reference.</w:t>
      </w:r>
      <w:r>
        <w:rPr>
          <w:rFonts w:ascii="Arial" w:hAnsi="Arial" w:eastAsia="Arial" w:cs="Arial"/>
          <w:b w:val="0"/>
          <w:i w:val="0"/>
          <w:sz w:val="24"/>
        </w:rPr>
        <w:t xml:space="preserve"> Human–mouse 1:1 orthologs were obtained from Ensembl BioMart release 115 (hsapiens_gene_ensembl, GRCh38.p14; accessed 2026-03-12). The full ortholog table is archived in the repository as a CSV file and constitutes the reproducibility anchor for all downstream gene space definitions (see Ortholog mapping and gene space). Human–macaque orthologs were obtained from the same BioMart release (hsapiens_homolog cross-reference attributes; accessed 2026-03-15).</w:t>
      </w:r>
    </w:p>
    <w:p>
      <w:pPr>
        <w:pStyle w:val="Heading2"/>
        <w:spacing w:line="480" w:lineRule="auto" w:after="120" w:before="360"/>
        <w:jc w:val="left"/>
      </w:pPr>
      <w:r>
        <w:rPr>
          <w:rFonts w:ascii="Arial" w:hAnsi="Arial" w:eastAsia="Arial" w:cs="Arial"/>
          <w:b/>
          <w:color w:val="000000"/>
          <w:sz w:val="28"/>
        </w:rPr>
        <w:t>Use of generative AI</w:t>
      </w:r>
    </w:p>
    <w:p>
      <w:pPr>
        <w:spacing w:line="480" w:lineRule="auto" w:after="0" w:before="0"/>
        <w:jc w:val="both"/>
      </w:pPr>
      <w:r>
        <w:rPr>
          <w:rFonts w:ascii="Arial" w:hAnsi="Arial" w:eastAsia="Arial" w:cs="Arial"/>
          <w:b w:val="0"/>
          <w:i w:val="0"/>
          <w:sz w:val="24"/>
        </w:rPr>
        <w:t>In the course of this work, the author used Claude (Anthropic), a large language model, to write and generate the analysis code, to assist with the data analysis, and to edit the manuscript text. The author read and reviewed all AI-generated code, ran the accompanying test and validation suites, reproduced the reported results, and checked outputs against expectations; the conceptualization, study design, conclusions, and interpretation are the author's own. The author takes full responsibility for the integrity and accuracy of all code, analyses, results, and text reported here. Claude is not an author of this work.</w:t>
      </w:r>
    </w:p>
    <w:p>
      <w:pPr>
        <w:pStyle w:val="Heading1"/>
        <w:spacing w:line="480" w:lineRule="auto" w:after="240" w:before="480"/>
        <w:jc w:val="left"/>
      </w:pPr>
      <w:r>
        <w:rPr>
          <w:rFonts w:ascii="Arial" w:hAnsi="Arial" w:eastAsia="Arial" w:cs="Arial"/>
          <w:b/>
          <w:color w:val="000000"/>
          <w:sz w:val="32"/>
        </w:rPr>
        <w:t>Acknowledgments</w:t>
      </w:r>
    </w:p>
    <w:p>
      <w:pPr>
        <w:spacing w:line="480" w:lineRule="auto" w:after="0" w:before="0"/>
        <w:jc w:val="both"/>
      </w:pPr>
      <w:r>
        <w:rPr>
          <w:rFonts w:ascii="Arial" w:hAnsi="Arial" w:eastAsia="Arial" w:cs="Arial"/>
          <w:b w:val="0"/>
          <w:i w:val="0"/>
          <w:sz w:val="24"/>
        </w:rPr>
        <w:t>The author thanks the Tabula Sapiens, Tabula Muris Senis, and Tabula Microcebus consortia, and the authors of the Sun et al., PanSci, CellHint, Qu et al., and Andrews et al. atlases, for making their data publicly available; and the CZ CELLxGENE Census team and Ensembl/BioMart for the data infrastructure that made cross-atlas analysis tractable.</w:t>
      </w:r>
    </w:p>
    <w:p>
      <w:pPr>
        <w:pStyle w:val="Heading1"/>
        <w:spacing w:line="480" w:lineRule="auto" w:after="240" w:before="480"/>
        <w:jc w:val="left"/>
      </w:pPr>
      <w:r>
        <w:rPr>
          <w:rFonts w:ascii="Arial" w:hAnsi="Arial" w:eastAsia="Arial" w:cs="Arial"/>
          <w:b/>
          <w:color w:val="000000"/>
          <w:sz w:val="32"/>
        </w:rPr>
        <w:t>Funding</w:t>
      </w:r>
    </w:p>
    <w:p>
      <w:pPr>
        <w:spacing w:line="480" w:lineRule="auto" w:after="0" w:before="0"/>
        <w:jc w:val="both"/>
      </w:pPr>
      <w:r>
        <w:rPr>
          <w:rFonts w:ascii="Arial" w:hAnsi="Arial" w:eastAsia="Arial" w:cs="Arial"/>
          <w:b w:val="0"/>
          <w:i w:val="0"/>
          <w:sz w:val="24"/>
        </w:rPr>
        <w:t>This research received no specific funding. It was conducted independently by the author, on personal time and using personal computational resources, with all data drawn from publicly available repositories.</w:t>
      </w:r>
    </w:p>
    <w:p>
      <w:pPr>
        <w:pStyle w:val="Heading1"/>
        <w:spacing w:line="480" w:lineRule="auto" w:after="240" w:before="480"/>
        <w:jc w:val="left"/>
      </w:pPr>
      <w:r>
        <w:rPr>
          <w:rFonts w:ascii="Arial" w:hAnsi="Arial" w:eastAsia="Arial" w:cs="Arial"/>
          <w:b/>
          <w:color w:val="000000"/>
          <w:sz w:val="32"/>
        </w:rPr>
        <w:t>Author Contributions</w:t>
      </w:r>
    </w:p>
    <w:p>
      <w:pPr>
        <w:spacing w:line="480" w:lineRule="auto" w:after="0" w:before="0"/>
        <w:jc w:val="both"/>
      </w:pPr>
      <w:r>
        <w:rPr>
          <w:rFonts w:ascii="Arial" w:hAnsi="Arial" w:eastAsia="Arial" w:cs="Arial"/>
          <w:b w:val="0"/>
          <w:i w:val="0"/>
          <w:sz w:val="24"/>
        </w:rPr>
        <w:t>Sriram Devadas: Conceptualization, Methodology, Software, Validation, Formal analysis, Investigation, Resources, Data curation, Writing: original draft, Writing: review &amp; editing, Visualization, Project administration.</w:t>
      </w:r>
    </w:p>
    <w:p>
      <w:pPr>
        <w:pStyle w:val="Heading1"/>
        <w:spacing w:line="480" w:lineRule="auto" w:after="240" w:before="480"/>
        <w:jc w:val="left"/>
      </w:pPr>
      <w:r>
        <w:rPr>
          <w:rFonts w:ascii="Arial" w:hAnsi="Arial" w:eastAsia="Arial" w:cs="Arial"/>
          <w:b/>
          <w:color w:val="000000"/>
          <w:sz w:val="32"/>
        </w:rPr>
        <w:t>Data Availability</w:t>
      </w:r>
    </w:p>
    <w:p>
      <w:pPr>
        <w:spacing w:line="480" w:lineRule="auto" w:after="0" w:before="0"/>
        <w:jc w:val="both"/>
      </w:pPr>
      <w:r>
        <w:rPr>
          <w:rFonts w:ascii="Arial" w:hAnsi="Arial" w:eastAsia="Arial" w:cs="Arial"/>
          <w:b w:val="0"/>
          <w:i w:val="0"/>
          <w:sz w:val="24"/>
        </w:rPr>
        <w:t>All primary single-cell RNA-sequencing datasets analyzed in this study are publicly available from their original repositories under the respective terms of use. Tabula Sapiens[25] and Tabula Muris Senis[26] were accessed via CZ CELLxGENE Census[29] (version 2025-11-08); their original figshare deposits are 10.6084/m9.figshare.14267219 and 10.6084/m9.figshare.12654728, respectively. Tabula Microcebus[19] was accessed via CZ CELLxGENE Discover (collection a137437b-d284-4a27-b1e9-36958a8f92c1, dataset a392ab34-9016-4f48-b45d-5b3a9cfa39fe; downloaded 2026-04-05). Replication datasets are available from the following accessions: Sun et al.[24] (OMIX002605 / GSA CRA007207), PanSci[27] (GEO GSE247719), Andrews et al.[30] (GEO GSE240429), Qu et al.[18] (GEO GSE196792), and CellHint[28] Human via CZ CELLxGENE Census[29] (version 2025-11-08). The pan-Census replication panel comprises 15 CZ CELLxGENE Census[29] datasets across 15 collections; the full dataset UUID manifest is archived with the analysis code.</w:t>
      </w:r>
    </w:p>
    <w:p>
      <w:pPr>
        <w:spacing w:line="480" w:lineRule="auto" w:after="0" w:before="0"/>
        <w:jc w:val="both"/>
      </w:pPr>
      <w:r>
        <w:rPr>
          <w:rFonts w:ascii="Arial" w:hAnsi="Arial" w:eastAsia="Arial" w:cs="Arial"/>
          <w:b w:val="0"/>
          <w:i w:val="0"/>
          <w:sz w:val="24"/>
        </w:rPr>
        <w:t>All analysis code, including the archived Ensembl/BioMart ortholog tables, is deposited at Zenodo (https://doi.org/10.5281/zenodo.20735612) under the MIT License.</w:t>
      </w:r>
    </w:p>
    <w:p>
      <w:pPr>
        <w:spacing w:line="480" w:lineRule="auto" w:after="0" w:before="0"/>
        <w:jc w:val="both"/>
      </w:pPr>
      <w:r>
        <w:rPr>
          <w:rFonts w:ascii="Arial" w:hAnsi="Arial" w:eastAsia="Arial" w:cs="Arial"/>
          <w:b w:val="0"/>
          <w:i w:val="0"/>
          <w:sz w:val="24"/>
        </w:rPr>
        <w:t>Original analysis outputs are deposited at Zenodo (https://doi.org/10.5281/zenodo.20735640) under a CC0 1.0 public-domain dedication; processed intermediate files can be regenerated from the deposited code and the listed accessions.</w:t>
      </w:r>
    </w:p>
    <w:p>
      <w:pPr>
        <w:pStyle w:val="Heading1"/>
        <w:spacing w:line="480" w:lineRule="auto" w:after="240" w:before="480"/>
        <w:jc w:val="left"/>
      </w:pPr>
      <w:r>
        <w:rPr>
          <w:rFonts w:ascii="Arial" w:hAnsi="Arial" w:eastAsia="Arial" w:cs="Arial"/>
          <w:b/>
          <w:color w:val="000000"/>
          <w:sz w:val="32"/>
        </w:rPr>
        <w:t>References</w:t>
      </w:r>
    </w:p>
    <w:p>
      <w:pPr>
        <w:spacing w:line="480" w:lineRule="auto" w:after="120" w:before="0"/>
        <w:jc w:val="both"/>
      </w:pPr>
      <w:r>
        <w:rPr>
          <w:rFonts w:ascii="Arial" w:hAnsi="Arial" w:eastAsia="Arial" w:cs="Arial"/>
          <w:b w:val="0"/>
          <w:i w:val="0"/>
          <w:sz w:val="24"/>
        </w:rPr>
        <w:t>1. Liang C, FANTOM Consortium, Forrest ARR, Wagner GP. The statistical geometry of transcriptome divergence in cell-type evolution and cancer. Nat Commun. 2015;6: 6066. doi:10.1038/ncomms7066</w:t>
      </w:r>
    </w:p>
    <w:p>
      <w:pPr>
        <w:spacing w:line="480" w:lineRule="auto" w:after="120" w:before="0"/>
        <w:jc w:val="both"/>
      </w:pPr>
      <w:r>
        <w:rPr>
          <w:rFonts w:ascii="Arial" w:hAnsi="Arial" w:eastAsia="Arial" w:cs="Arial"/>
          <w:b w:val="0"/>
          <w:i w:val="0"/>
          <w:sz w:val="24"/>
        </w:rPr>
        <w:t>2. Zhong H, Han W, Gomez-Cabrero D, Tegner J, Gao X, Cui G, et al. Benchmarking cross-species single-cell RNA-seq data integration methods: towards a cell type tree of life. Nucleic Acids Res. 2025;53: gkae1316. doi:10.1093/nar/gkae1316</w:t>
      </w:r>
    </w:p>
    <w:p>
      <w:pPr>
        <w:spacing w:line="480" w:lineRule="auto" w:after="120" w:before="0"/>
        <w:jc w:val="both"/>
      </w:pPr>
      <w:r>
        <w:rPr>
          <w:rFonts w:ascii="Arial" w:hAnsi="Arial" w:eastAsia="Arial" w:cs="Arial"/>
          <w:b w:val="0"/>
          <w:i w:val="0"/>
          <w:sz w:val="24"/>
        </w:rPr>
        <w:t>3. Tarashansky AJ, Musser JM, Khariton M, Li P, Arendt D, Quake SR, et al. Mapping single-cell atlases throughout Metazoa unravels cell type evolution. eLife. 2021;10: e66747. doi:10.7554/eLife.66747</w:t>
      </w:r>
    </w:p>
    <w:p>
      <w:pPr>
        <w:spacing w:line="480" w:lineRule="auto" w:after="120" w:before="0"/>
        <w:jc w:val="both"/>
      </w:pPr>
      <w:r>
        <w:rPr>
          <w:rFonts w:ascii="Arial" w:hAnsi="Arial" w:eastAsia="Arial" w:cs="Arial"/>
          <w:b w:val="0"/>
          <w:i w:val="0"/>
          <w:sz w:val="24"/>
        </w:rPr>
        <w:t>4. Rosen Y, Brbić M, Roohani Y, Swanson K, Li Z, Leskovec J. Toward universal cell embeddings: integrating single-cell RNA-seq datasets across species with SATURN. Nat Methods. 2024;21: 1492–1500. doi:10.1038/s41592-024-02191-z</w:t>
      </w:r>
    </w:p>
    <w:p>
      <w:pPr>
        <w:spacing w:line="480" w:lineRule="auto" w:after="120" w:before="0"/>
        <w:jc w:val="both"/>
      </w:pPr>
      <w:r>
        <w:rPr>
          <w:rFonts w:ascii="Arial" w:hAnsi="Arial" w:eastAsia="Arial" w:cs="Arial"/>
          <w:b w:val="0"/>
          <w:i w:val="0"/>
          <w:sz w:val="24"/>
        </w:rPr>
        <w:t>5. Jacques M-A, Göttgens B, Marioni JC. Comparative biology at single-cell resolution: rigorous matching of atlases for cross-species analysis. bioRxiv [Preprint]. 2026. doi:10.64898/2026.02.18.706600</w:t>
      </w:r>
    </w:p>
    <w:p>
      <w:pPr>
        <w:spacing w:line="480" w:lineRule="auto" w:after="120" w:before="0"/>
        <w:jc w:val="both"/>
      </w:pPr>
      <w:r>
        <w:rPr>
          <w:rFonts w:ascii="Arial" w:hAnsi="Arial" w:eastAsia="Arial" w:cs="Arial"/>
          <w:b w:val="0"/>
          <w:i w:val="0"/>
          <w:sz w:val="24"/>
        </w:rPr>
        <w:t>6. Zhang R, Yang M, Schreiber J, O'Day DR, Turner JMA, Shendure J, et al. Cross-species imputation and comparison of single-cell transcriptomic profiles. Genome Biol. 2025;26: 40. doi:10.1186/s13059-025-03493-x</w:t>
      </w:r>
    </w:p>
    <w:p>
      <w:pPr>
        <w:spacing w:line="480" w:lineRule="auto" w:after="120" w:before="0"/>
        <w:jc w:val="both"/>
      </w:pPr>
      <w:r>
        <w:rPr>
          <w:rFonts w:ascii="Arial" w:hAnsi="Arial" w:eastAsia="Arial" w:cs="Arial"/>
          <w:b w:val="0"/>
          <w:i w:val="0"/>
          <w:sz w:val="24"/>
        </w:rPr>
        <w:t>7. Guo Z-H, Huang D-S, Zhang S. Multi-species integration, alignment and annotation of single-cell RNA-seq data with CAMEX. Nat Commun. 2026;17: 3017. doi:10.1038/s41467-026-69696-3</w:t>
      </w:r>
    </w:p>
    <w:p>
      <w:pPr>
        <w:spacing w:line="480" w:lineRule="auto" w:after="120" w:before="0"/>
        <w:jc w:val="both"/>
      </w:pPr>
      <w:r>
        <w:rPr>
          <w:rFonts w:ascii="Arial" w:hAnsi="Arial" w:eastAsia="Arial" w:cs="Arial"/>
          <w:b w:val="0"/>
          <w:i w:val="0"/>
          <w:sz w:val="24"/>
        </w:rPr>
        <w:t>8. Tokuta Y, Nakamura T, Fujiwara K, Imamura M, Nagano M, Saitou M, et al. Geometric inference of cross-species transcriptome correspondence using Gromov-Wasserstein optimal transport. bioRxiv [Preprint]. 2025. doi:10.1101/2025.10.23.684069</w:t>
      </w:r>
    </w:p>
    <w:p>
      <w:pPr>
        <w:spacing w:line="480" w:lineRule="auto" w:after="120" w:before="0"/>
        <w:jc w:val="both"/>
      </w:pPr>
      <w:r>
        <w:rPr>
          <w:rFonts w:ascii="Arial" w:hAnsi="Arial" w:eastAsia="Arial" w:cs="Arial"/>
          <w:b w:val="0"/>
          <w:i w:val="0"/>
          <w:sz w:val="24"/>
        </w:rPr>
        <w:t>9. Qin T, Zhang H, Zou Z. Unveiling cell-type-specific mode of evolution in comparative single-cell expression data. J Genet Genomics. 2026;53: 28–42. doi:10.1016/j.jgg.2025.04.022</w:t>
      </w:r>
    </w:p>
    <w:p>
      <w:pPr>
        <w:spacing w:line="480" w:lineRule="auto" w:after="120" w:before="0"/>
        <w:jc w:val="both"/>
      </w:pPr>
      <w:r>
        <w:rPr>
          <w:rFonts w:ascii="Arial" w:hAnsi="Arial" w:eastAsia="Arial" w:cs="Arial"/>
          <w:b w:val="0"/>
          <w:i w:val="0"/>
          <w:sz w:val="24"/>
        </w:rPr>
        <w:t>10. Pearce JD, Simmonds SE, Mahmoudabadi G, Krishnan L, Palla G, Istrate A-M, et al. A cross-species generative cell atlas across 1.5 billion years of evolution: the TranscriptFormer single-cell model. bioRxiv [Preprint]. 2025. doi:10.1101/2025.04.25.650731</w:t>
      </w:r>
    </w:p>
    <w:p>
      <w:pPr>
        <w:spacing w:line="480" w:lineRule="auto" w:after="120" w:before="0"/>
        <w:jc w:val="both"/>
      </w:pPr>
      <w:r>
        <w:rPr>
          <w:rFonts w:ascii="Arial" w:hAnsi="Arial" w:eastAsia="Arial" w:cs="Arial"/>
          <w:b w:val="0"/>
          <w:i w:val="0"/>
          <w:sz w:val="24"/>
        </w:rPr>
        <w:t>11. Song Y, Miao Z, Brazma A, Papatheodorou I. Benchmarking strategies for cross-species integration of single-cell RNA sequencing data. Nat Commun. 2023;14: 6495. doi:10.1038/s41467-023-41855-w</w:t>
      </w:r>
    </w:p>
    <w:p>
      <w:pPr>
        <w:spacing w:line="480" w:lineRule="auto" w:after="120" w:before="0"/>
        <w:jc w:val="both"/>
      </w:pPr>
      <w:r>
        <w:rPr>
          <w:rFonts w:ascii="Arial" w:hAnsi="Arial" w:eastAsia="Arial" w:cs="Arial"/>
          <w:b w:val="0"/>
          <w:i w:val="0"/>
          <w:sz w:val="24"/>
        </w:rPr>
        <w:t>12. Dryden IL, Mardia KV. Statistical Shape Analysis. 2nd ed. Chichester: John Wiley &amp; Sons; 2016. doi:10.1002/9781119072492</w:t>
      </w:r>
    </w:p>
    <w:p>
      <w:pPr>
        <w:spacing w:line="480" w:lineRule="auto" w:after="120" w:before="0"/>
        <w:jc w:val="both"/>
      </w:pPr>
      <w:r>
        <w:rPr>
          <w:rFonts w:ascii="Arial" w:hAnsi="Arial" w:eastAsia="Arial" w:cs="Arial"/>
          <w:b w:val="0"/>
          <w:i w:val="0"/>
          <w:sz w:val="24"/>
        </w:rPr>
        <w:t>13. Ma R, Sun ED, Donoho D, Zou J. Principled and interpretable alignability testing and integration of single-cell data. Proc Natl Acad Sci USA. 2024;121: e2313719121. doi:10.1073/pnas.2313719121</w:t>
      </w:r>
    </w:p>
    <w:p>
      <w:pPr>
        <w:spacing w:line="480" w:lineRule="auto" w:after="120" w:before="0"/>
        <w:jc w:val="both"/>
      </w:pPr>
      <w:r>
        <w:rPr>
          <w:rFonts w:ascii="Arial" w:hAnsi="Arial" w:eastAsia="Arial" w:cs="Arial"/>
          <w:b w:val="0"/>
          <w:i w:val="0"/>
          <w:sz w:val="24"/>
        </w:rPr>
        <w:t>14. Martínez-Abadías N, Mateu R, Niksic M, Russo L, Sharpe J. Geometric morphometrics on gene expression patterns within phenotypes: a case example on limb development. Syst Biol. 2016;65: 194–211. doi:10.1093/sysbio/syv067</w:t>
      </w:r>
    </w:p>
    <w:p>
      <w:pPr>
        <w:spacing w:line="480" w:lineRule="auto" w:after="120" w:before="0"/>
        <w:jc w:val="both"/>
      </w:pPr>
      <w:r>
        <w:rPr>
          <w:rFonts w:ascii="Arial" w:hAnsi="Arial" w:eastAsia="Arial" w:cs="Arial"/>
          <w:b w:val="0"/>
          <w:i w:val="0"/>
          <w:sz w:val="24"/>
        </w:rPr>
        <w:t>15. Kumar S, Suleski M, Craig JM, Kasprowicz AE, Sanderford M, Li M, et al. TimeTree 5: An expanded resource for species divergence times. Mol Biol Evol. 2022;39(8): msac174. doi:10.1093/molbev/msac174</w:t>
      </w:r>
    </w:p>
    <w:p>
      <w:pPr>
        <w:spacing w:line="480" w:lineRule="auto" w:after="120" w:before="0"/>
        <w:jc w:val="both"/>
      </w:pPr>
      <w:r>
        <w:rPr>
          <w:rFonts w:ascii="Arial" w:hAnsi="Arial" w:eastAsia="Arial" w:cs="Arial"/>
          <w:b w:val="0"/>
          <w:i w:val="0"/>
          <w:sz w:val="24"/>
        </w:rPr>
        <w:t>16. Mah JL, Dunn CW. Cell type evolution reconstruction across species through cell phylogenies of single-cell RNA sequencing data. Nat Ecol Evol. 2024;8: 325–338. doi:10.1038/s41559-023-02281-9</w:t>
      </w:r>
    </w:p>
    <w:p>
      <w:pPr>
        <w:spacing w:line="480" w:lineRule="auto" w:after="120" w:before="0"/>
        <w:jc w:val="both"/>
      </w:pPr>
      <w:r>
        <w:rPr>
          <w:rFonts w:ascii="Arial" w:hAnsi="Arial" w:eastAsia="Arial" w:cs="Arial"/>
          <w:b w:val="0"/>
          <w:i w:val="0"/>
          <w:sz w:val="24"/>
        </w:rPr>
        <w:t>17. Arendt D, Musser JM, Baker CVH, Bergman A, Cepko C, Erwin DH, et al. The origin and evolution of cell types. Nat Rev Genet. 2016;17: 744–757. doi:10.1038/nrg.2016.127</w:t>
      </w:r>
    </w:p>
    <w:p>
      <w:pPr>
        <w:spacing w:line="480" w:lineRule="auto" w:after="120" w:before="0"/>
        <w:jc w:val="both"/>
      </w:pPr>
      <w:r>
        <w:rPr>
          <w:rFonts w:ascii="Arial" w:hAnsi="Arial" w:eastAsia="Arial" w:cs="Arial"/>
          <w:b w:val="0"/>
          <w:i w:val="0"/>
          <w:sz w:val="24"/>
        </w:rPr>
        <w:t>18. Qu J, Yang F, Zhu T, Wang Y, Fang W, Ding Y, et al. A reference single-cell regulomic and transcriptomic map of cynomolgus monkeys. Nat Commun. 2022;13: 4069. doi:10.1038/s41467-022-31770-x</w:t>
      </w:r>
    </w:p>
    <w:p>
      <w:pPr>
        <w:spacing w:line="480" w:lineRule="auto" w:after="120" w:before="0"/>
        <w:jc w:val="both"/>
      </w:pPr>
      <w:r>
        <w:rPr>
          <w:rFonts w:ascii="Arial" w:hAnsi="Arial" w:eastAsia="Arial" w:cs="Arial"/>
          <w:b w:val="0"/>
          <w:i w:val="0"/>
          <w:sz w:val="24"/>
        </w:rPr>
        <w:t>19. Tabula Microcebus Consortium, Ezran C, Liu S, Chang S, Ming J, Botvinnik OB, et al. A molecular cell atlas of mouse lemur, an emerging model primate. Nature. 2025;644: 173–184. doi:10.1038/s41586-025-09113-9</w:t>
      </w:r>
    </w:p>
    <w:p>
      <w:pPr>
        <w:spacing w:line="480" w:lineRule="auto" w:after="120" w:before="0"/>
        <w:jc w:val="both"/>
      </w:pPr>
      <w:r>
        <w:rPr>
          <w:rFonts w:ascii="Arial" w:hAnsi="Arial" w:eastAsia="Arial" w:cs="Arial"/>
          <w:b w:val="0"/>
          <w:i w:val="0"/>
          <w:sz w:val="24"/>
        </w:rPr>
        <w:t>20. Zemke NR, Armand EJ, Wang W, Lee S, Zhou J, Li YE, et al. Conserved and divergent gene regulatory programs of the mammalian neocortex. Nature. 2023;624: 390–402. doi:10.1038/s41586-023-06819-6</w:t>
      </w:r>
    </w:p>
    <w:p>
      <w:pPr>
        <w:spacing w:line="480" w:lineRule="auto" w:after="120" w:before="0"/>
        <w:jc w:val="both"/>
      </w:pPr>
      <w:r>
        <w:rPr>
          <w:rFonts w:ascii="Arial" w:hAnsi="Arial" w:eastAsia="Arial" w:cs="Arial"/>
          <w:b w:val="0"/>
          <w:i w:val="0"/>
          <w:sz w:val="24"/>
        </w:rPr>
        <w:t>21. Li J, Wang J, Zhang P, Wang R, Mei Y, Sun Z, et al. Deep learning of cross-species single-cell landscapes identifies conserved regulatory programs underlying cell types. Nat Genet. 2022;54: 1711–1720. doi:10.1038/s41588-022-01197-7</w:t>
      </w:r>
    </w:p>
    <w:p>
      <w:pPr>
        <w:spacing w:line="480" w:lineRule="auto" w:after="120" w:before="0"/>
        <w:jc w:val="both"/>
      </w:pPr>
      <w:r>
        <w:rPr>
          <w:rFonts w:ascii="Arial" w:hAnsi="Arial" w:eastAsia="Arial" w:cs="Arial"/>
          <w:b w:val="0"/>
          <w:i w:val="0"/>
          <w:sz w:val="24"/>
        </w:rPr>
        <w:t>22. Schmitz MT, Ding JW, Nolbrant S, McMullen R, Kim CN, Pavlovic BJ, et al. ANTIPODE provides a global view of cell type homology and transcriptomic divergence in the developing mammalian brain. bioRxiv [Preprint]. 2025. doi:10.1101/2025.10.18.683238</w:t>
      </w:r>
    </w:p>
    <w:p>
      <w:pPr>
        <w:spacing w:line="480" w:lineRule="auto" w:after="120" w:before="0"/>
        <w:jc w:val="both"/>
      </w:pPr>
      <w:r>
        <w:rPr>
          <w:rFonts w:ascii="Arial" w:hAnsi="Arial" w:eastAsia="Arial" w:cs="Arial"/>
          <w:b w:val="0"/>
          <w:i w:val="0"/>
          <w:sz w:val="24"/>
        </w:rPr>
        <w:t>23. Krzanowski WJ. Between-groups comparison of principal components. J Am Stat Assoc. 1979;74: 703–707. doi:10.1080/01621459.1979.10481674</w:t>
      </w:r>
    </w:p>
    <w:p>
      <w:pPr>
        <w:spacing w:line="480" w:lineRule="auto" w:after="120" w:before="0"/>
        <w:jc w:val="both"/>
      </w:pPr>
      <w:r>
        <w:rPr>
          <w:rFonts w:ascii="Arial" w:hAnsi="Arial" w:eastAsia="Arial" w:cs="Arial"/>
          <w:b w:val="0"/>
          <w:i w:val="0"/>
          <w:sz w:val="24"/>
        </w:rPr>
        <w:t>24. Sun S, Ma S, Cai Y, Wang S, Ren J, Yang Y, et al. A single-cell transcriptomic atlas of exercise-induced anti-inflammatory and geroprotective effects across the body. Innovation (Camb). 2023;4: 100380. doi:10.1016/j.xinn.2023.100380</w:t>
      </w:r>
    </w:p>
    <w:p>
      <w:pPr>
        <w:spacing w:line="480" w:lineRule="auto" w:after="120" w:before="0"/>
        <w:jc w:val="both"/>
      </w:pPr>
      <w:r>
        <w:rPr>
          <w:rFonts w:ascii="Arial" w:hAnsi="Arial" w:eastAsia="Arial" w:cs="Arial"/>
          <w:b w:val="0"/>
          <w:i w:val="0"/>
          <w:sz w:val="24"/>
        </w:rPr>
        <w:t>25. The Tabula Sapiens Consortium. The Tabula Sapiens: A multiple-organ, single-cell transcriptomic atlas of humans. Science. 2022;376: eabl4896. doi:10.1126/science.abl4896</w:t>
      </w:r>
    </w:p>
    <w:p>
      <w:pPr>
        <w:spacing w:line="480" w:lineRule="auto" w:after="120" w:before="0"/>
        <w:jc w:val="both"/>
      </w:pPr>
      <w:r>
        <w:rPr>
          <w:rFonts w:ascii="Arial" w:hAnsi="Arial" w:eastAsia="Arial" w:cs="Arial"/>
          <w:b w:val="0"/>
          <w:i w:val="0"/>
          <w:sz w:val="24"/>
        </w:rPr>
        <w:t>26. The Tabula Muris Consortium. A single-cell transcriptomic atlas characterizes ageing tissues in the mouse. Nature. 2020;583: 590–595. doi:10.1038/s41586-020-2496-1</w:t>
      </w:r>
    </w:p>
    <w:p>
      <w:pPr>
        <w:spacing w:line="480" w:lineRule="auto" w:after="120" w:before="0"/>
        <w:jc w:val="both"/>
      </w:pPr>
      <w:r>
        <w:rPr>
          <w:rFonts w:ascii="Arial" w:hAnsi="Arial" w:eastAsia="Arial" w:cs="Arial"/>
          <w:b w:val="0"/>
          <w:i w:val="0"/>
          <w:sz w:val="24"/>
        </w:rPr>
        <w:t>27. Zhang Z, Schaefer C, Jiang W, Lu Z, Lee J, Sziraki A, et al. A panoramic view of cell population dynamics in mammalian aging. Science. 2025;387: eadn3949. doi:10.1126/science.adn3949</w:t>
      </w:r>
    </w:p>
    <w:p>
      <w:pPr>
        <w:spacing w:line="480" w:lineRule="auto" w:after="120" w:before="0"/>
        <w:jc w:val="both"/>
      </w:pPr>
      <w:r>
        <w:rPr>
          <w:rFonts w:ascii="Arial" w:hAnsi="Arial" w:eastAsia="Arial" w:cs="Arial"/>
          <w:b w:val="0"/>
          <w:i w:val="0"/>
          <w:sz w:val="24"/>
        </w:rPr>
        <w:t>28. Xu C, Prete M, Webb S, Jardine L, Stewart BJ, Hoo R, et al. Automatic cell-type harmonization and integration across Human Cell Atlas datasets. Cell. 2023;186: 5876–5891.e20. doi:10.1016/j.cell.2023.11.026</w:t>
      </w:r>
    </w:p>
    <w:p>
      <w:pPr>
        <w:spacing w:line="480" w:lineRule="auto" w:after="120" w:before="0"/>
        <w:jc w:val="both"/>
      </w:pPr>
      <w:r>
        <w:rPr>
          <w:rFonts w:ascii="Arial" w:hAnsi="Arial" w:eastAsia="Arial" w:cs="Arial"/>
          <w:b w:val="0"/>
          <w:i w:val="0"/>
          <w:sz w:val="24"/>
        </w:rPr>
        <w:t>29. CZI Cell Science Program, Abdulla S, Aevermann B, Assis P, Badajoz S, Bell SM, et al. CZ CELLxGENE Discover: a single-cell data platform for scalable exploration, analysis and modeling of aggregated data. Nucleic Acids Res. 2025;53: D886–D900. doi:10.1093/nar/gkae1142</w:t>
      </w:r>
    </w:p>
    <w:p>
      <w:pPr>
        <w:spacing w:line="480" w:lineRule="auto" w:after="120" w:before="0"/>
        <w:jc w:val="both"/>
      </w:pPr>
      <w:r>
        <w:rPr>
          <w:rFonts w:ascii="Arial" w:hAnsi="Arial" w:eastAsia="Arial" w:cs="Arial"/>
          <w:b w:val="0"/>
          <w:i w:val="0"/>
          <w:sz w:val="24"/>
        </w:rPr>
        <w:t>30. Andrews TS, Nakib D, Perciani CT, Ma XZ, Liu L, Winter E, et al. Single-cell, single-nucleus, and spatial transcriptomics characterization of the immunological landscape in the healthy and PSC human liver. J Hepatol. 2024;80: 730–743. doi:10.1016/j.jhep.2023.12.023</w:t>
      </w:r>
    </w:p>
    <w:p>
      <w:pPr>
        <w:spacing w:line="480" w:lineRule="auto" w:after="120" w:before="0"/>
        <w:jc w:val="both"/>
      </w:pPr>
      <w:r>
        <w:rPr>
          <w:rFonts w:ascii="Arial" w:hAnsi="Arial" w:eastAsia="Arial" w:cs="Arial"/>
          <w:b w:val="0"/>
          <w:i w:val="0"/>
          <w:sz w:val="24"/>
        </w:rPr>
        <w:t>31. Han X, Wang R, Zhou Y, Fei L, Sun H, Lai S, et al. Mapping the mouse cell atlas by Microwell-seq. Cell. 2018;172: 1091–1107.e17. doi:10.1016/j.cell.2018.02.001</w:t>
      </w:r>
    </w:p>
    <w:p>
      <w:pPr>
        <w:spacing w:line="480" w:lineRule="auto" w:after="120" w:before="0"/>
        <w:jc w:val="both"/>
      </w:pPr>
      <w:r>
        <w:rPr>
          <w:rFonts w:ascii="Arial" w:hAnsi="Arial" w:eastAsia="Arial" w:cs="Arial"/>
          <w:b w:val="0"/>
          <w:i w:val="0"/>
          <w:sz w:val="24"/>
        </w:rPr>
        <w:t>32. Regev A, Teichmann SA, Lander ES, Amit I, Benoist C, Birney E, et al. The Human Cell Atlas. eLife. 2017;6: e27041. doi:10.7554/eLife.27041</w:t>
      </w:r>
    </w:p>
    <w:p>
      <w:pPr>
        <w:spacing w:line="480" w:lineRule="auto" w:after="120" w:before="0"/>
        <w:jc w:val="both"/>
      </w:pPr>
      <w:r>
        <w:rPr>
          <w:rFonts w:ascii="Arial" w:hAnsi="Arial" w:eastAsia="Arial" w:cs="Arial"/>
          <w:b w:val="0"/>
          <w:i w:val="0"/>
          <w:sz w:val="24"/>
        </w:rPr>
        <w:t>33. Hu C, Li T, Xu Y, Zhang X, Li F, Bai J, et al. CellMarker 2.0: an updated database of manually curated cell markers in human and mouse. Nucleic Acids Res. 2023;51(D1): D870–D876. doi:10.1093/nar/gkac947</w:t>
      </w:r>
    </w:p>
    <w:p>
      <w:pPr>
        <w:spacing w:line="480" w:lineRule="auto" w:after="120" w:before="0"/>
        <w:jc w:val="both"/>
      </w:pPr>
      <w:r>
        <w:rPr>
          <w:rFonts w:ascii="Arial" w:hAnsi="Arial" w:eastAsia="Arial" w:cs="Arial"/>
          <w:b w:val="0"/>
          <w:i w:val="0"/>
          <w:sz w:val="24"/>
        </w:rPr>
        <w:t>34. Uhlén M, Fagerberg L, Hallström BM, Lindskog C, Oksvold P, Mardinoglu A, et al. Tissue-based map of the human proteome. Science. 2015;347: 1260419. doi:10.1126/science.1260419</w:t>
      </w:r>
    </w:p>
    <w:p>
      <w:pPr>
        <w:spacing w:line="480" w:lineRule="auto" w:after="120" w:before="0"/>
        <w:jc w:val="both"/>
      </w:pPr>
      <w:r>
        <w:rPr>
          <w:rFonts w:ascii="Arial" w:hAnsi="Arial" w:eastAsia="Arial" w:cs="Arial"/>
          <w:b w:val="0"/>
          <w:i w:val="0"/>
          <w:sz w:val="24"/>
        </w:rPr>
        <w:t>35. Subramanian A, Narayan R, Corsello SM, Peck DD, Natoli TE, Lu X, et al. A next generation connectivity map: L1000 platform and the first 1,000,000 profiles. Cell. 2017;171: 1437–1452.e17. doi:10.1016/j.cell.2017.10.049</w:t>
      </w:r>
    </w:p>
    <w:p>
      <w:pPr>
        <w:spacing w:line="480" w:lineRule="auto" w:after="120" w:before="0"/>
        <w:jc w:val="both"/>
      </w:pPr>
      <w:r>
        <w:rPr>
          <w:rFonts w:ascii="Arial" w:hAnsi="Arial" w:eastAsia="Arial" w:cs="Arial"/>
          <w:b w:val="0"/>
          <w:i w:val="0"/>
          <w:sz w:val="24"/>
        </w:rPr>
        <w:t>36. Townes FW, Hicks SC, Aryee MJ, Irizarry RA. Feature selection and dimension reduction for single-cell RNA-Seq based on a multinomial model. Genome Biol. 2019;20: 295. doi:10.1186/s13059-019-1861-6</w:t>
      </w:r>
    </w:p>
    <w:p>
      <w:pPr>
        <w:spacing w:line="480" w:lineRule="auto" w:after="120" w:before="0"/>
        <w:jc w:val="both"/>
      </w:pPr>
      <w:r>
        <w:rPr>
          <w:rFonts w:ascii="Arial" w:hAnsi="Arial" w:eastAsia="Arial" w:cs="Arial"/>
          <w:b w:val="0"/>
          <w:i w:val="0"/>
          <w:sz w:val="24"/>
        </w:rPr>
        <w:t>37. Chen M, Dahl A. A robust model for cell type-specific interindividual variation in single-cell RNA sequencing data. Nat Commun. 2024;15: 5229. doi:10.1038/s41467-024-49242-9</w:t>
      </w:r>
    </w:p>
    <w:p>
      <w:pPr>
        <w:spacing w:line="480" w:lineRule="auto" w:after="120" w:before="0"/>
        <w:jc w:val="both"/>
      </w:pPr>
      <w:r>
        <w:rPr>
          <w:rFonts w:ascii="Arial" w:hAnsi="Arial" w:eastAsia="Arial" w:cs="Arial"/>
          <w:b w:val="0"/>
          <w:i w:val="0"/>
          <w:sz w:val="24"/>
        </w:rPr>
        <w:t>38. Crow M, Paul A, Ballouz S, Huang ZJ, Gillis J. Characterizing the replicability of cell types defined by single cell RNA-sequencing data using MetaNeighbor. Nat Commun. 2018;9: 884. doi:10.1038/s41467-018-03282-0</w:t>
      </w:r>
    </w:p>
    <w:p>
      <w:pPr>
        <w:spacing w:line="480" w:lineRule="auto" w:after="120" w:before="0"/>
        <w:jc w:val="both"/>
      </w:pPr>
      <w:r>
        <w:rPr>
          <w:rFonts w:ascii="Arial" w:hAnsi="Arial" w:eastAsia="Arial" w:cs="Arial"/>
          <w:b w:val="0"/>
          <w:i w:val="0"/>
          <w:sz w:val="24"/>
        </w:rPr>
        <w:t>39. Sebé-Pedrós A, Tanay A, Lawniczak MKN, Arendt D, Aerts S, Archibald J, et al. The Biodiversity Cell Atlas: mapping the tree of life at cellular resolution. Nature. 2025;645: 877–885. doi:10.1038/s41586-025-09312-4</w:t>
      </w:r>
    </w:p>
    <w:p>
      <w:pPr>
        <w:spacing w:line="480" w:lineRule="auto" w:after="120" w:before="0"/>
        <w:jc w:val="both"/>
      </w:pPr>
      <w:r>
        <w:rPr>
          <w:rFonts w:ascii="Arial" w:hAnsi="Arial" w:eastAsia="Arial" w:cs="Arial"/>
          <w:b w:val="0"/>
          <w:i w:val="0"/>
          <w:sz w:val="24"/>
        </w:rPr>
        <w:t>40. Hecker N, Kempynck N, Mauduit D, Abaffyová D, Vandepoel R, Dieltiens S, et al. Enhancer-driven cell type comparison reveals similarities between the mammalian and bird pallium. Science. 2025;387: eadp3957. doi:10.1126/science.adp3957</w:t>
      </w:r>
    </w:p>
    <w:p>
      <w:pPr>
        <w:spacing w:line="480" w:lineRule="auto" w:after="120" w:before="0"/>
        <w:jc w:val="both"/>
      </w:pPr>
      <w:r>
        <w:rPr>
          <w:rFonts w:ascii="Arial" w:hAnsi="Arial" w:eastAsia="Arial" w:cs="Arial"/>
          <w:b w:val="0"/>
          <w:i w:val="0"/>
          <w:sz w:val="24"/>
        </w:rPr>
        <w:t>41. Diehl AD, Meehan TF, Bradford YM, Brush MH, Dahdul WM, Dougall DS, et al. The Cell Ontology 2016: enhanced content, modularization, and ontology interoperability. J Biomed Semantics. 2016;7: 44. doi:10.1186/s13326-016-0088-7</w:t>
      </w:r>
    </w:p>
    <w:p>
      <w:pPr>
        <w:spacing w:line="480" w:lineRule="auto" w:after="120" w:before="0"/>
        <w:jc w:val="both"/>
      </w:pPr>
      <w:r>
        <w:rPr>
          <w:rFonts w:ascii="Arial" w:hAnsi="Arial" w:eastAsia="Arial" w:cs="Arial"/>
          <w:b w:val="0"/>
          <w:i w:val="0"/>
          <w:sz w:val="24"/>
        </w:rPr>
        <w:t>42. Cardini A, Verderame AM. Procrustes shape cannot be analyzed, interpreted or visualized one landmark at a time. Evol Biol. 2022;49: 239–254. doi:10.1007/s11692-022-09565-1</w:t>
      </w:r>
    </w:p>
    <w:p>
      <w:pPr>
        <w:spacing w:line="480" w:lineRule="auto" w:after="120" w:before="0"/>
        <w:jc w:val="both"/>
      </w:pPr>
      <w:r>
        <w:rPr>
          <w:rFonts w:ascii="Arial" w:hAnsi="Arial" w:eastAsia="Arial" w:cs="Arial"/>
          <w:b w:val="0"/>
          <w:i w:val="0"/>
          <w:sz w:val="24"/>
        </w:rPr>
        <w:t>43. Bookstein FL. The inappropriate symmetries of multivariate statistical analysis in geometric morphometrics. Evol Biol. 2016;43: 277–313. doi:10.1007/s11692-016-9382-7</w:t>
      </w:r>
    </w:p>
    <w:p>
      <w:pPr>
        <w:spacing w:line="480" w:lineRule="auto" w:after="120" w:before="0"/>
        <w:jc w:val="both"/>
      </w:pPr>
      <w:r>
        <w:rPr>
          <w:rFonts w:ascii="Arial" w:hAnsi="Arial" w:eastAsia="Arial" w:cs="Arial"/>
          <w:b w:val="0"/>
          <w:i w:val="0"/>
          <w:sz w:val="24"/>
        </w:rPr>
        <w:t>44. Govek KW, Nicodemus P, Lin Y, Crawford J, Saturnino AB, Cui H, et al. CAJAL enables analysis and integration of single-cell morphological data using metric geometry. Nat Commun. 2023;14: 3672. doi:10.1038/s41467-023-39424-2</w:t>
      </w:r>
    </w:p>
    <w:p>
      <w:pPr>
        <w:spacing w:line="480" w:lineRule="auto" w:after="120" w:before="0"/>
        <w:jc w:val="both"/>
      </w:pPr>
      <w:r>
        <w:rPr>
          <w:rFonts w:ascii="Arial" w:hAnsi="Arial" w:eastAsia="Arial" w:cs="Arial"/>
          <w:b w:val="0"/>
          <w:i w:val="0"/>
          <w:sz w:val="24"/>
        </w:rPr>
        <w:t>45. Mahyari E, Boggy GJ, McElfresh GW, Kaza M, Benjamin S, Varco-Merth B, et al. Enhanced interpretation of immune cell phenotype and function through a rhesus macaque single-cell atlas. Cell Genomics. 2025;5: 100849. doi:10.1016/j.xgen.2025.100849</w:t>
      </w:r>
    </w:p>
    <w:p>
      <w:pPr>
        <w:spacing w:line="480" w:lineRule="auto" w:after="120" w:before="0"/>
        <w:jc w:val="both"/>
      </w:pPr>
      <w:r>
        <w:rPr>
          <w:rFonts w:ascii="Arial" w:hAnsi="Arial" w:eastAsia="Arial" w:cs="Arial"/>
          <w:b w:val="0"/>
          <w:i w:val="0"/>
          <w:sz w:val="24"/>
        </w:rPr>
        <w:t>46. Eisenberg E, Levanon EY. Human housekeeping genes, revisited. Trends Genet. 2013;29: 569–574. doi:10.1016/j.tig.2013.05.010</w:t>
      </w:r>
    </w:p>
    <w:p>
      <w:pPr>
        <w:spacing w:line="480" w:lineRule="auto" w:after="120" w:before="0"/>
        <w:jc w:val="both"/>
      </w:pPr>
      <w:r>
        <w:rPr>
          <w:rFonts w:ascii="Arial" w:hAnsi="Arial" w:eastAsia="Arial" w:cs="Arial"/>
          <w:b w:val="0"/>
          <w:i w:val="0"/>
          <w:sz w:val="24"/>
        </w:rPr>
        <w:t>47. Garcia-Alonso L, Holland CH, Ibrahim MM, Turei D, Saez-Rodriguez J. Benchmark and integration of resources for the estimation of human transcription factor activities. Genome Res. 2019;29: 1363–1375. doi:10.1101/gr.240663.118</w:t>
      </w:r>
    </w:p>
    <w:p>
      <w:pPr>
        <w:spacing w:line="480" w:lineRule="auto" w:after="120" w:before="0"/>
        <w:jc w:val="both"/>
      </w:pPr>
      <w:r>
        <w:rPr>
          <w:rFonts w:ascii="Arial" w:hAnsi="Arial" w:eastAsia="Arial" w:cs="Arial"/>
          <w:b w:val="0"/>
          <w:i w:val="0"/>
          <w:sz w:val="24"/>
        </w:rPr>
        <w:t>48. Subramanian A, Tamayo P, Mootha VK, Mukherjee S, Ebert BL, Gillette MA, et al. Gene set enrichment analysis: a knowledge-based approach for interpreting genome-wide expression profiles. Proc Natl Acad Sci USA. 2005;102: 15545–15550. doi:10.1073/pnas.0506580102</w:t>
      </w:r>
    </w:p>
    <w:p>
      <w:pPr>
        <w:spacing w:line="480" w:lineRule="auto" w:after="120" w:before="0"/>
        <w:jc w:val="both"/>
      </w:pPr>
      <w:r>
        <w:rPr>
          <w:rFonts w:ascii="Arial" w:hAnsi="Arial" w:eastAsia="Arial" w:cs="Arial"/>
          <w:b w:val="0"/>
          <w:i w:val="0"/>
          <w:sz w:val="24"/>
        </w:rPr>
        <w:t>49. Liberzon A, Subramanian A, Pinchback R, Thorvaldsdóttir H, Tamayo P, Mesirov JP. Molecular signatures database (MSigDB) 3.0. Bioinformatics. 2011;27: 1739–1740. doi:10.1093/bioinformatics/btr260</w:t>
      </w:r>
    </w:p>
    <w:p>
      <w:pPr>
        <w:spacing w:line="480" w:lineRule="auto" w:after="120" w:before="0"/>
        <w:jc w:val="both"/>
      </w:pPr>
      <w:r>
        <w:rPr>
          <w:rFonts w:ascii="Arial" w:hAnsi="Arial" w:eastAsia="Arial" w:cs="Arial"/>
          <w:b w:val="0"/>
          <w:i w:val="0"/>
          <w:sz w:val="24"/>
        </w:rPr>
        <w:t>50. Benjamini Y, Hochberg Y. Controlling the false discovery rate: a practical and powerful approach to multiple testing. J R Stat Soc B. 1995;57: 289–300. doi:10.1111/j.2517-6161.1995.tb02031.x</w:t>
      </w:r>
    </w:p>
    <w:p>
      <w:pPr>
        <w:spacing w:line="480" w:lineRule="auto" w:after="120" w:before="0"/>
        <w:jc w:val="both"/>
      </w:pPr>
      <w:r>
        <w:rPr>
          <w:rFonts w:ascii="Arial" w:hAnsi="Arial" w:eastAsia="Arial" w:cs="Arial"/>
          <w:b w:val="0"/>
          <w:i w:val="0"/>
          <w:sz w:val="24"/>
        </w:rPr>
        <w:t>51. Szklarczyk D, Kirsch R, Koutrouli M, Nastou K, Mehryary F, Hachilif R, et al. The STRING database in 2023: protein-protein association networks and functional enrichment analyses for any sequenced genome of interest. Nucleic Acids Res. 2023;51(D1): D638–D646. doi:10.1093/nar/gkac1000</w:t>
      </w:r>
    </w:p>
    <w:p>
      <w:pPr>
        <w:spacing w:line="480" w:lineRule="auto" w:after="120" w:before="0"/>
        <w:jc w:val="both"/>
      </w:pPr>
      <w:r>
        <w:rPr>
          <w:rFonts w:ascii="Arial" w:hAnsi="Arial" w:eastAsia="Arial" w:cs="Arial"/>
          <w:b w:val="0"/>
          <w:i w:val="0"/>
          <w:sz w:val="24"/>
        </w:rPr>
        <w:t>52. Siepel A, Bejerano G, Pedersen JS, Hinrichs AS, Hou M, Rosenbloom K, et al. Evolutionarily conserved elements in vertebrate, insect, worm, and yeast genomes. Genome Res. 2005;15: 1034–1050. doi:10.1101/gr.3715005</w:t>
      </w:r>
    </w:p>
    <w:p>
      <w:pPr>
        <w:spacing w:line="480" w:lineRule="auto" w:after="120" w:before="0"/>
        <w:jc w:val="both"/>
      </w:pPr>
      <w:r>
        <w:rPr>
          <w:rFonts w:ascii="Arial" w:hAnsi="Arial" w:eastAsia="Arial" w:cs="Arial"/>
          <w:b w:val="0"/>
          <w:i w:val="0"/>
          <w:sz w:val="24"/>
        </w:rPr>
        <w:t>53. The ENCODE Project Consortium. An integrated encyclopedia of DNA elements in the human genome. Nature. 2012;489: 57–74. doi:10.1038/nature11247</w:t>
      </w:r>
    </w:p>
    <w:p>
      <w:pPr>
        <w:spacing w:line="480" w:lineRule="auto" w:after="120" w:before="0"/>
        <w:jc w:val="both"/>
      </w:pPr>
      <w:r>
        <w:rPr>
          <w:rFonts w:ascii="Arial" w:hAnsi="Arial" w:eastAsia="Arial" w:cs="Arial"/>
          <w:b w:val="0"/>
          <w:i w:val="0"/>
          <w:sz w:val="24"/>
        </w:rPr>
        <w:t>54. Mendez D, Gaulton A, Bento AP, Chambers J, De Veij M, Félix E, et al. ChEMBL: towards direct deposition of bioassay data. Nucleic Acids Res. 2019;47: D930–D940. doi:10.1093/nar/gky1075</w:t>
      </w:r>
    </w:p>
    <w:p>
      <w:pPr>
        <w:spacing w:line="480" w:lineRule="auto" w:after="120" w:before="0"/>
        <w:jc w:val="both"/>
      </w:pPr>
      <w:r>
        <w:rPr>
          <w:rFonts w:ascii="Arial" w:hAnsi="Arial" w:eastAsia="Arial" w:cs="Arial"/>
          <w:b w:val="0"/>
          <w:i w:val="0"/>
          <w:sz w:val="24"/>
        </w:rPr>
        <w:t>55. Wishart DS, Feunang YD, Guo AC, Lo EJ, Marcu A, Grant JR, et al. DrugBank 5.0: a major update to the DrugBank database for 2018. Nucleic Acids Res. 2018;46: D1074–D1082. doi:10.1093/nar/gkx1037</w:t>
      </w:r>
    </w:p>
    <w:p>
      <w:pPr>
        <w:spacing w:line="480" w:lineRule="auto" w:after="120" w:before="0"/>
        <w:jc w:val="both"/>
      </w:pPr>
      <w:r>
        <w:rPr>
          <w:rFonts w:ascii="Arial" w:hAnsi="Arial" w:eastAsia="Arial" w:cs="Arial"/>
          <w:b w:val="0"/>
          <w:i w:val="0"/>
          <w:sz w:val="24"/>
        </w:rPr>
        <w:t>56. Zou H, Hastie T. Regularization and variable selection via the elastic net. J R Stat Soc B. 2005;67: 301–320. doi:10.1111/j.1467-9868.2005.00503.x</w:t>
      </w:r>
    </w:p>
    <w:p>
      <w:pPr>
        <w:spacing w:line="480" w:lineRule="auto" w:after="120" w:before="0"/>
        <w:jc w:val="both"/>
      </w:pPr>
      <w:r>
        <w:rPr>
          <w:rFonts w:ascii="Arial" w:hAnsi="Arial" w:eastAsia="Arial" w:cs="Arial"/>
          <w:b w:val="0"/>
          <w:i w:val="0"/>
          <w:sz w:val="24"/>
        </w:rPr>
        <w:t>57. Breiman L. Random forests. Mach Learn. 2001;45: 5–32. doi:10.1023/A:1010933404324</w:t>
      </w:r>
    </w:p>
    <w:p>
      <w:pPr>
        <w:pStyle w:val="Heading1"/>
        <w:spacing w:line="480" w:lineRule="auto" w:after="240" w:before="480"/>
        <w:jc w:val="left"/>
      </w:pPr>
      <w:r>
        <w:rPr>
          <w:rFonts w:ascii="Arial" w:hAnsi="Arial" w:eastAsia="Arial" w:cs="Arial"/>
          <w:b/>
          <w:color w:val="000000"/>
          <w:sz w:val="32"/>
        </w:rPr>
        <w:t>Figure Legends</w:t>
      </w:r>
    </w:p>
    <w:p>
      <w:pPr>
        <w:spacing w:line="480" w:lineRule="auto" w:after="0" w:before="240"/>
        <w:jc w:val="both"/>
      </w:pPr>
      <w:r>
        <w:rPr>
          <w:rFonts w:ascii="Arial" w:hAnsi="Arial" w:eastAsia="Arial" w:cs="Arial"/>
          <w:b/>
          <w:i w:val="0"/>
          <w:sz w:val="24"/>
        </w:rPr>
        <w:t>Figure 1. Cross-species transcriptomic geometry is globally coherent across 35 matched cell types.</w:t>
      </w:r>
      <w:r>
        <w:rPr>
          <w:rFonts w:ascii="Arial" w:hAnsi="Arial" w:eastAsia="Arial" w:cs="Arial"/>
          <w:b w:val="0"/>
          <w:i w:val="0"/>
          <w:sz w:val="24"/>
        </w:rPr>
        <w:t xml:space="preserve"> (A) Schematic of the CellWarp pipeline. Cell-type centroids are computed independently for human (Tabula Sapiens[25]) and mouse (Tabula Muris Senis[26]) in 16,959 shared 1:1 ortholog genes, projected into 33-component joint PCA space (95.2% variance retained), aligned by Procrustes superimposition, and per-type residual displacements extracted as Procrustes residuals. (B) Permutation null distribution (1,000,000 iterations) of Procrustes distances for 35 matched cell types. The observed Procrustes distance (61.15, blue line) falls far below the null distribution. (C) Lineage-stratified permutation null distribution (10,000 iterations). Labels were permuted only within five lineage blocks (immune/hematopoietic, epithelial, stromal/mesenchymal, endothelial, metabolic/parenchymal). The observed distance remains significantly below the within-lineage null. (D) Bootstrap stability of the Procrustes distance across 100 iterations with 50% cell subsampling per type per species. (E) Leave-one-out cross-validation. For each of 35 cell types, the rotation trained on the remaining 34 predicted the held-out type's position better than random pairing (35/35; mean error-to-null ratio = 0.4201, 58% improvement over chance). Bar chart shows per-type LOOCV error-to-null ratios, sorted with the most conserved types (smallest ratios) at top. Bar colors indicate lineage category (Immune, Epithelial, Stromal, Endothelial, Metabolic; LOOCV statistics in Methods collapse these to 4 categories: immune, structural, epithelial, stem/progenitor). Conserved-at-top sorting convention shared with Figure 6A; underlying metric differs (LOOCV error/null ratio in this panel vs raw Procrustes residual in Figure 6A). As in Figure 6, several bars are aggregate or parent Cell Ontology labels (e.g. stromal cell, epithelial cell, mesenchymal stem cell) whose values may partly reflect subtype composition. The per-type ordering shown here is within-atlas and does not replicate across atlases (§5, §8).</w:t>
      </w:r>
    </w:p>
    <w:p>
      <w:pPr>
        <w:spacing w:line="480" w:lineRule="auto" w:after="0" w:before="240"/>
        <w:jc w:val="both"/>
      </w:pPr>
      <w:r>
        <w:rPr>
          <w:rFonts w:ascii="Arial" w:hAnsi="Arial" w:eastAsia="Arial" w:cs="Arial"/>
          <w:b/>
          <w:i w:val="0"/>
          <w:sz w:val="24"/>
        </w:rPr>
        <w:t>Figure 2. Conserved cross-species cell-type geometry is carried by master-regulator programs.</w:t>
      </w:r>
      <w:r>
        <w:rPr>
          <w:rFonts w:ascii="Arial" w:hAnsi="Arial" w:eastAsia="Arial" w:cs="Arial"/>
          <w:b w:val="0"/>
          <w:i w:val="0"/>
          <w:sz w:val="24"/>
        </w:rPr>
        <w:t xml:space="preserve"> (A) Distribution of the per-gene conservation score C across the 15,940 valid orthologs (of 16,959; C undefined for constant-profile genes). C is a broad continuum (Hartigan dip statistic D = 0.007) with no discrete conserved module; dashed lines mark the divergent (Q25 = 0.10) and conserved (Q75 = 0.59) quartile thresholds. (B) C versus mean centroid expression (Spearman ρ = 0.22) and versus Tau specificity (Spearman ρ = 0.06), with decile-mean overlays; C is not primarily an expression or specificity proxy. (C) Conservation percentile of the 73 pre-specified master transcription factors (median 0.94) against an expression-matched background (median 0.54) and a background matched jointly on expression and specificity (median 0.76); the master-TF median exceeds both backgrounds at empirical p &lt; 10</w:t>
      </w:r>
      <w:r>
        <w:rPr>
          <w:rFonts w:ascii="Arial" w:hAnsi="Arial" w:eastAsia="Arial" w:cs="Arial"/>
          <w:b w:val="0"/>
          <w:i w:val="0"/>
          <w:sz w:val="24"/>
          <w:vertAlign w:val="superscript"/>
        </w:rPr>
        <w:t>−6</w:t>
      </w:r>
      <w:r>
        <w:rPr>
          <w:rFonts w:ascii="Arial" w:hAnsi="Arial" w:eastAsia="Arial" w:cs="Arial"/>
          <w:b w:val="0"/>
          <w:i w:val="0"/>
          <w:sz w:val="24"/>
        </w:rPr>
        <w:t xml:space="preserve"> (10</w:t>
      </w:r>
      <w:r>
        <w:rPr>
          <w:rFonts w:ascii="Arial" w:hAnsi="Arial" w:eastAsia="Arial" w:cs="Arial"/>
          <w:b w:val="0"/>
          <w:i w:val="0"/>
          <w:sz w:val="24"/>
          <w:vertAlign w:val="superscript"/>
        </w:rPr>
        <w:t>6</w:t>
      </w:r>
      <w:r>
        <w:rPr>
          <w:rFonts w:ascii="Arial" w:hAnsi="Arial" w:eastAsia="Arial" w:cs="Arial"/>
          <w:b w:val="0"/>
          <w:i w:val="0"/>
          <w:sz w:val="24"/>
        </w:rPr>
        <w:t xml:space="preserve"> matched draws). (D) Donor-split reproducibility of per-gene C: cross-half Spearman agreement across 100 random splits of both atlases' donors (200 halves; median ρ = 0.80), shown against the within-donor cell-sampling ceiling (0.94) and the gene-label shuffle null (95th percentile 0.015); the master-TF enrichment was recovered in all 200 halves. C is the per-gene Pearson correlation of the cell-type-specificity profile across the 35 matched centroids (human versus mouse), computed independently of the joint-PCA and Procrustes axes (Table S11).</w:t>
      </w:r>
    </w:p>
    <w:p>
      <w:pPr>
        <w:spacing w:line="480" w:lineRule="auto" w:after="0" w:before="240"/>
        <w:jc w:val="both"/>
      </w:pPr>
      <w:r>
        <w:rPr>
          <w:rFonts w:ascii="Arial" w:hAnsi="Arial" w:eastAsia="Arial" w:cs="Arial"/>
          <w:b/>
          <w:i w:val="0"/>
          <w:sz w:val="24"/>
        </w:rPr>
        <w:t>Figure 3. Geometric coherence replicates across independent atlases.</w:t>
      </w:r>
      <w:r>
        <w:rPr>
          <w:rFonts w:ascii="Arial" w:hAnsi="Arial" w:eastAsia="Arial" w:cs="Arial"/>
          <w:b w:val="0"/>
          <w:i w:val="0"/>
          <w:sz w:val="24"/>
        </w:rPr>
        <w:t xml:space="preserve"> (A) Sun et al.[24] replication. Permutation null distribution for Sun2023 mouse atlas (10x Chromium 3' v3, Chinese Academy of Sciences/Altos Labs; 15 matched types). (B) PanSci[27] replication. Permutation null distribution for PanSci[27] mouse atlas (EasySci snRNA-seq combinatorial indexing, Rockefeller/UCSC/NYU; 16 matched types). (C) CellHint[28] human-side replication. Permutation null distribution for CellHint[28] Human atlas (Sanger/Cambridge, 9 Tabula-independent tissues, 2.87M cells; 15 matched types). (D) Summary of observed-to-null ratios across the primary analysis (TS×TMS, n = 35, p &lt; 10</w:t>
      </w:r>
      <w:r>
        <w:rPr>
          <w:rFonts w:ascii="Arial" w:hAnsi="Arial" w:eastAsia="Arial" w:cs="Arial"/>
          <w:b w:val="0"/>
          <w:i w:val="0"/>
          <w:sz w:val="24"/>
          <w:vertAlign w:val="superscript"/>
        </w:rPr>
        <w:t>−6</w:t>
      </w:r>
      <w:r>
        <w:rPr>
          <w:rFonts w:ascii="Arial" w:hAnsi="Arial" w:eastAsia="Arial" w:cs="Arial"/>
          <w:b w:val="0"/>
          <w:i w:val="0"/>
          <w:sz w:val="24"/>
        </w:rPr>
        <w:t>), three direct cross-atlas replications (Sun2023 10x v3, n = 15; PanSci[27] EasySci, n = 16; CellHint[28] Human, n = 15; all p &lt; 10</w:t>
      </w:r>
      <w:r>
        <w:rPr>
          <w:rFonts w:ascii="Arial" w:hAnsi="Arial" w:eastAsia="Arial" w:cs="Arial"/>
          <w:b w:val="0"/>
          <w:i w:val="0"/>
          <w:sz w:val="24"/>
          <w:vertAlign w:val="superscript"/>
        </w:rPr>
        <w:t>−4</w:t>
      </w:r>
      <w:r>
        <w:rPr>
          <w:rFonts w:ascii="Arial" w:hAnsi="Arial" w:eastAsia="Arial" w:cs="Arial"/>
          <w:b w:val="0"/>
          <w:i w:val="0"/>
          <w:sz w:val="24"/>
        </w:rPr>
        <w:t>), one pooled-heterogeneity replication (pan-Census, n = 22, p &lt; 10</w:t>
      </w:r>
      <w:r>
        <w:rPr>
          <w:rFonts w:ascii="Arial" w:hAnsi="Arial" w:eastAsia="Arial" w:cs="Arial"/>
          <w:b w:val="0"/>
          <w:i w:val="0"/>
          <w:sz w:val="24"/>
          <w:vertAlign w:val="superscript"/>
        </w:rPr>
        <w:t>−4</w:t>
      </w:r>
      <w:r>
        <w:rPr>
          <w:rFonts w:ascii="Arial" w:hAnsi="Arial" w:eastAsia="Arial" w:cs="Arial"/>
          <w:b w:val="0"/>
          <w:i w:val="0"/>
          <w:sz w:val="24"/>
        </w:rPr>
        <w:t>), and two non-replicating datasets shown hatched (Andrews et al.[30] liver-only, n = 6, p = 0.12; MCA × HCA aggregated, n = 17, p = 0.54). The four replications span obs/null 0.448–0.811 (the primary, at 0.522, falls within this range). The two non-replications fall within or above this range (Andrews at 0.797, MCA × HCA at obs/null ≈ 1.0) and do not reach significance for the technical reasons discussed in §5. Per-permutation null distributions for all six replication attempts, plus the HCA × Tabula Sapiens within-human diagnostic, are shown in Figure S2F (the primary null distribution appears in Figure 1B). (E) Donor-split within-species control. Box plots comparing within-species (donor-split, median obs/null = 0.375) and cross-species (matched, median obs/null = 0.527) coherence across 100 random balanced splits of Tabula Sapiens donors (32/35 types feasible, median 31 per split, shared PCA space). Green dot: self-comparison floor (0.033). Gray line: permutation null (1.0). The coherence hierarchy falls in the expected order: self &lt; within-species &lt; cross-species &lt; null. The two distributions are non-overlapping (delta = +0.159, 95% CI: +0.100–+0.218; cross-species less coherent than within-species in all 100 resamples). All 95% CIs reported for panel E are empirical 2.5/97.5 percentiles across the 100 splits.</w:t>
      </w:r>
    </w:p>
    <w:p>
      <w:pPr>
        <w:spacing w:line="480" w:lineRule="auto" w:after="0" w:before="240"/>
        <w:jc w:val="both"/>
      </w:pPr>
      <w:r>
        <w:rPr>
          <w:rFonts w:ascii="Arial" w:hAnsi="Arial" w:eastAsia="Arial" w:cs="Arial"/>
          <w:b/>
          <w:i w:val="0"/>
          <w:sz w:val="24"/>
        </w:rPr>
        <w:t>Figure 4. Centroid and within-type covariance geometry are conserved through distinct features.</w:t>
      </w:r>
      <w:r>
        <w:rPr>
          <w:rFonts w:ascii="Arial" w:hAnsi="Arial" w:eastAsia="Arial" w:cs="Arial"/>
          <w:b w:val="0"/>
          <w:i w:val="0"/>
          <w:sz w:val="24"/>
        </w:rPr>
        <w:t xml:space="preserve"> (A) Per-type heatmap of cross-species covariance ellipsoid alignment scores for 35 cell types, showing the Krzanowski[23] subspace similarity statistic S (pre-rotation; range 0–1) at k = 1, 3, and 5 principal components. Rows are cell types sorted descending by S at k = 5; columns are k values. The ellipsoid captures the projection of within-type variation onto the between-type-discriminating (joint-PCA) axes, not the full within-type expression cloud; within-type variation orthogonal to those axes (e.g. cell-cycle, activation, technical) is not represented. The aggregate pre-rotation Layer 2 statistic across types (mean S = 0.483 vs. null mean = 0.375 at k = 5) appears as Observed and Null markers in panel C. The conserved leading within-type axis is ribosomal-protein-dominated in 25 of 35 cell types and cell-type-specific in the remaining 10 (Table S6). (B) Pre- versus post-rotation comparison of ellipsoid alignment. The Procrustes rotation optimized for centroid alignment (Layer 1) substantially compresses ellipsoid alignment (Layer 2): the Krzanowski[23] S drops from 0.483 to 0.230 at k = 5 principal components, demonstrating that centroid and ellipsoid conservation are geometrically distinct. Both pre- and post-rotation values exceed their respective null references, shown in panel C. (C) Null mean ± SD for Layer 2 alignment under pre-rotation (left subpanel) and post-rotation (right subpanel) conditions. Both subpanels test Layer 2 covariance ellipsoid orientation alignment via Krzanowski subspace similarity (S) with cell-type-label permutation in the mouse configuration (10,000 permutations each). The two subpanels use independent x-axis ranges (S values are not directly comparable across them). Both pre- and post-rotation observed S exceed their null means (p &lt; 10</w:t>
      </w:r>
      <w:r>
        <w:rPr>
          <w:rFonts w:ascii="Arial" w:hAnsi="Arial" w:eastAsia="Arial" w:cs="Arial"/>
          <w:b w:val="0"/>
          <w:i w:val="0"/>
          <w:sz w:val="24"/>
          <w:vertAlign w:val="superscript"/>
        </w:rPr>
        <w:t>−4</w:t>
      </w:r>
      <w:r>
        <w:rPr>
          <w:rFonts w:ascii="Arial" w:hAnsi="Arial" w:eastAsia="Arial" w:cs="Arial"/>
          <w:b w:val="0"/>
          <w:i w:val="0"/>
          <w:sz w:val="24"/>
        </w:rPr>
        <w:t xml:space="preserve"> each); the centroid-optimal rotation compresses S from 0.483 to 0.230, yet Layer 2 remains significantly above null. Layer 1 (centroid position) significance is established by the primary Procrustes test (p &lt; 10</w:t>
      </w:r>
      <w:r>
        <w:rPr>
          <w:rFonts w:ascii="Arial" w:hAnsi="Arial" w:eastAsia="Arial" w:cs="Arial"/>
          <w:b w:val="0"/>
          <w:i w:val="0"/>
          <w:sz w:val="24"/>
          <w:vertAlign w:val="superscript"/>
        </w:rPr>
        <w:t>−6</w:t>
      </w:r>
      <w:r>
        <w:rPr>
          <w:rFonts w:ascii="Arial" w:hAnsi="Arial" w:eastAsia="Arial" w:cs="Arial"/>
          <w:b w:val="0"/>
          <w:i w:val="0"/>
          <w:sz w:val="24"/>
        </w:rPr>
        <w:t>; Figure 1B), not shown in this panel. (D) Scatter plot of per-type Layer 1 residuals versus Layer 2 alignment scores. The two layers are statistically uncorrelated (Spearman ρ = −0.266, p = 0.123, n = 35).</w:t>
      </w:r>
    </w:p>
    <w:p>
      <w:pPr>
        <w:spacing w:line="480" w:lineRule="auto" w:after="0" w:before="240"/>
        <w:jc w:val="both"/>
      </w:pPr>
      <w:r>
        <w:rPr>
          <w:rFonts w:ascii="Arial" w:hAnsi="Arial" w:eastAsia="Arial" w:cs="Arial"/>
          <w:b/>
          <w:i w:val="0"/>
          <w:sz w:val="24"/>
        </w:rPr>
        <w:t>Figure 5. Human–macaque Procrustes coherence (Qu et al.[18], 12 matched cell types).</w:t>
      </w:r>
      <w:r>
        <w:rPr>
          <w:rFonts w:ascii="Arial" w:hAnsi="Arial" w:eastAsia="Arial" w:cs="Arial"/>
          <w:b w:val="0"/>
          <w:i w:val="0"/>
          <w:sz w:val="24"/>
        </w:rPr>
        <w:t xml:space="preserve"> (A) Human–macaque primary analysis. Permutation null distribution for human–macaque Procrustes coherence on 12 matched cell types in the 13,927-gene three-way ortholog space (obs/null = 0.810; 10,000 permutations; raw p = 0.0043, not significant after Bonferroni correction; corrected p = 0.22, Table 1). (B) No-immune sensitivity analysis. Permutation null distribution for the 7 non-immune types only (bladder urothelial cell, endothelial cell, epithelial cell, fibroblast, hepatocyte, smooth muscle cell, stromal cell), excluding the 5 immune types added in the 12-type primary. obs/null = 0.733, p = 0.013, confirming macaque coherence is not driven by the immune subset alone. (C) Hepatocyte rank reversal across species pairs. Slope chart comparing per-type residual ranks between the human–mouse 12-type matched control (left; obs/null = 0.440) and the human–macaque 12-type analysis (right; obs/null = 0.810). Hepatocyte reverses from most conserved (12/12) to most divergent (1/12) between the two pairs. Macaque hepatocyte is organ-partitioned epithelial (Organ = Liver), not marker-defined; see Methods. Gray lines show the other 11 matched types; the overall per-type ranking correlation across species pairs is non-significant (Spearman ρ = 0.147, p = 0.649, n = 12). The reversal illustrates the instability of the per-type ranking under the macaque extension (itself suggestive and uncorrected; corrected p ≈ 0.22), not candidate macaque-specific hepatocyte divergence.</w:t>
      </w:r>
    </w:p>
    <w:p>
      <w:pPr>
        <w:spacing w:line="480" w:lineRule="auto" w:after="0" w:before="240"/>
        <w:jc w:val="both"/>
      </w:pPr>
      <w:r>
        <w:rPr>
          <w:rFonts w:ascii="Arial" w:hAnsi="Arial" w:eastAsia="Arial" w:cs="Arial"/>
          <w:b/>
          <w:i w:val="0"/>
          <w:sz w:val="24"/>
        </w:rPr>
        <w:t>Figure 6. Per-cell-type Procrustes residuals distribute continuously across 35 matched cell types.</w:t>
      </w:r>
      <w:r>
        <w:rPr>
          <w:rFonts w:ascii="Arial" w:hAnsi="Arial" w:eastAsia="Arial" w:cs="Arial"/>
          <w:b w:val="0"/>
          <w:i w:val="0"/>
          <w:sz w:val="24"/>
        </w:rPr>
        <w:t xml:space="preserve"> (A) Ranked bar chart of Procrustes residual displacements for all 35 matched cell types. The distribution is continuous and unimodal with no natural break separating conserved from divergent types. CD8+ T cell (rank 35/35), endothelial cell (rank 33/35), and hepatocyte (rank 32/35) are among the most geometrically conserved; stromal cell (rank 1/35), epithelial cell (rank 2/35), and hematopoietic precursor cell (rank 3/35) show the largest displacements (rank 35 = most conserved, plotted at the top of the chart). Bar colors indicate lineage category (Immune, Epithelial, Stromal, Endothelial, Metabolic), matching the color scheme in Figure 1E. Several bars are aggregate or parent Cell Ontology labels (stromal cell, epithelial cell, myeloid leukocyte, mesenchymal stem cell, mature NK T cell) whose residuals may reflect cross-species differences in subtype composition rather than type-level divergence; granulocyte and neutrophil are an inconsistent annotation split of one granulocytic population across the two atlases (see Methods, Expanded negative controls). This ranking is precisely estimated within the atlas pair but does not replicate across atlases (§5, §8); the three most-divergent types (stromal cell, epithelial cell, hematopoietic precursor cell) are themselves broad parent/progenitor labels, so the divergent extreme should not be read as a set of resolved divergent cell types. (B) Cell count confound analysis. The Procrustes residual is uncorrelated with per-type cell count (Spearman ρ = 0.052, p = 0.768, n = 35; partial ρ = 0.061, p = 0.732 after lineage control). Two outliers (Stromal cell and Hematopoietic precursor cell) at high min cell count + high residual, and one (Epithelial cell) at low cell count + high residual, visually suggest a relationship that the correlation test denies. Cell counts are capped at 2,000 per the subsampling cap (Materials and Methods). Points colored by lineage as in Panel A.</w:t>
      </w:r>
    </w:p>
    <w:p>
      <w:pPr>
        <w:spacing w:line="480" w:lineRule="auto" w:after="0" w:before="240"/>
        <w:jc w:val="both"/>
      </w:pPr>
      <w:r>
        <w:rPr>
          <w:rFonts w:ascii="Arial" w:hAnsi="Arial" w:eastAsia="Arial" w:cs="Arial"/>
          <w:b/>
          <w:i w:val="0"/>
          <w:sz w:val="24"/>
        </w:rPr>
        <w:t>Figure 7. The per-type divergence ranking is sampling-robust and not detectably associated with ten mechanistic confounds at current sample size.</w:t>
      </w:r>
      <w:r>
        <w:rPr>
          <w:rFonts w:ascii="Arial" w:hAnsi="Arial" w:eastAsia="Arial" w:cs="Arial"/>
          <w:b w:val="0"/>
          <w:i w:val="0"/>
          <w:sz w:val="24"/>
        </w:rPr>
        <w:t xml:space="preserve"> (A) L1000[35] sampling robustness. The per-type divergence ranking computed on a small landmark set (907 L1000[35] genes, 5.3% of the 16,959-gene ortholog space) correlates with the full-space ranking at Spearman ρ = 0.852 (empirical p = 0.031 vs same-size random subsets). Histogram shows the random baseline distribution with the observed L1000[35] correlation marked. (B) Summary of ten mechanistic null tests. Each test targeted a specific alternative explanation for the per-type divergence signal; none reached significance at the tested sample sizes (n = 35 for most; n = 34 for drug target conservation; n = 6 for enhancer conservation), ruling out strong associations but not moderate ones. The "Niche adaptation (0/6 sets)" row indicates that none of six niche-set tests reached q &lt; 0.05 after Benjamini–Hochberg FDR[50]. Spearman ρ point estimates and 95% CIs are shown; significance is read from CI overlap with zero.</w:t>
      </w:r>
    </w:p>
    <w:p>
      <w:pPr>
        <w:pStyle w:val="Heading1"/>
        <w:spacing w:line="480" w:lineRule="auto" w:after="240" w:before="480"/>
        <w:jc w:val="left"/>
      </w:pPr>
      <w:r>
        <w:rPr>
          <w:rFonts w:ascii="Arial" w:hAnsi="Arial" w:eastAsia="Arial" w:cs="Arial"/>
          <w:b/>
          <w:color w:val="000000"/>
          <w:sz w:val="32"/>
        </w:rPr>
        <w:t>Supporting Information</w:t>
      </w:r>
    </w:p>
    <w:p>
      <w:pPr>
        <w:spacing w:line="480" w:lineRule="auto" w:after="0" w:before="0"/>
        <w:jc w:val="both"/>
      </w:pPr>
      <w:r>
        <w:rPr>
          <w:rFonts w:ascii="Arial" w:hAnsi="Arial" w:eastAsia="Arial" w:cs="Arial"/>
          <w:b/>
          <w:i w:val="0"/>
          <w:sz w:val="24"/>
        </w:rPr>
        <w:t>Figure S1. Pipeline validation: independent PCA sensitivity and simulation study, related to Figure 1.</w:t>
      </w:r>
      <w:r>
        <w:rPr>
          <w:rFonts w:ascii="Arial" w:hAnsi="Arial" w:eastAsia="Arial" w:cs="Arial"/>
          <w:b w:val="0"/>
          <w:i w:val="0"/>
          <w:sz w:val="24"/>
        </w:rPr>
        <w:t xml:space="preserve"> (A) Permutation null distribution for independent-PCA analysis (1,000,000 iterations). PCA was computed independently on each species' centroids, with subspaces aligned via Procrustes on loading matrices (pairing-free). The independent-PCA result (obs/null = 0.473, p &lt; 10</w:t>
      </w:r>
      <w:r>
        <w:rPr>
          <w:rFonts w:ascii="Arial" w:hAnsi="Arial" w:eastAsia="Arial" w:cs="Arial"/>
          <w:b w:val="0"/>
          <w:i w:val="0"/>
          <w:sz w:val="24"/>
          <w:vertAlign w:val="superscript"/>
        </w:rPr>
        <w:t>−6</w:t>
      </w:r>
      <w:r>
        <w:rPr>
          <w:rFonts w:ascii="Arial" w:hAnsi="Arial" w:eastAsia="Arial" w:cs="Arial"/>
          <w:b w:val="0"/>
          <w:i w:val="0"/>
          <w:sz w:val="24"/>
        </w:rPr>
        <w:t>) is stronger than the joint-PCA result (obs/null = 0.522), the opposite of what a joint-PCA artifact would produce. (B) Scatter plot of joint-PCA versus independent-PCA per-type divergence rankings across 35 cell types (Spearman ρ = 0.915, p = 1.4 × 10</w:t>
      </w:r>
      <w:r>
        <w:rPr>
          <w:rFonts w:ascii="Arial" w:hAnsi="Arial" w:eastAsia="Arial" w:cs="Arial"/>
          <w:b w:val="0"/>
          <w:i w:val="0"/>
          <w:sz w:val="24"/>
          <w:vertAlign w:val="superscript"/>
        </w:rPr>
        <w:t>−14</w:t>
      </w:r>
      <w:r>
        <w:rPr>
          <w:rFonts w:ascii="Arial" w:hAnsi="Arial" w:eastAsia="Arial" w:cs="Arial"/>
          <w:b w:val="0"/>
          <w:i w:val="0"/>
          <w:sz w:val="24"/>
        </w:rPr>
        <w:t>). Dots are colored by lineage (Immune, Epithelial, Stromal, Endothelial, Metabolic). Only 2 of 35 types shifted more than 10 ranks; conserved extremes were stable (CD8+ T cell rank 35 in both analyses), while flexible extremes shuffled within the top-4 flexible cluster. (C) Simulation study: detection power. At the calibrated signal strength, the global coherence test achieves 100% detection power across type counts 15–35 with well-calibrated false positive rate (4.8% at alpha = 0.05; see panel F). (D) Simulation study: ranking recovery ceiling. Spearman ρ between planted and recovered rankings peaks at ρ ≈ 0.42 in the calibrated-signal regime, regardless of cell count per type, with degradation at high signal as divergence approaches zero. (E) Simulation study: test-retest ranking stability. Within-atlas test-retest ρ = 0.994 at 200 cells/type, demonstrating that cross-atlas instability reflects atlas composition, not centroid noise. (F) Simulation study: null calibration. P-values uniformly distributed under the null; rejection rates match nominal levels. Independent-PCA: 1,000,000 iterations, p &lt; 10</w:t>
      </w:r>
      <w:r>
        <w:rPr>
          <w:rFonts w:ascii="Arial" w:hAnsi="Arial" w:eastAsia="Arial" w:cs="Arial"/>
          <w:b w:val="0"/>
          <w:i w:val="0"/>
          <w:sz w:val="24"/>
          <w:vertAlign w:val="superscript"/>
        </w:rPr>
        <w:t>−6</w:t>
      </w:r>
      <w:r>
        <w:rPr>
          <w:rFonts w:ascii="Arial" w:hAnsi="Arial" w:eastAsia="Arial" w:cs="Arial"/>
          <w:b w:val="0"/>
          <w:i w:val="0"/>
          <w:sz w:val="24"/>
        </w:rPr>
        <w:t>, n = 35. Simulation: 100 replicates per condition, calibrated signal = 3.68.</w:t>
      </w:r>
    </w:p>
    <w:p>
      <w:pPr>
        <w:spacing w:line="480" w:lineRule="auto" w:after="0" w:before="0"/>
        <w:jc w:val="both"/>
      </w:pPr>
      <w:r>
        <w:rPr>
          <w:rFonts w:ascii="Arial" w:hAnsi="Arial" w:eastAsia="Arial" w:cs="Arial"/>
          <w:b/>
          <w:i w:val="0"/>
          <w:sz w:val="24"/>
        </w:rPr>
        <w:t>Figure S2. Parameter, protocol, and negative control sensitivity analysis, related to Figures 1, 3, and 6.</w:t>
      </w:r>
      <w:r>
        <w:rPr>
          <w:rFonts w:ascii="Arial" w:hAnsi="Arial" w:eastAsia="Arial" w:cs="Arial"/>
          <w:b w:val="0"/>
          <w:i w:val="0"/>
          <w:sz w:val="24"/>
        </w:rPr>
        <w:t xml:space="preserve"> (A) Scatter plot of per-type divergence rankings at each tested k (k = 10 to k = 50) versus the k = 33 baseline. Rankings remain correlated across the full range (Spearman ρ = 0.756–0.901). (B) Observed-to-null ratio plotted as a function of the number of retained PCA components (k = 10 to k = 50). The coherence signal is significant across the full range tested. (C) Per-type divergence ranking comparison between the full Tabula Muris Senis dataset (including Smart-seq2 cells) and the 10x-only subset. Global Procrustes structure was robust to Smart-seq2 exclusion (Spearman ρ = 0.754 between full-dataset and 10x-only rankings). Neither per-type Smart-seq2 fraction correlated with Procrustes residual in mouse (ρ = −0.042, p = 0.812, n = 35) nor in human (ρ = 0.083, p = 0.636, n = 35). (D) Protocol confound check: absolute rank change between full and 10x-only per-type divergence rankings plotted against per-type Smart-seq2 fraction (Spearman ρ = 0.137, p = 0.433). (E) Expanded negative control distributions. Coherence hierarchy: self-comparison (median obs/null = 0.033) &lt; within-species tissue pairs (24 pairs, mean 0.466) &lt; cross-species (0.522) &lt; permutation null (~1.0). Twenty of 24 within-species pairs significant (p &lt; 0.01), with 71% exceeding the cross-species value. Permutation null shown as a random 500-point subsample of the 10,000-permutation distribution for display. (F) Replication inventory across all six attempted replications, plus the HCA × Tabula Sapiens within-human diagnostic. Each mini-panel shows the permutation null distribution and observed Procrustes distance for one replication attempt: four successes (three direct replications: Sun et al.[24] obs/null = 0.554, p &lt; 10</w:t>
      </w:r>
      <w:r>
        <w:rPr>
          <w:rFonts w:ascii="Arial" w:hAnsi="Arial" w:eastAsia="Arial" w:cs="Arial"/>
          <w:b w:val="0"/>
          <w:i w:val="0"/>
          <w:sz w:val="24"/>
          <w:vertAlign w:val="superscript"/>
        </w:rPr>
        <w:t>−4</w:t>
      </w:r>
      <w:r>
        <w:rPr>
          <w:rFonts w:ascii="Arial" w:hAnsi="Arial" w:eastAsia="Arial" w:cs="Arial"/>
          <w:b w:val="0"/>
          <w:i w:val="0"/>
          <w:sz w:val="24"/>
        </w:rPr>
        <w:t>, n = 15; PanSci[27] obs/null = 0.552, p &lt; 10</w:t>
      </w:r>
      <w:r>
        <w:rPr>
          <w:rFonts w:ascii="Arial" w:hAnsi="Arial" w:eastAsia="Arial" w:cs="Arial"/>
          <w:b w:val="0"/>
          <w:i w:val="0"/>
          <w:sz w:val="24"/>
          <w:vertAlign w:val="superscript"/>
        </w:rPr>
        <w:t>−4</w:t>
      </w:r>
      <w:r>
        <w:rPr>
          <w:rFonts w:ascii="Arial" w:hAnsi="Arial" w:eastAsia="Arial" w:cs="Arial"/>
          <w:b w:val="0"/>
          <w:i w:val="0"/>
          <w:sz w:val="24"/>
        </w:rPr>
        <w:t>, n = 16; CellHint[28] obs/null = 0.448, p &lt; 10</w:t>
      </w:r>
      <w:r>
        <w:rPr>
          <w:rFonts w:ascii="Arial" w:hAnsi="Arial" w:eastAsia="Arial" w:cs="Arial"/>
          <w:b w:val="0"/>
          <w:i w:val="0"/>
          <w:sz w:val="24"/>
          <w:vertAlign w:val="superscript"/>
        </w:rPr>
        <w:t>−4</w:t>
      </w:r>
      <w:r>
        <w:rPr>
          <w:rFonts w:ascii="Arial" w:hAnsi="Arial" w:eastAsia="Arial" w:cs="Arial"/>
          <w:b w:val="0"/>
          <w:i w:val="0"/>
          <w:sz w:val="24"/>
        </w:rPr>
        <w:t>, n = 15; plus one pooled-heterogeneity replication: the pan-Census panel (assembled from CZ CELLxGENE Census[29]) obs/null = 0.811, p &lt; 10</w:t>
      </w:r>
      <w:r>
        <w:rPr>
          <w:rFonts w:ascii="Arial" w:hAnsi="Arial" w:eastAsia="Arial" w:cs="Arial"/>
          <w:b w:val="0"/>
          <w:i w:val="0"/>
          <w:sz w:val="24"/>
          <w:vertAlign w:val="superscript"/>
        </w:rPr>
        <w:t>−4</w:t>
      </w:r>
      <w:r>
        <w:rPr>
          <w:rFonts w:ascii="Arial" w:hAnsi="Arial" w:eastAsia="Arial" w:cs="Arial"/>
          <w:b w:val="0"/>
          <w:i w:val="0"/>
          <w:sz w:val="24"/>
        </w:rPr>
        <w:t>, n = 22) and two non-replications (Andrews et al.[30] obs/null = 0.797, p = 0.116, n = 6; MCA × HCA obs/null = 1.003, p = 0.542, n = 17). The MCA × HCA cell is visually paired with a within-human diagnostic (HCA × Tabula Sapiens, obs/null = 0.728, p = 0.003, n = 6) confirming that human centroid geometry is consistent across independent atlases and localizing the MCA × HCA failure to MCA's microwell-seq protocol rather than to atlas-specific batch effects. The HCA × Tabula Sapiens comparison is a within-human diagnostic, not an independent replication attempt. Significance thresholds: *** p &lt; 10</w:t>
      </w:r>
      <w:r>
        <w:rPr>
          <w:rFonts w:ascii="Arial" w:hAnsi="Arial" w:eastAsia="Arial" w:cs="Arial"/>
          <w:b w:val="0"/>
          <w:i w:val="0"/>
          <w:sz w:val="24"/>
          <w:vertAlign w:val="superscript"/>
        </w:rPr>
        <w:t>−4</w:t>
      </w:r>
      <w:r>
        <w:rPr>
          <w:rFonts w:ascii="Arial" w:hAnsi="Arial" w:eastAsia="Arial" w:cs="Arial"/>
          <w:b w:val="0"/>
          <w:i w:val="0"/>
          <w:sz w:val="24"/>
        </w:rPr>
        <w:t>, ** p &lt; 0.01, * p &lt; 0.05, n.s. p &gt; 0.05. PCA sensitivity (A–B): k = 10 to k = 50, baseline k = 33. Protocol sensitivity (C–D): Full vs. 10x-only ρ = 0.754. Negative controls (E): 24 tissue pairs, 50 self-comparisons, 10,000 permutations each. Replication inventory (F): 6 attempts (4 successes, 2 failures) plus 1 within-human diagnostic; permutation tests 10,000 iterations each.</w:t>
      </w:r>
    </w:p>
    <w:p>
      <w:pPr>
        <w:spacing w:line="480" w:lineRule="auto" w:after="0" w:before="0"/>
        <w:jc w:val="both"/>
      </w:pPr>
      <w:r>
        <w:rPr>
          <w:rFonts w:ascii="Arial" w:hAnsi="Arial" w:eastAsia="Arial" w:cs="Arial"/>
          <w:b/>
          <w:i w:val="0"/>
          <w:sz w:val="24"/>
        </w:rPr>
        <w:t>Figure S3. Bootstrap stability of per-type divergence rankings, related to Figure 7.</w:t>
      </w:r>
      <w:r>
        <w:rPr>
          <w:rFonts w:ascii="Arial" w:hAnsi="Arial" w:eastAsia="Arial" w:cs="Arial"/>
          <w:b w:val="0"/>
          <w:i w:val="0"/>
          <w:sz w:val="24"/>
        </w:rPr>
        <w:t xml:space="preserve"> (A) Bootstrap ranking forest plot. 95% CIs for per-type divergence ranks across 1,000 iterations. All 35 types stable (CI width ≤ 10); five types CI width = 0 (stromal cell, epithelial cell, hematopoietic precursor cell, hematopoietic stem cell, CD8+ T cell). Median CI width = 3 ranks, maximum = 7. (B) Bootstrap stability versus cross-atlas consistency. Within-atlas CI width versus mean cross-atlas rank shift for 20 types (ρ = −0.410, p = 0.073): types most precisely ranked within an atlas show the largest shifts across atlases. Bootstrap (A–B): 1,000 iterations, seed = 42. Cross-reference: 20 types, ρ = −0.410.</w:t>
      </w:r>
    </w:p>
    <w:p>
      <w:pPr>
        <w:spacing w:line="480" w:lineRule="auto" w:after="0" w:before="0"/>
        <w:jc w:val="both"/>
      </w:pPr>
      <w:r>
        <w:rPr>
          <w:rFonts w:ascii="Arial" w:hAnsi="Arial" w:eastAsia="Arial" w:cs="Arial"/>
          <w:b/>
          <w:i w:val="0"/>
          <w:sz w:val="24"/>
        </w:rPr>
        <w:t>Figure S4. CellHint rank reversal investigation identifies annotation ontology and tissue composition as drivers of cross-atlas ranking differences, related to Figure 3.</w:t>
      </w:r>
      <w:r>
        <w:rPr>
          <w:rFonts w:ascii="Arial" w:hAnsi="Arial" w:eastAsia="Arial" w:cs="Arial"/>
          <w:b w:val="0"/>
          <w:i w:val="0"/>
          <w:sz w:val="24"/>
        </w:rPr>
        <w:t xml:space="preserve"> (A) Scatter plot of primary (Tabula) versus CellHint per-type divergence rankings for 15 matched cell types under matched 15-type PCA harmonization (Level 0; Table S4). The near-zero ranking correlation (ρ = −0.139, p = 0.621) indicates noisy but not systematically inverted per-type rankings after harmonizing PCA dimensionality across atlases. The original unharmonized correlation (ρ = −0.386, reported in Table S3) was inflated by comparing residuals from incompatible PCA spaces. (B) Forest plot of Spearman correlations between rank-reversal magnitude (|primary rank − CellHint rank|, n = 15) and seven candidate factors, grouped as: atlas coverage: CellHint tissue count (ρ = −0.526, p = 0.044), the sole significant quantitative driver and the one cited in main text §7; cell-count proxies: Cell count asymmetry (abs log2 cell count ratio), Count direction (log2 CellHint/primary cell count), CellHint absolute cell count, and Primary human cell count; baseline divergence properties: Primary residual magnitude and Primary rank in 35-type set. Teal circles mark p &lt; 0.05; gray squares mark NS. The two driving phenomena emphasized in the main-text framing, annotation ontology mismatch (e.g., CellHint collapses 10+ epithelial subtypes into a single category) and tissue composition bias (e.g., CellHint neutrophils are liver-only versus multi-tissue in the primary analysis), are qualitative anecdotes documented per type in Table S3, not quantitative axes of this panel. An eighth factor ("Absolute residual difference") that appears in the systematic-factors analysis is omitted from the plot because |residual diff| and |rank diff| are monotonically coupled by rank-transform construction, making that correlation a sanity check of the rank-vs-residual encoding rather than a substantive driver. Spearman rank correlation (Level 0 harmonization): ρ = −0.139, p = 0.621, n = 15. Tissue count vs. reversal: ρ = −0.526, p = 0.044. Global CellHint Procrustes coherence confirmed at obs/null = 0.448, p &lt; 10</w:t>
      </w:r>
      <w:r>
        <w:rPr>
          <w:rFonts w:ascii="Arial" w:hAnsi="Arial" w:eastAsia="Arial" w:cs="Arial"/>
          <w:b w:val="0"/>
          <w:i w:val="0"/>
          <w:sz w:val="24"/>
          <w:vertAlign w:val="superscript"/>
        </w:rPr>
        <w:t>−4</w:t>
      </w:r>
      <w:r>
        <w:rPr>
          <w:rFonts w:ascii="Arial" w:hAnsi="Arial" w:eastAsia="Arial" w:cs="Arial"/>
          <w:b w:val="0"/>
          <w:i w:val="0"/>
          <w:sz w:val="24"/>
        </w:rPr>
        <w:t>.</w:t>
      </w:r>
    </w:p>
    <w:p>
      <w:pPr>
        <w:spacing w:line="480" w:lineRule="auto" w:after="0" w:before="0"/>
        <w:jc w:val="both"/>
      </w:pPr>
      <w:r>
        <w:rPr>
          <w:rFonts w:ascii="Arial" w:hAnsi="Arial" w:eastAsia="Arial" w:cs="Arial"/>
          <w:b/>
          <w:i w:val="0"/>
          <w:sz w:val="24"/>
        </w:rPr>
        <w:t>Figure S5. SAMap independently validates CellWarp cell type pairings across species, related to Figure 1.</w:t>
      </w:r>
      <w:r>
        <w:rPr>
          <w:rFonts w:ascii="Arial" w:hAnsi="Arial" w:eastAsia="Arial" w:cs="Arial"/>
          <w:b w:val="0"/>
          <w:i w:val="0"/>
          <w:sz w:val="24"/>
        </w:rPr>
        <w:t xml:space="preserve"> (A) SAMap cross-species correspondence heatmap for 35 matched cell types, ordered by lineage on both axes (Immune → Epithelial → Stromal → Endothelial → Metabolic; alphabetical within each lineage) so that within-lineage cross-mappings appear as off-diagonal clusters adjacent to the diagonal. Small white dots mark each row's argmax column. SAMap identified 17 high-confidence pairings (score ≥ 0.6), 8 moderate (0.3–0.59), and 10 low (&lt; 0.3). Twenty-four of 35 cell types showed direct same-name correspondence (visible as on-diagonal row-max markers, validating the CellWarp pairings); the remaining eleven within-lineage cross-mappings reflect SAMap's resolution limit at fine ontological scale rather than incorrect pairings (e.g., CD4+ T cell mapping to parent T cell type). The divergence-vs-correspondence comparison (Spearman ρ = −0.247, p = 0.153, n = 35; reported in Materials and Methods §"SAMap validation and comparison" and discussed in main text §7) is a supporting statistic computed from the underlying per-type data, not visualized in this panel. SAMap run with standard published parameters (3 iterations, 1:1 ortholog gene neighborhood graph). Spearman rank correlation: ρ = −0.247, p = 0.153, n = 35.</w:t>
      </w:r>
    </w:p>
    <w:p>
      <w:pPr>
        <w:spacing w:line="480" w:lineRule="auto" w:after="0" w:before="0"/>
        <w:jc w:val="both"/>
      </w:pPr>
      <w:r>
        <w:rPr>
          <w:rFonts w:ascii="Arial" w:hAnsi="Arial" w:eastAsia="Arial" w:cs="Arial"/>
          <w:b/>
          <w:i w:val="0"/>
          <w:sz w:val="24"/>
        </w:rPr>
        <w:t>Figure S6. CellMarker 2.0 identity gene comparison, related to Figure 6.</w:t>
      </w:r>
      <w:r>
        <w:rPr>
          <w:rFonts w:ascii="Arial" w:hAnsi="Arial" w:eastAsia="Arial" w:cs="Arial"/>
          <w:b w:val="0"/>
          <w:i w:val="0"/>
          <w:sz w:val="24"/>
        </w:rPr>
        <w:t xml:space="preserve"> (A) Pooled fold-enrichment of the overall 500-gene identity set (the top 500 genes by centroid variance across the 35 types) in CellMarker canonical marker genes, shown for two background definitions: primary (16,959-gene background, K = 257 CellMarker genes mapping into the background; 34 observed overlaps vs 7.58 expected → 4.49-fold; one-sided hypergeometric p = 2.10 × 10</w:t>
      </w:r>
      <w:r>
        <w:rPr>
          <w:rFonts w:ascii="Arial" w:hAnsi="Arial" w:eastAsia="Arial" w:cs="Arial"/>
          <w:b w:val="0"/>
          <w:i w:val="0"/>
          <w:sz w:val="24"/>
          <w:vertAlign w:val="superscript"/>
        </w:rPr>
        <w:t>−13</w:t>
      </w:r>
      <w:r>
        <w:rPr>
          <w:rFonts w:ascii="Arial" w:hAnsi="Arial" w:eastAsia="Arial" w:cs="Arial"/>
          <w:b w:val="0"/>
          <w:i w:val="0"/>
          <w:sz w:val="24"/>
        </w:rPr>
        <w:t>) and expression-matched (2,738-gene background, 500 identity + 2,238 expression-matched within ±10% mean expression; K = 56; 34 observed vs 10.23 expected → 3.32-fold; p = 1.15 × 10</w:t>
      </w:r>
      <w:r>
        <w:rPr>
          <w:rFonts w:ascii="Arial" w:hAnsi="Arial" w:eastAsia="Arial" w:cs="Arial"/>
          <w:b w:val="0"/>
          <w:i w:val="0"/>
          <w:sz w:val="24"/>
          <w:vertAlign w:val="superscript"/>
        </w:rPr>
        <w:t>−12</w:t>
      </w:r>
      <w:r>
        <w:rPr>
          <w:rFonts w:ascii="Arial" w:hAnsi="Arial" w:eastAsia="Arial" w:cs="Arial"/>
          <w:b w:val="0"/>
          <w:i w:val="0"/>
          <w:sz w:val="24"/>
        </w:rPr>
        <w:t>). Whiskers are 95% Clopper-Pearson confidence intervals on the fold-enrichment (exact CI on the observed proportion divided by the expected proportion K/N). Dashed line at fold = 1.0 marks no enrichment. K, n, and N are annotated below each bar. (B) Per-cell-type fold-enrichment for the six validation cell types (n = 50 identity genes each, primary background N = 16,959). Five cell types pass individually (B cell, CD8+ T cell, endothelial cell, hepatocyte, macrophage) with point estimates 84.8–150.8-fold and 95% Clopper-Pearson CIs as horizontal whiskers; CD4+ T cell has overlap = 0 (FAIL) and is rendered as an "×" marker at fold = 0 without a CI whisker. Cell types ordered by point estimate descending, FAIL pinned to the bottom. This identity-gene enrichment is post-hoc (see Methods, CellMarker identity gene set comparison); the single CellMarker non-passer, CD4+ T cell, is sparsely annotated in CellMarker and passes against the held-out Human Protein Atlas reference, where all six types pass. CellMarker comparison: one-sided hypergeometric test, p = 2.10 × 10</w:t>
      </w:r>
      <w:r>
        <w:rPr>
          <w:rFonts w:ascii="Arial" w:hAnsi="Arial" w:eastAsia="Arial" w:cs="Arial"/>
          <w:b w:val="0"/>
          <w:i w:val="0"/>
          <w:sz w:val="24"/>
          <w:vertAlign w:val="superscript"/>
        </w:rPr>
        <w:t>−13</w:t>
      </w:r>
      <w:r>
        <w:rPr>
          <w:rFonts w:ascii="Arial" w:hAnsi="Arial" w:eastAsia="Arial" w:cs="Arial"/>
          <w:b w:val="0"/>
          <w:i w:val="0"/>
          <w:sz w:val="24"/>
        </w:rPr>
        <w:t>. Expression-matched control: 3.32-fold, p = 1.15 × 10</w:t>
      </w:r>
      <w:r>
        <w:rPr>
          <w:rFonts w:ascii="Arial" w:hAnsi="Arial" w:eastAsia="Arial" w:cs="Arial"/>
          <w:b w:val="0"/>
          <w:i w:val="0"/>
          <w:sz w:val="24"/>
          <w:vertAlign w:val="superscript"/>
        </w:rPr>
        <w:t>−12</w:t>
      </w:r>
      <w:r>
        <w:rPr>
          <w:rFonts w:ascii="Arial" w:hAnsi="Arial" w:eastAsia="Arial" w:cs="Arial"/>
          <w:b w:val="0"/>
          <w:i w:val="0"/>
          <w:sz w:val="24"/>
        </w:rPr>
        <w:t>, n = 2,738 background genes.</w:t>
      </w:r>
    </w:p>
    <w:p>
      <w:pPr>
        <w:spacing w:line="480" w:lineRule="auto" w:after="0" w:before="0"/>
        <w:jc w:val="both"/>
      </w:pPr>
      <w:r>
        <w:rPr>
          <w:rFonts w:ascii="Arial" w:hAnsi="Arial" w:eastAsia="Arial" w:cs="Arial"/>
          <w:b/>
          <w:i w:val="0"/>
          <w:sz w:val="24"/>
        </w:rPr>
        <w:t>Figure S7. Matched-scale 6-type human-versus-human negative control, related to Figure 3.</w:t>
      </w:r>
      <w:r>
        <w:rPr>
          <w:rFonts w:ascii="Arial" w:hAnsi="Arial" w:eastAsia="Arial" w:cs="Arial"/>
          <w:b w:val="0"/>
          <w:i w:val="0"/>
          <w:sz w:val="24"/>
        </w:rPr>
        <w:t xml:space="preserve"> In a 6-type matched-scale analysis, the human–mouse cross-species ratio (obs/null = 0.317, p = 0.0035) was 1.92-fold lower than the human-human within-species control (obs/null = 0.607, p = 0.0088), a reversal of the expected evolutionary ordering attributable to protocol heterogeneity between the two human atlases. The donor-split analysis (Figure 3E), which controls for protocol, reverses this ordering to the expected direction. Permutation test: 10,000 iterations, n = 6 cell types.</w:t>
      </w:r>
    </w:p>
    <w:p>
      <w:pPr>
        <w:spacing w:line="480" w:lineRule="auto" w:after="0" w:before="0"/>
        <w:jc w:val="both"/>
      </w:pPr>
      <w:r>
        <w:rPr>
          <w:rFonts w:ascii="Arial" w:hAnsi="Arial" w:eastAsia="Arial" w:cs="Arial"/>
          <w:b/>
          <w:i w:val="0"/>
          <w:sz w:val="24"/>
        </w:rPr>
        <w:t>Figure S8. Marker-similarity-stratified null, related to Figure 1 (see Table S10).</w:t>
      </w:r>
      <w:r>
        <w:rPr>
          <w:rFonts w:ascii="Arial" w:hAnsi="Arial" w:eastAsia="Arial" w:cs="Arial"/>
          <w:b w:val="0"/>
          <w:i w:val="0"/>
          <w:sz w:val="24"/>
        </w:rPr>
        <w:t xml:space="preserve"> (A) Observed-to-null ratio (lower = stronger coherence) versus marker-similarity cluster granularity K (species-averaged gene-space centroids, Ward/Euclidean clustering, 100,000-permutation within-group null). The ratio rises from the unrestricted anchor at K = 1 (0.522) toward 1.0 as groups shrink; points are blue where the observed configuration beats the null (p &lt; 0.05; K = 1–14) and red where it does not (K ≥ 15), with the crossover at K = 15 marking where the within-group permutation space degenerates to singletons and pairs. (B) Per-type Procrustes residual versus marker-distinctness (mean distance of a type to the other 34 in species-averaged gene space); the two are uncorrelated (Spearman ρ = −0.136, p = 0.44, n = 35).</w:t>
      </w:r>
    </w:p>
    <w:p>
      <w:pPr>
        <w:spacing w:line="480" w:lineRule="auto" w:after="0" w:before="0"/>
        <w:jc w:val="both"/>
      </w:pPr>
      <w:r>
        <w:rPr>
          <w:rFonts w:ascii="Arial" w:hAnsi="Arial" w:eastAsia="Arial" w:cs="Arial"/>
          <w:b/>
          <w:i w:val="0"/>
          <w:sz w:val="24"/>
        </w:rPr>
        <w:t>Table S1. Biological predictors, cross-atlas consistency, and three-species summary, related to Figures 5, 6, and 7.</w:t>
      </w:r>
      <w:r>
        <w:rPr>
          <w:rFonts w:ascii="Arial" w:hAnsi="Arial" w:eastAsia="Arial" w:cs="Arial"/>
          <w:b w:val="0"/>
          <w:i w:val="0"/>
          <w:sz w:val="24"/>
        </w:rPr>
        <w:t xml:space="preserve"> Combined table. Sheet 1: Spearman correlations between 15 biological features and the Procrustes residual (n = 35). Sheet 2: Cross-atlas ranking consistency master table (7 datasets, primary plus 6 replications/extensions; 20 types in ≥2 datasets). Sheet 3: Three-species Procrustes results summary (human–mouse, human–macaque, human–mouse-lemur).</w:t>
      </w:r>
    </w:p>
    <w:p>
      <w:pPr>
        <w:spacing w:line="480" w:lineRule="auto" w:after="0" w:before="0"/>
        <w:jc w:val="both"/>
      </w:pPr>
      <w:r>
        <w:rPr>
          <w:rFonts w:ascii="Arial" w:hAnsi="Arial" w:eastAsia="Arial" w:cs="Arial"/>
          <w:b/>
          <w:i w:val="0"/>
          <w:sz w:val="24"/>
        </w:rPr>
        <w:t>Table S2. Simulation study parameters and bootstrap ranking summary, related to Figures 1 and 7.</w:t>
      </w:r>
      <w:r>
        <w:rPr>
          <w:rFonts w:ascii="Arial" w:hAnsi="Arial" w:eastAsia="Arial" w:cs="Arial"/>
          <w:b w:val="0"/>
          <w:i w:val="0"/>
          <w:sz w:val="24"/>
        </w:rPr>
        <w:t xml:space="preserve"> Combined table. Sheet 1: Simulation study parameters and results including detection power, ranking recovery ceiling, test-retest stability, and null calibration. Sheet 2: Bootstrap ranking confidence intervals for all 35 cell types (1,000 iterations, full pipeline refit per iteration).</w:t>
      </w:r>
    </w:p>
    <w:p>
      <w:pPr>
        <w:spacing w:line="480" w:lineRule="auto" w:after="0" w:before="0"/>
        <w:jc w:val="both"/>
      </w:pPr>
      <w:r>
        <w:rPr>
          <w:rFonts w:ascii="Arial" w:hAnsi="Arial" w:eastAsia="Arial" w:cs="Arial"/>
          <w:b/>
          <w:i w:val="0"/>
          <w:sz w:val="24"/>
        </w:rPr>
        <w:t>Table S3. CellHint rank reversal analysis identifies annotation ontology and tissue composition as systematic drivers of cross-atlas per-type divergence ranking differences, related to Figure 3.</w:t>
      </w:r>
      <w:r>
        <w:rPr>
          <w:rFonts w:ascii="Arial" w:hAnsi="Arial" w:eastAsia="Arial" w:cs="Arial"/>
          <w:b w:val="0"/>
          <w:i w:val="0"/>
          <w:sz w:val="24"/>
        </w:rPr>
        <w:t xml:space="preserve"> Per-cell-type comparison of primary (Tabula Sapiens / Tabula Muris Senis) and CellHint per-type divergence rankings for 15 matched cell types, including rank reversal magnitude, tissue counts, and annotation mapping details. Three factors explain the rank reversals: (1) annotation ontology mismatch: CellHint collapses multiple subtypes into broader categories (e.g., 10+ epithelial subtypes into a single "epithelial cell" with 9,537 cells; fibroblast at 88% cardiac tissue versus the primary analysis's separate "fibroblast of cardiac tissue"); (2) tissue composition bias: CellHint neutrophils are liver-only (tissue-resident phenotype) versus multi-tissue in the primary analysis, and CellHint plasma cells are 89% intestinal (IgA-secreting); (3) tissue count correlation with rank reversal magnitude (Spearman ρ = −0.526, p = 0.044), where types drawn from fewer tissues show the largest reversals. The global CellHint Procrustes signal is atlas-robust (obs/null = 0.448, p &lt; 10</w:t>
      </w:r>
      <w:r>
        <w:rPr>
          <w:rFonts w:ascii="Arial" w:hAnsi="Arial" w:eastAsia="Arial" w:cs="Arial"/>
          <w:b w:val="0"/>
          <w:i w:val="0"/>
          <w:sz w:val="24"/>
          <w:vertAlign w:val="superscript"/>
        </w:rPr>
        <w:t>−4</w:t>
      </w:r>
      <w:r>
        <w:rPr>
          <w:rFonts w:ascii="Arial" w:hAnsi="Arial" w:eastAsia="Arial" w:cs="Arial"/>
          <w:b w:val="0"/>
          <w:i w:val="0"/>
          <w:sz w:val="24"/>
        </w:rPr>
        <w:t>, n = 15), but per-type residual ranking is sensitive to centroid definition, an expected property of any centroid-based metric. Confidence categorization: LOW = |rank diff| ≥ 9 AND tissue/ontology mismatch identified; MODERATE = |rank diff| 5–8 with direct annotation mapping; HIGH = |rank diff| ≤ 4 with direct annotation mapping. CellHint Tissue Count column: tissue counts for all 15 rows (provided in the accompanying repository); these feed into the Spearman ρ = −0.526 calculation. Primary Rank columns: first column is the 35-type primary rank projected to the 15-type subset (used for Rank Difference, characterizing the as-originally-published disagreement magnitude); second is a fresh 15-type Procrustes re-run for matched-baseline comparison.</w:t>
      </w:r>
    </w:p>
    <w:p>
      <w:pPr>
        <w:spacing w:line="480" w:lineRule="auto" w:after="0" w:before="0"/>
        <w:jc w:val="both"/>
      </w:pPr>
      <w:r>
        <w:rPr>
          <w:rFonts w:ascii="Arial" w:hAnsi="Arial" w:eastAsia="Arial" w:cs="Arial"/>
          <w:b/>
          <w:i w:val="0"/>
          <w:sz w:val="24"/>
        </w:rPr>
        <w:t>Table S4. Progressive harmonization of CellHint ranking correlation, related to Figure 3.</w:t>
      </w:r>
      <w:r>
        <w:rPr>
          <w:rFonts w:ascii="Arial" w:hAnsi="Arial" w:eastAsia="Arial" w:cs="Arial"/>
          <w:b w:val="0"/>
          <w:i w:val="0"/>
          <w:sz w:val="24"/>
        </w:rPr>
        <w:t xml:space="preserve"> Four harmonization levels were applied to the CellHint per-type ranking comparison. Level 0: both primary and CellHint Procrustes analyses were recomputed on the shared 15-type set, ensuring residuals derive from the same-dimensional PCA space (ρ = −0.139, p = 0.621, n = 15). Level 1: "T cell" excluded due to heterogeneous tissue composition across atlases (ρ = −0.037, p = 0.899, n = 14). Level 2: remaining types restricted to shared tissues (ρ = −0.042, p = 0.897, n = 12). Level 3: cell counts capped at minimum across atlases (no change; primary counts already below CellHint counts after tissue restriction; seeds 1–4 confirmed zero variance). The original ρ = −0.386 (reported in Table S3) was inflated by comparing residuals from incompatible PCA spaces (35-type vs 15-type). After harmonization, the correlation is near zero, indicating noisy but not systematically inverted per-type rankings.</w:t>
      </w:r>
    </w:p>
    <w:p>
      <w:pPr>
        <w:spacing w:line="480" w:lineRule="auto" w:after="0" w:before="0"/>
        <w:jc w:val="both"/>
      </w:pPr>
      <w:r>
        <w:rPr>
          <w:rFonts w:ascii="Arial" w:hAnsi="Arial" w:eastAsia="Arial" w:cs="Arial"/>
          <w:b/>
          <w:i w:val="0"/>
          <w:sz w:val="24"/>
        </w:rPr>
        <w:t>Table S5. Cell type matching table for 35 human–mouse paired cell types, related to Figure 1.</w:t>
      </w:r>
      <w:r>
        <w:rPr>
          <w:rFonts w:ascii="Arial" w:hAnsi="Arial" w:eastAsia="Arial" w:cs="Arial"/>
          <w:b w:val="0"/>
          <w:i w:val="0"/>
          <w:sz w:val="24"/>
        </w:rPr>
        <w:t xml:space="preserve"> Full matching table for the 35 cell types used in the primary CellWarp analysis. Human cell types are from Tabula Sapiens (TSP1); mouse cell types are from Tabula Muris Senis (TMS). Cell Ontology IDs were retrieved from CELLxGENE Census metadata; cross-species correspondence was established by exact-label matching on canonical CL display strings (no manual marker re-annotation during selection). Marker gene expression and published literature were used as supporting validation rather than as primary matching criteria; detailed matching criteria are documented in the code repository. Cell counts represent total cells per type per species prior to the 2,000-cell subsampling cap; downstream Procrustes analysis uses ≤ 2,000 cells per type. Marker specificity reflects per-type curation depth; 25 of 35 types list explicit markers in parentheses, while the remaining 10 are validated via Cell Ontology criteria without single-marker resolution (annotated "markers not specified" in the table).</w:t>
      </w:r>
    </w:p>
    <w:p>
      <w:pPr>
        <w:spacing w:line="480" w:lineRule="auto" w:after="0" w:before="0"/>
        <w:jc w:val="both"/>
      </w:pPr>
      <w:r>
        <w:rPr>
          <w:rFonts w:ascii="Arial" w:hAnsi="Arial" w:eastAsia="Arial" w:cs="Arial"/>
          <w:b/>
          <w:i w:val="0"/>
          <w:sz w:val="24"/>
        </w:rPr>
        <w:t>Table S6. CPC1 driver genes for 35 matched cell types, related to Figure 4.</w:t>
      </w:r>
      <w:r>
        <w:rPr>
          <w:rFonts w:ascii="Arial" w:hAnsi="Arial" w:eastAsia="Arial" w:cs="Arial"/>
          <w:b w:val="0"/>
          <w:i w:val="0"/>
          <w:sz w:val="24"/>
        </w:rPr>
        <w:t xml:space="preserve"> Combined table. Sheet 1 (CPC1_summary): For each of the 35 matched cell types, the leading common principal component (CPC1, Krzanowski method) was extracted from the joint human–mouse within-type covariance structure. CPC1 is the leading eigenvector of the joint covariance matrix and is species-invariant by construction; only variance-explained differs between species. Columns report per-species variance explained by CPC1 (human_CPC1_var_explained, mouse_CPC1_var_explained), the CPC1 top-5 driver genes by absolute loading (CPC1_top5_genes; species-invariant), per-species ribosomal protein gene fraction among the top 20 genes, and classification (ribosomal-dominated or cell-type-specific). A type was classified as ribosomal-dominated when the highest-loading CPC1 gene was a ribosomal protein gene (symbol matching the regex ^(RPL|RPS|Rpl|Rps)\d, requiring a digit suffix to exclude non-ribosomal genes such as RPLN); 25 of 35 types met this criterion. The remaining 10 cell-type-specific types showed non-ribosomal rank-1 drivers: CFD (stromal cell), MACROH2A1 (hematopoietic stem cell), NAMPT (neutrophil), SSR4 (plasma cell), S100A4 (classical monocyte), AGR2 (large intestine goblet cell), S100A8 (monocyte), DPYD (intermediate monocyte), PARP8 (mature NK T cell), and FTH1 (hepatocyte). Additional Sheet 1 columns: under_ribosomal_exclusion (the new rank-1 CPC1 driver gene symbol after excluding ribosomal-protein genes from the ortholog space; ribosomal-exclusion sensitivity per Materials and Methods, Sensitivity to ribosomal-protein-gene contribution), PanSci_classification (Layer 2 PanSci replication classification for this cell type; blank for the 19 cell types not represented in PanSci), and PanSci_rank1_driver_symbol (rank-1 CPC1 driver gene symbol in PanSci; blank for the 19 cell types not represented in PanSci). Sheet 2 (CPC1_full_loadings): Full top-20 loading vectors for all 35 types in both species (1,400 rows). Sorted by Procrustes residual rank (rank 1 = most displaced). Gene space: 16,959 shared 1:1 orthologs. Random seed: 42. CPC1 computed via Krzanowski common principal component analysis on within-type covariance matrices (see Materials and Methods, Two-layer geometric conservation). CPC1 variance-explained can differ substantially between species (up to 8× asymmetry for stromal cell); large asymmetries indicate shared axis direction but different fraction of total variance aligned with that axis. Sheet 3 (CPC1_PanSci_replication): CPC1 driver genes for the 16 cell types matched in the Layer 2 PanSci replication (Tabula Sapiens 10x [human] vs PanSci snRNA-seq [mouse] on the same 16,959-gene 1:1 ortholog space as in primary). Columns: divergence_rank_primary (from Sheet 1, for cross-reference), rank1_driver (Ensembl gene ID), rank1_driver_symbol, top5_drivers (semicolon-separated Ensembl IDs), top5_drivers_symbol (semicolon-separated symbols), classification, cpc1_var_pct_TS, cpc1_var_pct_PanSci. Variance fractions native to the PanSci analysis are reported here as percentages to match Sheet 1 convention. All 16 types were classified as cell-type-specific (0 ribosomal-dominated, vs 25 of 35 in primary 10x); the single mitochondrial rank-1 driver was MT-CO2 (plasma cell). Sorted by divergence_rank_primary to mirror Sheet 2.</w:t>
      </w:r>
    </w:p>
    <w:p>
      <w:pPr>
        <w:spacing w:line="480" w:lineRule="auto" w:after="0" w:before="0"/>
        <w:jc w:val="both"/>
      </w:pPr>
      <w:r>
        <w:rPr>
          <w:rFonts w:ascii="Arial" w:hAnsi="Arial" w:eastAsia="Arial" w:cs="Arial"/>
          <w:b/>
          <w:i w:val="0"/>
          <w:sz w:val="24"/>
        </w:rPr>
        <w:t>Table S7. Layer-1 centroid coherence under ribosomal and housekeeping gene exclusion, related to Figure 1.</w:t>
      </w:r>
      <w:r>
        <w:rPr>
          <w:rFonts w:ascii="Arial" w:hAnsi="Arial" w:eastAsia="Arial" w:cs="Arial"/>
          <w:b w:val="0"/>
          <w:i w:val="0"/>
          <w:sz w:val="24"/>
        </w:rPr>
        <w:t xml:space="preserve"> Joint PCA refit at 95% variance after excluding the listed genes; obs/null and the per-type divergence ranking were recomputed (10,000-permutation null, seed 42).</w:t>
      </w:r>
    </w:p>
    <w:p>
      <w:pPr>
        <w:spacing w:line="480" w:lineRule="auto" w:after="0" w:before="0"/>
        <w:jc w:val="both"/>
      </w:pPr>
      <w:r>
        <w:rPr>
          <w:rFonts w:ascii="Arial" w:hAnsi="Arial" w:eastAsia="Arial" w:cs="Arial"/>
          <w:b/>
          <w:i w:val="0"/>
          <w:sz w:val="24"/>
        </w:rPr>
        <w:t>Table S8. Per-cell-type marker 1:1-ortholog retention versus Procrustes residual, related to Figure 6.</w:t>
      </w:r>
      <w:r>
        <w:rPr>
          <w:rFonts w:ascii="Arial" w:hAnsi="Arial" w:eastAsia="Arial" w:cs="Arial"/>
          <w:b w:val="0"/>
          <w:i w:val="0"/>
          <w:sz w:val="24"/>
        </w:rPr>
        <w:t xml:space="preserve"> CellMarker per-type markers (primary, median 12 per type, n = 32): Spearman ρ = +0.308 (p = 0.086); Table S5 canonical markers (sparse cross-check, median 2 per type, n = 25): ρ = −0.061 (p = 0.772); neither significant.</w:t>
      </w:r>
    </w:p>
    <w:p>
      <w:pPr>
        <w:spacing w:line="480" w:lineRule="auto" w:after="0" w:before="0"/>
        <w:jc w:val="both"/>
      </w:pPr>
      <w:r>
        <w:rPr>
          <w:rFonts w:ascii="Arial" w:hAnsi="Arial" w:eastAsia="Arial" w:cs="Arial"/>
          <w:b/>
          <w:i w:val="0"/>
          <w:sz w:val="24"/>
        </w:rPr>
        <w:t>Table S9. Layer-1 coherence, per-type ranking, and CPC1 driver composition under per-gene standardization, related to Figures 1 and 4.</w:t>
      </w:r>
      <w:r>
        <w:rPr>
          <w:rFonts w:ascii="Arial" w:hAnsi="Arial" w:eastAsia="Arial" w:cs="Arial"/>
          <w:b w:val="0"/>
          <w:i w:val="0"/>
          <w:sz w:val="24"/>
        </w:rPr>
        <w:t xml:space="preserve"> The primary pipeline normalizes centroids as means of log1p CP10K with no per-gene scaling; this control re-runs the shipped centroid → joint-PCA(33) → Procrustes → label-permutation-null path and the CPC1 computation after injecting per-gene standardization, holding PCA dimensionality at 33 (Scheme A: z-score across the 70 centroids; Scheme B: scanpy pp.scale across cells per species). Layer-1 coherence survives both (obs/null 0.522 → 0.606 [A] / 0.487 [B]; all p &lt; 10</w:t>
      </w:r>
      <w:r>
        <w:rPr>
          <w:rFonts w:ascii="Arial" w:hAnsi="Arial" w:eastAsia="Arial" w:cs="Arial"/>
          <w:b w:val="0"/>
          <w:i w:val="0"/>
          <w:sz w:val="24"/>
          <w:vertAlign w:val="superscript"/>
        </w:rPr>
        <w:t>−5</w:t>
      </w:r>
      <w:r>
        <w:rPr>
          <w:rFonts w:ascii="Arial" w:hAnsi="Arial" w:eastAsia="Arial" w:cs="Arial"/>
          <w:b w:val="0"/>
          <w:i w:val="0"/>
          <w:sz w:val="24"/>
        </w:rPr>
        <w:t>, 100,000-permutation null) and the per-type divergence ranking is largely preserved (Spearman ρ vs primary = 0.54 [A] / 0.76 [B]). The CPC1 ribosomal dominance does not survive: ribosomal-dominated types collapse from 25/35 to 0/35 [A] / 1/35 [B], and under Scheme B the conserved within-type axis resolves to canonical cell-type markers (B cell MS4A1, plasma cell TNFRSF17, hepatocyte APOB, endothelial EMCN, NK NKG7, basal KRT14, smooth muscle RGS5). Base reproduces the shipped values exactly (obs/null 0.5222, ranking ρ 1.000, CPC1 25/35) as a faithfulness gate. Seed 42.</w:t>
      </w:r>
    </w:p>
    <w:p>
      <w:pPr>
        <w:spacing w:line="480" w:lineRule="auto" w:after="0" w:before="0"/>
        <w:jc w:val="both"/>
      </w:pPr>
      <w:r>
        <w:rPr>
          <w:rFonts w:ascii="Arial" w:hAnsi="Arial" w:eastAsia="Arial" w:cs="Arial"/>
          <w:b/>
          <w:i w:val="0"/>
          <w:sz w:val="24"/>
        </w:rPr>
        <w:t>Table S10. Marker-similarity-stratified permutation null: coherence beyond marker-based matching, related to Figure 1.</w:t>
      </w:r>
      <w:r>
        <w:rPr>
          <w:rFonts w:ascii="Arial" w:hAnsi="Arial" w:eastAsia="Arial" w:cs="Arial"/>
          <w:b w:val="0"/>
          <w:i w:val="0"/>
          <w:sz w:val="24"/>
        </w:rPr>
        <w:t xml:space="preserve"> A null stricter than the lineage-stratified null (Figure 1C): type labels are permuted only within marker-similarity groups (species-averaged gene-space centroids, Ward/Euclidean hierarchical clustering), sweeping the cluster granularity K, reusing the shipped stratified-permutation machinery. Continuity anchors: K = 1 recovers the unrestricted null (obs/null 0.522, bit-identical); the lineage partition recovers 0.668. The observed configuration beats the marker-similarity null (p &lt; 0.05) at every K from 1 through 14 (K = 5 → 0.721, K = 8 → 0.807, K = 10 → 0.903; 100,000-permutation null), losing significance only at K ≥ 15 (K = 15 → 0.963, p = 0.086), where the within-group permutation space degenerates to singletons and pairs; a correlation-linkage clustering beats the null even at K = 15 (p = 5.6 × 10</w:t>
      </w:r>
      <w:r>
        <w:rPr>
          <w:rFonts w:ascii="Arial" w:hAnsi="Arial" w:eastAsia="Arial" w:cs="Arial"/>
          <w:b w:val="0"/>
          <w:i w:val="0"/>
          <w:sz w:val="24"/>
          <w:vertAlign w:val="superscript"/>
        </w:rPr>
        <w:t>−4</w:t>
      </w:r>
      <w:r>
        <w:rPr>
          <w:rFonts w:ascii="Arial" w:hAnsi="Arial" w:eastAsia="Arial" w:cs="Arial"/>
          <w:b w:val="0"/>
          <w:i w:val="0"/>
          <w:sz w:val="24"/>
        </w:rPr>
        <w:t>). Per-type residual is independent of marker-distinctness (Spearman ρ = −0.136, p = 0.44, n = 35). Seed 42.</w:t>
      </w:r>
    </w:p>
    <w:p>
      <w:pPr>
        <w:spacing w:line="480" w:lineRule="auto" w:after="0" w:before="0"/>
        <w:jc w:val="both"/>
      </w:pPr>
      <w:r>
        <w:rPr>
          <w:rFonts w:ascii="Arial" w:hAnsi="Arial" w:eastAsia="Arial" w:cs="Arial"/>
          <w:b/>
          <w:i w:val="0"/>
          <w:sz w:val="24"/>
        </w:rPr>
        <w:t>Table S11. Per-gene cross-species conservation score C, related to Figure 2.</w:t>
      </w:r>
      <w:r>
        <w:rPr>
          <w:rFonts w:ascii="Arial" w:hAnsi="Arial" w:eastAsia="Arial" w:cs="Arial"/>
          <w:b w:val="0"/>
          <w:i w:val="0"/>
          <w:sz w:val="24"/>
        </w:rPr>
        <w:t xml:space="preserve"> Per-gene table for the 16,959 human–mouse 1:1 orthologs (15,940 with a defined C). C is the cross-species Pearson correlation of a gene's cell-type-specificity profile across the 35 matched cell-type centroids (human vs mouse), computed directly on centroids and independent of the joint-PCA/Procrustes axes. Columns: gene identifier and symbol, C (Pearson) and its Spearman variant, mean centroid expression, Tau specificity, conserved/divergent-quartile assignment (conserved = top-quartile C; divergent = bottom-quartile C; intermediate otherwise), a master-TF flag (membership in the 73-gene pre-specified master-regulator set), the within-data axis-loading metric procrustes_contribution (the non-circularity contrast, Spearman ρ = 0.27 with C), and the per-gene C in the two halves of a representative donor split (donor_split_C_A and donor_split_C_B; both atlases' donors partitioned). Per-gene C is protocol-sensitive (cross-protocol Spearman ρ = 0.59 between 10x-only and Smart-seq2-only estimates); the donor-split columns derive from the donor-resampling aggregates underlying Figure 2D. Provided as a CSV supplementary table.</w:t>
      </w:r>
    </w:p>
    <w:p>
      <w:pPr>
        <w:spacing w:line="480" w:lineRule="auto" w:after="0" w:before="0"/>
        <w:jc w:val="both"/>
      </w:pPr>
      <w:r>
        <w:rPr>
          <w:rFonts w:ascii="Arial" w:hAnsi="Arial" w:eastAsia="Arial" w:cs="Arial"/>
          <w:b/>
          <w:i w:val="0"/>
          <w:sz w:val="24"/>
        </w:rPr>
        <w:t>Table S12. Software environment and version-pinned dependencies, related to all analyses.</w:t>
      </w:r>
      <w:r>
        <w:rPr>
          <w:rFonts w:ascii="Arial" w:hAnsi="Arial" w:eastAsia="Arial" w:cs="Arial"/>
          <w:b w:val="0"/>
          <w:i w:val="0"/>
          <w:sz w:val="24"/>
        </w:rPr>
        <w:t xml:space="preserve"> Version-pinned key software packages used across all analyses (Python and 16 libraries); the authoritative manifest is archived as requirements.txt with the analysis code. Provided as a CSV supplementary table.</w:t>
      </w:r>
    </w:p>
    <w:sectPr w:rsidR="00FC693F" w:rsidRPr="0006063C" w:rsidSect="00034616">
      <w:footerReference w:type="default" r:id="rId11"/>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r>
    <w:r>
      <w:rPr>
        <w:rFonts w:ascii="Arial" w:hAnsi="Arial"/>
        <w:sz w:val="20"/>
      </w:rPr>
      <w:instrText xml:space="preserve"> PAGE </w:instrText>
    </w:r>
    <w:r>
      <w:rPr>
        <w:rFonts w:ascii="Arial" w:hAnsi="Arial"/>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the Conserved Geometry of Cell-Type Identity Across Mammalian Species</dc:title>
  <dc:subject/>
  <dc:creator>Sriram Devadas</dc:creator>
  <cp:keywords/>
  <dc:description/>
  <cp:lastModifiedBy>Sriram Devadas</cp:lastModifiedBy>
  <cp:revision>1</cp:revision>
  <dcterms:created xsi:type="dcterms:W3CDTF">2013-12-23T23:15:00Z</dcterms:created>
  <dcterms:modified xsi:type="dcterms:W3CDTF">2013-12-23T23:15:00Z</dcterms:modified>
  <cp:category/>
</cp:coreProperties>
</file>