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nexogent-statement-of-work"/>
    <w:p>
      <w:pPr>
        <w:pStyle w:val="Heading1"/>
      </w:pPr>
      <w:r>
        <w:t xml:space="preserve">Nexogent — Statement of Work</w:t>
      </w:r>
    </w:p>
    <w:p>
      <w:pPr>
        <w:pStyle w:val="FirstParagraph"/>
      </w:pPr>
      <w:r>
        <w:rPr>
          <w:bCs/>
          <w:b/>
        </w:rPr>
        <w:t xml:space="preserve">Paid Build (v2): everything in the Free Build plus Security Hub, GuardDuty, Inspector and IAM Access Analyzer</w:t>
      </w:r>
    </w:p>
    <w:tbl>
      <w:tblPr>
        <w:tblStyle w:val="Table"/>
        <w:tblW w:type="pct" w:w="5000"/>
        <w:tblLook w:firstRow="0" w:lastRow="0" w:firstColumn="0" w:lastColumn="0" w:noHBand="0" w:noVBand="0" w:val="0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3960"/>
        <w:gridCol w:w="3960"/>
      </w:tblGrid>
      <w:tr>
        <w:tc>
          <w:tcPr>
            <w:shd w:val="clear" w:color="auto" w:fill="DCE6F2"/>
          </w:tcPr>
          <w:p>
            <w:pPr>
              <w:pStyle w:val="Compact"/>
              <w:jc w:val="left"/>
            </w:pPr>
            <w:r>
              <w:rPr>
                <w:bCs/>
                <w:b/>
                <w:sz w:val="19"/>
              </w:rPr>
              <w:t xml:space="preserve">Product</w:t>
            </w:r>
          </w:p>
        </w:tc>
        <w:tc>
          <w:tcPr>
            <w:shd w:val="clear" w:color="auto" w:fill="DCE6F2"/>
          </w:tcPr>
          <w:p>
            <w:pPr>
              <w:pStyle w:val="Compact"/>
              <w:jc w:val="left"/>
            </w:pPr>
            <w:r>
              <w:rPr>
                <w:b/>
                <w:sz w:val="19"/>
              </w:rPr>
              <w:t xml:space="preserve">Nexogent, an AWS SecOps agent for managed service providers (MSPs)</w:t>
            </w:r>
          </w:p>
        </w:tc>
      </w:tr>
      <w:tr>
        <w:tc>
          <w:tcPr/>
          <w:p>
            <w:pPr>
              <w:pStyle w:val="Compact"/>
              <w:jc w:val="left"/>
            </w:pPr>
            <w:r>
              <w:rPr>
                <w:bCs/>
                <w:b/>
                <w:sz w:val="19"/>
              </w:rPr>
              <w:t xml:space="preserve">Edition</w:t>
            </w:r>
          </w:p>
        </w:tc>
        <w:tc>
          <w:tcPr/>
          <w:p>
            <w:pPr>
              <w:pStyle w:val="Compact"/>
              <w:jc w:val="left"/>
            </w:pPr>
            <w:r>
              <w:rPr>
                <w:bCs/>
                <w:b/>
                <w:sz w:val="19"/>
              </w:rPr>
              <w:t xml:space="preserve">Paid build.</w:t>
            </w:r>
            <w:r>
              <w:rPr>
                <w:sz w:val="19"/>
              </w:rPr>
              <w:t xml:space="preserve"> </w:t>
            </w:r>
            <w:r>
              <w:rPr>
                <w:sz w:val="19"/>
              </w:rPr>
              <w:t xml:space="preserve">The full Free Build</w:t>
            </w:r>
            <w:r>
              <w:rPr>
                <w:sz w:val="19"/>
              </w:rPr>
              <w:t xml:space="preserve"> </w:t>
            </w:r>
            <w:r>
              <w:rPr>
                <w:bCs/>
                <w:b/>
                <w:sz w:val="19"/>
              </w:rPr>
              <w:t xml:space="preserve">plus</w:t>
            </w:r>
            <w:r>
              <w:rPr>
                <w:sz w:val="19"/>
              </w:rPr>
              <w:t xml:space="preserve"> </w:t>
            </w:r>
            <w:r>
              <w:rPr>
                <w:sz w:val="19"/>
              </w:rPr>
              <w:t xml:space="preserve">read-only readers for Security Hub, GuardDuty, Inspector and IAM Access Analyzer</w:t>
            </w:r>
          </w:p>
        </w:tc>
      </w:tr>
      <w:tr>
        <w:tc>
          <w:tcPr/>
          <w:p>
            <w:pPr>
              <w:pStyle w:val="Compact"/>
              <w:jc w:val="left"/>
            </w:pPr>
            <w:r>
              <w:rPr>
                <w:bCs/>
                <w:b/>
                <w:sz w:val="19"/>
              </w:rPr>
              <w:t xml:space="preserve">Supplier</w:t>
            </w:r>
          </w:p>
        </w:tc>
        <w:tc>
          <w:tcPr/>
          <w:p>
            <w:pPr>
              <w:pStyle w:val="Compact"/>
              <w:jc w:val="left"/>
            </w:pPr>
            <w:r>
              <w:rPr>
                <w:sz w:val="19"/>
              </w:rPr>
              <w:t xml:space="preserve">[Supplier name]</w:t>
            </w:r>
          </w:p>
        </w:tc>
      </w:tr>
      <w:tr>
        <w:tc>
          <w:tcPr/>
          <w:p>
            <w:pPr>
              <w:pStyle w:val="Compact"/>
              <w:jc w:val="left"/>
            </w:pPr>
            <w:r>
              <w:rPr>
                <w:bCs/>
                <w:b/>
                <w:sz w:val="19"/>
              </w:rPr>
              <w:t xml:space="preserve">Customer</w:t>
            </w:r>
          </w:p>
        </w:tc>
        <w:tc>
          <w:tcPr/>
          <w:p>
            <w:pPr>
              <w:pStyle w:val="Compact"/>
              <w:jc w:val="left"/>
            </w:pPr>
            <w:r>
              <w:rPr>
                <w:sz w:val="19"/>
              </w:rPr>
              <w:t xml:space="preserve">[MSP name]</w:t>
            </w:r>
          </w:p>
        </w:tc>
      </w:tr>
      <w:tr>
        <w:tc>
          <w:tcPr/>
          <w:p>
            <w:pPr>
              <w:pStyle w:val="Compact"/>
              <w:jc w:val="left"/>
            </w:pPr>
            <w:r>
              <w:rPr>
                <w:bCs/>
                <w:b/>
                <w:sz w:val="19"/>
              </w:rPr>
              <w:t xml:space="preserve">Delivery model</w:t>
            </w:r>
          </w:p>
        </w:tc>
        <w:tc>
          <w:tcPr/>
          <w:p>
            <w:pPr>
              <w:pStyle w:val="Compact"/>
              <w:jc w:val="left"/>
            </w:pPr>
            <w:r>
              <w:rPr>
                <w:sz w:val="19"/>
              </w:rPr>
              <w:t xml:space="preserve">One private deployment per managed client, inside that client’s own AWS account. Not a shared SaaS</w:t>
            </w:r>
          </w:p>
        </w:tc>
      </w:tr>
      <w:tr>
        <w:tc>
          <w:tcPr/>
          <w:p>
            <w:pPr>
              <w:pStyle w:val="Compact"/>
              <w:jc w:val="left"/>
            </w:pPr>
            <w:r>
              <w:rPr>
                <w:bCs/>
                <w:b/>
                <w:sz w:val="19"/>
              </w:rPr>
              <w:t xml:space="preserve">Account scope</w:t>
            </w:r>
          </w:p>
        </w:tc>
        <w:tc>
          <w:tcPr/>
          <w:p>
            <w:pPr>
              <w:pStyle w:val="Compact"/>
              <w:jc w:val="left"/>
            </w:pPr>
            <w:r>
              <w:rPr>
                <w:sz w:val="19"/>
              </w:rPr>
              <w:t xml:space="preserve">One AWS account per deployment. AWS Organizations and multi-account views are out of scope and planned for a later release</w:t>
            </w:r>
          </w:p>
        </w:tc>
      </w:tr>
      <w:tr>
        <w:tc>
          <w:tcPr/>
          <w:p>
            <w:pPr>
              <w:pStyle w:val="Compact"/>
              <w:jc w:val="left"/>
            </w:pPr>
            <w:r>
              <w:rPr>
                <w:bCs/>
                <w:b/>
                <w:sz w:val="19"/>
              </w:rPr>
              <w:t xml:space="preserve">Document status</w:t>
            </w:r>
          </w:p>
        </w:tc>
        <w:tc>
          <w:tcPr/>
          <w:p>
            <w:pPr>
              <w:pStyle w:val="Compact"/>
              <w:jc w:val="left"/>
            </w:pPr>
            <w:r>
              <w:rPr>
                <w:sz w:val="19"/>
              </w:rPr>
              <w:t xml:space="preserve">Draft v2.0 for review, 24-Oct-2026</w:t>
            </w:r>
          </w:p>
        </w:tc>
      </w:tr>
      <w:tr>
        <w:tc>
          <w:tcPr/>
          <w:p>
            <w:pPr>
              <w:pStyle w:val="Compact"/>
              <w:jc w:val="left"/>
            </w:pPr>
            <w:r>
              <w:rPr>
                <w:bCs/>
                <w:b/>
                <w:sz w:val="19"/>
              </w:rPr>
              <w:t xml:space="preserve">Companion documents</w:t>
            </w:r>
          </w:p>
        </w:tc>
        <w:tc>
          <w:tcPr/>
          <w:p>
            <w:pPr>
              <w:pStyle w:val="Compact"/>
              <w:jc w:val="left"/>
            </w:pPr>
            <w:r>
              <w:rPr>
                <w:rStyle w:val="VerbatimChar"/>
                <w:sz w:val="19"/>
              </w:rPr>
              <w:t xml:space="preserve">Sow-free-build.md</w:t>
            </w:r>
            <w:r>
              <w:rPr>
                <w:sz w:val="19"/>
              </w:rPr>
              <w:t xml:space="preserve"> </w:t>
            </w:r>
            <w:r>
              <w:rPr>
                <w:sz w:val="19"/>
              </w:rPr>
              <w:t xml:space="preserve">(the base build; this document includes all of it),</w:t>
            </w:r>
            <w:r>
              <w:rPr>
                <w:sz w:val="19"/>
              </w:rPr>
              <w:t xml:space="preserve"> </w:t>
            </w:r>
            <w:r>
              <w:rPr>
                <w:rStyle w:val="VerbatimChar"/>
                <w:sz w:val="19"/>
              </w:rPr>
              <w:t xml:space="preserve">Nexogent-Build-Spec.md</w:t>
            </w:r>
            <w:r>
              <w:rPr>
                <w:sz w:val="19"/>
              </w:rPr>
              <w:t xml:space="preserve"> </w:t>
            </w:r>
            <w:r>
              <w:rPr>
                <w:sz w:val="19"/>
              </w:rPr>
              <w:t xml:space="preserve">(engineering instructions, Part A free and Part B paid)</w:t>
            </w:r>
          </w:p>
        </w:tc>
      </w:tr>
    </w:tbl>
    <w:bookmarkStart w:id="22" w:name="summary"/>
    <w:p>
      <w:pPr>
        <w:pStyle w:val="Heading2"/>
      </w:pPr>
      <w:r>
        <w:t xml:space="preserve">1. Summary</w:t>
      </w:r>
    </w:p>
    <w:p>
      <w:pPr>
        <w:pStyle w:val="FirstParagraph"/>
      </w:pPr>
      <w:r>
        <w:t xml:space="preserve">Nexogent is installed into a managed client’s AWS account. It discovers every resource across all enabled regions, audits it with its own read-only checks and the open-source Prowler scanner, ranks findings by real risk, and keeps a history so it can say what is new, what was fixed, and what has been open for how long. It then produces what an MSP hands to a client: a ranked fix list, a risk register, a branded posture report, and alerts.</w:t>
      </w:r>
    </w:p>
    <w:p>
      <w:pPr>
        <w:pStyle w:val="BodyText"/>
      </w:pPr>
      <w:r>
        <w:t xml:space="preserve">This</w:t>
      </w:r>
      <w:r>
        <w:t xml:space="preserve"> </w:t>
      </w:r>
      <w:r>
        <w:rPr>
          <w:bCs/>
          <w:b/>
        </w:rPr>
        <w:t xml:space="preserve">paid build</w:t>
      </w:r>
      <w:r>
        <w:t xml:space="preserve"> </w:t>
      </w:r>
      <w:r>
        <w:t xml:space="preserve">adds the AWS-native security services as extra, optional detection sources. When the client already runs Security Hub, GuardDuty, Inspector or IAM Access Analyzer, Nexogent reads their findings, merges them with its own into one queue, and shows what none of the free sources can:</w:t>
      </w:r>
      <w:r>
        <w:t xml:space="preserve"> </w:t>
      </w:r>
      <w:r>
        <w:rPr>
          <w:bCs/>
          <w:b/>
        </w:rPr>
        <w:t xml:space="preserve">active threats</w:t>
      </w:r>
      <w:r>
        <w:t xml:space="preserve"> </w:t>
      </w:r>
      <w:r>
        <w:t xml:space="preserve">and</w:t>
      </w:r>
      <w:r>
        <w:t xml:space="preserve"> </w:t>
      </w:r>
      <w:r>
        <w:rPr>
          <w:bCs/>
          <w:b/>
        </w:rPr>
        <w:t xml:space="preserve">known vulnerabilities (CVEs) on workloads</w:t>
      </w:r>
      <w:r>
        <w:t xml:space="preserve">.</w:t>
      </w:r>
    </w:p>
    <w:p>
      <w:pPr>
        <w:pStyle w:val="BodyText"/>
      </w:pPr>
      <w:r>
        <w:t xml:space="preserve">Nexogent stays</w:t>
      </w:r>
      <w:r>
        <w:t xml:space="preserve"> </w:t>
      </w:r>
      <w:r>
        <w:rPr>
          <w:bCs/>
          <w:b/>
        </w:rPr>
        <w:t xml:space="preserve">read-only and recommend-only</w:t>
      </w:r>
      <w:r>
        <w:t xml:space="preserve">. It reads findings from these services; it never enables them, changes them, suppresses a finding in them, or remediates anything. The client switches those AWS services on (and pays AWS for them); Nexogent only reads.</w:t>
      </w:r>
    </w:p>
    <w:p>
      <w:pPr>
        <w:pStyle w:val="BodyText"/>
      </w:pPr>
      <w:r>
        <w:t xml:space="preserve">Nexogent does not depend on those services. If a client has none of them, the paid build behaves exactly like the free build for that account.</w:t>
      </w:r>
    </w:p>
    <w:bookmarkStart w:id="20" w:name="X75187a99342423d904c84708531cdbc219fe4e1"/>
    <w:p>
      <w:pPr>
        <w:pStyle w:val="Heading3"/>
      </w:pPr>
      <w:r>
        <w:t xml:space="preserve">1.1 What this build adds to the current product</w:t>
      </w:r>
    </w:p>
    <w:p>
      <w:pPr>
        <w:pStyle w:val="FirstParagraph"/>
      </w:pPr>
      <w:r>
        <w:t xml:space="preserve">All of the Free Build (stable finding lifecycle, deduplication, accepted-risk register, attack paths, fix-as-code, branded reports with review and approval, audit log, alerts, risk-first portal, local and demo modes), plus: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396"/>
        <w:gridCol w:w="3168"/>
        <w:gridCol w:w="4356"/>
      </w:tblGrid>
      <w:tr>
        <w:trPr>
          <w:tblHeader w:val="true"/>
        </w:trPr>
        <w:tc>
          <w:tcPr>
            <w:shd w:val="clear" w:color="auto" w:fill="DCE6F2"/>
          </w:tcPr>
          <w:p>
            <w:pPr>
              <w:pStyle w:val="Compact"/>
              <w:jc w:val="left"/>
            </w:pPr>
            <w:r>
              <w:rPr>
                <w:b/>
                <w:sz w:val="19"/>
              </w:rPr>
              <w:t xml:space="preserve">#</w:t>
            </w:r>
          </w:p>
        </w:tc>
        <w:tc>
          <w:tcPr>
            <w:shd w:val="clear" w:color="auto" w:fill="DCE6F2"/>
          </w:tcPr>
          <w:p>
            <w:pPr>
              <w:pStyle w:val="Compact"/>
              <w:jc w:val="left"/>
            </w:pPr>
            <w:r>
              <w:rPr>
                <w:b/>
                <w:sz w:val="19"/>
              </w:rPr>
              <w:t xml:space="preserve">Addition</w:t>
            </w:r>
          </w:p>
        </w:tc>
        <w:tc>
          <w:tcPr>
            <w:shd w:val="clear" w:color="auto" w:fill="DCE6F2"/>
          </w:tcPr>
          <w:p>
            <w:pPr>
              <w:pStyle w:val="Compact"/>
              <w:jc w:val="left"/>
            </w:pPr>
            <w:r>
              <w:rPr>
                <w:b/>
                <w:sz w:val="19"/>
              </w:rPr>
              <w:t xml:space="preserve">Why an MSP cares</w:t>
            </w:r>
          </w:p>
        </w:tc>
      </w:tr>
      <w:tr>
        <w:tc>
          <w:tcPr/>
          <w:p>
            <w:pPr>
              <w:pStyle w:val="Compact"/>
              <w:jc w:val="left"/>
            </w:pPr>
            <w:r>
              <w:rPr>
                <w:sz w:val="19"/>
              </w:rPr>
              <w:t xml:space="preserve">P1</w:t>
            </w:r>
          </w:p>
        </w:tc>
        <w:tc>
          <w:tcPr/>
          <w:p>
            <w:pPr>
              <w:pStyle w:val="Compact"/>
              <w:jc w:val="left"/>
            </w:pPr>
            <w:r>
              <w:rPr>
                <w:sz w:val="19"/>
              </w:rPr>
              <w:t xml:space="preserve">Security Hub reader</w:t>
            </w:r>
          </w:p>
        </w:tc>
        <w:tc>
          <w:tcPr/>
          <w:p>
            <w:pPr>
              <w:pStyle w:val="Compact"/>
              <w:jc w:val="left"/>
            </w:pPr>
            <w:r>
              <w:rPr>
                <w:sz w:val="19"/>
              </w:rPr>
              <w:t xml:space="preserve">Pulls in whatever the client already aggregates, including partner products</w:t>
            </w:r>
          </w:p>
        </w:tc>
      </w:tr>
      <w:tr>
        <w:tc>
          <w:tcPr/>
          <w:p>
            <w:pPr>
              <w:pStyle w:val="Compact"/>
              <w:jc w:val="left"/>
            </w:pPr>
            <w:r>
              <w:rPr>
                <w:sz w:val="19"/>
              </w:rPr>
              <w:t xml:space="preserve">P2</w:t>
            </w:r>
          </w:p>
        </w:tc>
        <w:tc>
          <w:tcPr/>
          <w:p>
            <w:pPr>
              <w:pStyle w:val="Compact"/>
              <w:jc w:val="left"/>
            </w:pPr>
            <w:r>
              <w:rPr>
                <w:sz w:val="19"/>
              </w:rPr>
              <w:t xml:space="preserve">GuardDuty reader and active-threat panel</w:t>
            </w:r>
          </w:p>
        </w:tc>
        <w:tc>
          <w:tcPr/>
          <w:p>
            <w:pPr>
              <w:pStyle w:val="Compact"/>
              <w:jc w:val="left"/>
            </w:pPr>
            <w:r>
              <w:rPr>
                <w:sz w:val="19"/>
              </w:rPr>
              <w:t xml:space="preserve">Answers</w:t>
            </w:r>
            <w:r>
              <w:rPr>
                <w:sz w:val="19"/>
              </w:rPr>
              <w:t xml:space="preserve"> </w:t>
            </w:r>
            <w:r>
              <w:rPr>
                <w:sz w:val="19"/>
              </w:rPr>
              <w:t xml:space="preserve">“</w:t>
            </w:r>
            <w:r>
              <w:rPr>
                <w:sz w:val="19"/>
              </w:rPr>
              <w:t xml:space="preserve">is something happening right now?</w:t>
            </w:r>
            <w:r>
              <w:rPr>
                <w:sz w:val="19"/>
              </w:rPr>
              <w:t xml:space="preserve">”</w:t>
            </w:r>
            <w:r>
              <w:rPr>
                <w:sz w:val="19"/>
              </w:rPr>
              <w:t xml:space="preserve">, which configuration scanning cannot</w:t>
            </w:r>
          </w:p>
        </w:tc>
      </w:tr>
      <w:tr>
        <w:tc>
          <w:tcPr/>
          <w:p>
            <w:pPr>
              <w:pStyle w:val="Compact"/>
              <w:jc w:val="left"/>
            </w:pPr>
            <w:r>
              <w:rPr>
                <w:sz w:val="19"/>
              </w:rPr>
              <w:t xml:space="preserve">P3</w:t>
            </w:r>
          </w:p>
        </w:tc>
        <w:tc>
          <w:tcPr/>
          <w:p>
            <w:pPr>
              <w:pStyle w:val="Compact"/>
              <w:jc w:val="left"/>
            </w:pPr>
            <w:r>
              <w:rPr>
                <w:sz w:val="19"/>
              </w:rPr>
              <w:t xml:space="preserve">Inspector reader</w:t>
            </w:r>
          </w:p>
        </w:tc>
        <w:tc>
          <w:tcPr/>
          <w:p>
            <w:pPr>
              <w:pStyle w:val="Compact"/>
              <w:jc w:val="left"/>
            </w:pPr>
            <w:r>
              <w:rPr>
                <w:sz w:val="19"/>
              </w:rPr>
              <w:t xml:space="preserve">CVEs on EC2, container images and Lambda, with fix versions and exploit flags</w:t>
            </w:r>
          </w:p>
        </w:tc>
      </w:tr>
      <w:tr>
        <w:tc>
          <w:tcPr/>
          <w:p>
            <w:pPr>
              <w:pStyle w:val="Compact"/>
              <w:jc w:val="left"/>
            </w:pPr>
            <w:r>
              <w:rPr>
                <w:sz w:val="19"/>
              </w:rPr>
              <w:t xml:space="preserve">P4</w:t>
            </w:r>
          </w:p>
        </w:tc>
        <w:tc>
          <w:tcPr/>
          <w:p>
            <w:pPr>
              <w:pStyle w:val="Compact"/>
              <w:jc w:val="left"/>
            </w:pPr>
            <w:r>
              <w:rPr>
                <w:sz w:val="19"/>
              </w:rPr>
              <w:t xml:space="preserve">IAM Access Analyzer reader</w:t>
            </w:r>
          </w:p>
        </w:tc>
        <w:tc>
          <w:tcPr/>
          <w:p>
            <w:pPr>
              <w:pStyle w:val="Compact"/>
              <w:jc w:val="left"/>
            </w:pPr>
            <w:r>
              <w:rPr>
                <w:sz w:val="19"/>
              </w:rPr>
              <w:t xml:space="preserve">Resources shared outside the account</w:t>
            </w:r>
          </w:p>
        </w:tc>
      </w:tr>
      <w:tr>
        <w:tc>
          <w:tcPr/>
          <w:p>
            <w:pPr>
              <w:pStyle w:val="Compact"/>
              <w:jc w:val="left"/>
            </w:pPr>
            <w:r>
              <w:rPr>
                <w:sz w:val="19"/>
              </w:rPr>
              <w:t xml:space="preserve">P5</w:t>
            </w:r>
          </w:p>
        </w:tc>
        <w:tc>
          <w:tcPr/>
          <w:p>
            <w:pPr>
              <w:pStyle w:val="Compact"/>
              <w:jc w:val="left"/>
            </w:pPr>
            <w:r>
              <w:rPr>
                <w:sz w:val="19"/>
              </w:rPr>
              <w:t xml:space="preserve">Cross-source deduplication including native control IDs</w:t>
            </w:r>
          </w:p>
        </w:tc>
        <w:tc>
          <w:tcPr/>
          <w:p>
            <w:pPr>
              <w:pStyle w:val="Compact"/>
              <w:jc w:val="left"/>
            </w:pPr>
            <w:r>
              <w:rPr>
                <w:sz w:val="19"/>
              </w:rPr>
              <w:t xml:space="preserve">One finding even when Prowler, Security Hub and Nexogent all report it</w:t>
            </w:r>
          </w:p>
        </w:tc>
      </w:tr>
      <w:tr>
        <w:tc>
          <w:tcPr/>
          <w:p>
            <w:pPr>
              <w:pStyle w:val="Compact"/>
              <w:jc w:val="left"/>
            </w:pPr>
            <w:r>
              <w:rPr>
                <w:sz w:val="19"/>
              </w:rPr>
              <w:t xml:space="preserve">P6</w:t>
            </w:r>
          </w:p>
        </w:tc>
        <w:tc>
          <w:tcPr/>
          <w:p>
            <w:pPr>
              <w:pStyle w:val="Compact"/>
              <w:jc w:val="left"/>
            </w:pPr>
            <w:r>
              <w:rPr>
                <w:sz w:val="19"/>
              </w:rPr>
              <w:t xml:space="preserve">Attack paths enriched with native signals</w:t>
            </w:r>
          </w:p>
        </w:tc>
        <w:tc>
          <w:tcPr/>
          <w:p>
            <w:pPr>
              <w:pStyle w:val="Compact"/>
              <w:jc w:val="left"/>
            </w:pPr>
            <w:r>
              <w:rPr>
                <w:sz w:val="19"/>
              </w:rPr>
              <w:t xml:space="preserve">A path that also has an exploitable CVE or an active threat is ranked higher</w:t>
            </w:r>
          </w:p>
        </w:tc>
      </w:tr>
      <w:tr>
        <w:tc>
          <w:tcPr/>
          <w:p>
            <w:pPr>
              <w:pStyle w:val="Compact"/>
              <w:jc w:val="left"/>
            </w:pPr>
            <w:r>
              <w:rPr>
                <w:sz w:val="19"/>
              </w:rPr>
              <w:t xml:space="preserve">P7</w:t>
            </w:r>
          </w:p>
        </w:tc>
        <w:tc>
          <w:tcPr/>
          <w:p>
            <w:pPr>
              <w:pStyle w:val="Compact"/>
              <w:jc w:val="left"/>
            </w:pPr>
            <w:r>
              <w:rPr>
                <w:sz w:val="19"/>
              </w:rPr>
              <w:t xml:space="preserve">Live integration page</w:t>
            </w:r>
          </w:p>
        </w:tc>
        <w:tc>
          <w:tcPr/>
          <w:p>
            <w:pPr>
              <w:pStyle w:val="Compact"/>
              <w:jc w:val="left"/>
            </w:pPr>
            <w:r>
              <w:rPr>
                <w:sz w:val="19"/>
              </w:rPr>
              <w:t xml:space="preserve">Shows whether each service is enabled, whether Nexogent can read it, and what it costs</w:t>
            </w:r>
          </w:p>
        </w:tc>
      </w:tr>
    </w:tbl>
    <w:bookmarkEnd w:id="20"/>
    <w:bookmarkStart w:id="21" w:name="X5212dfa2662fc462d85e04647c05f050468ed11"/>
    <w:p>
      <w:pPr>
        <w:pStyle w:val="Heading3"/>
      </w:pPr>
      <w:r>
        <w:t xml:space="preserve">1.2 How this edition differs from the free build</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2640"/>
        <w:gridCol w:w="2640"/>
        <w:gridCol w:w="2640"/>
      </w:tblGrid>
      <w:tr>
        <w:trPr>
          <w:tblHeader w:val="true"/>
        </w:trPr>
        <w:tc>
          <w:tcPr>
            <w:shd w:val="clear" w:color="auto" w:fill="DCE6F2"/>
          </w:tcPr>
          <w:p>
            <w:pPr>
              <w:pStyle w:val="Compact"/>
            </w:pPr>
          </w:p>
        </w:tc>
        <w:tc>
          <w:tcPr>
            <w:shd w:val="clear" w:color="auto" w:fill="DCE6F2"/>
          </w:tcPr>
          <w:p>
            <w:pPr>
              <w:pStyle w:val="Compact"/>
              <w:jc w:val="left"/>
            </w:pPr>
            <w:r>
              <w:rPr>
                <w:b/>
                <w:sz w:val="19"/>
              </w:rPr>
              <w:t xml:space="preserve">Free build</w:t>
            </w:r>
          </w:p>
        </w:tc>
        <w:tc>
          <w:tcPr>
            <w:shd w:val="clear" w:color="auto" w:fill="DCE6F2"/>
          </w:tcPr>
          <w:p>
            <w:pPr>
              <w:pStyle w:val="Compact"/>
              <w:jc w:val="left"/>
            </w:pPr>
            <w:r>
              <w:rPr>
                <w:bCs/>
                <w:b/>
                <w:sz w:val="19"/>
              </w:rPr>
              <w:t xml:space="preserve">Paid build (this document)</w:t>
            </w:r>
          </w:p>
        </w:tc>
      </w:tr>
      <w:tr>
        <w:tc>
          <w:tcPr/>
          <w:p>
            <w:pPr>
              <w:pStyle w:val="Compact"/>
              <w:jc w:val="left"/>
            </w:pPr>
            <w:r>
              <w:rPr>
                <w:sz w:val="19"/>
              </w:rPr>
              <w:t xml:space="preserve">Detection sources</w:t>
            </w:r>
          </w:p>
        </w:tc>
        <w:tc>
          <w:tcPr/>
          <w:p>
            <w:pPr>
              <w:pStyle w:val="Compact"/>
              <w:jc w:val="left"/>
            </w:pPr>
            <w:r>
              <w:rPr>
                <w:sz w:val="19"/>
              </w:rPr>
              <w:t xml:space="preserve">Own checks + Prowler (+ optional ScoutSuite, cloudsplaining)</w:t>
            </w:r>
          </w:p>
        </w:tc>
        <w:tc>
          <w:tcPr/>
          <w:p>
            <w:pPr>
              <w:pStyle w:val="Compact"/>
              <w:jc w:val="left"/>
            </w:pPr>
            <w:r>
              <w:rPr>
                <w:sz w:val="19"/>
              </w:rPr>
              <w:t xml:space="preserve">The same, plus Security Hub, GuardDuty, Inspector and Access Analyzer readers</w:t>
            </w:r>
          </w:p>
        </w:tc>
      </w:tr>
      <w:tr>
        <w:tc>
          <w:tcPr/>
          <w:p>
            <w:pPr>
              <w:pStyle w:val="Compact"/>
              <w:jc w:val="left"/>
            </w:pPr>
            <w:r>
              <w:rPr>
                <w:sz w:val="19"/>
              </w:rPr>
              <w:t xml:space="preserve">Works on a free-tier account</w:t>
            </w:r>
          </w:p>
        </w:tc>
        <w:tc>
          <w:tcPr/>
          <w:p>
            <w:pPr>
              <w:pStyle w:val="Compact"/>
              <w:jc w:val="left"/>
            </w:pPr>
            <w:r>
              <w:rPr>
                <w:sz w:val="19"/>
              </w:rPr>
              <w:t xml:space="preserve">Yes</w:t>
            </w:r>
          </w:p>
        </w:tc>
        <w:tc>
          <w:tcPr/>
          <w:p>
            <w:pPr>
              <w:pStyle w:val="Compact"/>
              <w:jc w:val="left"/>
            </w:pPr>
            <w:r>
              <w:rPr>
                <w:sz w:val="19"/>
              </w:rPr>
              <w:t xml:space="preserve">The free sources do; the native readers need those AWS services enabled</w:t>
            </w:r>
          </w:p>
        </w:tc>
      </w:tr>
      <w:tr>
        <w:tc>
          <w:tcPr/>
          <w:p>
            <w:pPr>
              <w:pStyle w:val="Compact"/>
              <w:jc w:val="left"/>
            </w:pPr>
            <w:r>
              <w:rPr>
                <w:sz w:val="19"/>
              </w:rPr>
              <w:t xml:space="preserve">Active threat view</w:t>
            </w:r>
          </w:p>
        </w:tc>
        <w:tc>
          <w:tcPr/>
          <w:p>
            <w:pPr>
              <w:pStyle w:val="Compact"/>
              <w:jc w:val="left"/>
            </w:pPr>
            <w:r>
              <w:rPr>
                <w:sz w:val="19"/>
              </w:rPr>
              <w:t xml:space="preserve">Not available</w:t>
            </w:r>
          </w:p>
        </w:tc>
        <w:tc>
          <w:tcPr/>
          <w:p>
            <w:pPr>
              <w:pStyle w:val="Compact"/>
              <w:jc w:val="left"/>
            </w:pPr>
            <w:r>
              <w:rPr>
                <w:sz w:val="19"/>
              </w:rPr>
              <w:t xml:space="preserve">Yes (GuardDuty)</w:t>
            </w:r>
          </w:p>
        </w:tc>
      </w:tr>
      <w:tr>
        <w:tc>
          <w:tcPr/>
          <w:p>
            <w:pPr>
              <w:pStyle w:val="Compact"/>
              <w:jc w:val="left"/>
            </w:pPr>
            <w:r>
              <w:rPr>
                <w:sz w:val="19"/>
              </w:rPr>
              <w:t xml:space="preserve">Vulnerability (CVE) view</w:t>
            </w:r>
          </w:p>
        </w:tc>
        <w:tc>
          <w:tcPr/>
          <w:p>
            <w:pPr>
              <w:pStyle w:val="Compact"/>
              <w:jc w:val="left"/>
            </w:pPr>
            <w:r>
              <w:rPr>
                <w:sz w:val="19"/>
              </w:rPr>
              <w:t xml:space="preserve">Not available</w:t>
            </w:r>
          </w:p>
        </w:tc>
        <w:tc>
          <w:tcPr/>
          <w:p>
            <w:pPr>
              <w:pStyle w:val="Compact"/>
              <w:jc w:val="left"/>
            </w:pPr>
            <w:r>
              <w:rPr>
                <w:sz w:val="19"/>
              </w:rPr>
              <w:t xml:space="preserve">Yes (Inspector)</w:t>
            </w:r>
          </w:p>
        </w:tc>
      </w:tr>
      <w:tr>
        <w:tc>
          <w:tcPr/>
          <w:p>
            <w:pPr>
              <w:pStyle w:val="Compact"/>
              <w:jc w:val="left"/>
            </w:pPr>
            <w:r>
              <w:rPr>
                <w:sz w:val="19"/>
              </w:rPr>
              <w:t xml:space="preserve">Native service toggles</w:t>
            </w:r>
          </w:p>
        </w:tc>
        <w:tc>
          <w:tcPr/>
          <w:p>
            <w:pPr>
              <w:pStyle w:val="Compact"/>
              <w:jc w:val="left"/>
            </w:pPr>
            <w:r>
              <w:rPr>
                <w:sz w:val="19"/>
              </w:rPr>
              <w:t xml:space="preserve">Shown, disabled</w:t>
            </w:r>
          </w:p>
        </w:tc>
        <w:tc>
          <w:tcPr/>
          <w:p>
            <w:pPr>
              <w:pStyle w:val="Compact"/>
              <w:jc w:val="left"/>
            </w:pPr>
            <w:r>
              <w:rPr>
                <w:sz w:val="19"/>
              </w:rPr>
              <w:t xml:space="preserve">Live; read-only; off by default</w:t>
            </w:r>
          </w:p>
        </w:tc>
      </w:tr>
      <w:tr>
        <w:tc>
          <w:tcPr/>
          <w:p>
            <w:pPr>
              <w:pStyle w:val="Compact"/>
              <w:jc w:val="left"/>
            </w:pPr>
            <w:r>
              <w:rPr>
                <w:sz w:val="19"/>
              </w:rPr>
              <w:t xml:space="preserve">AWS cost to the client</w:t>
            </w:r>
          </w:p>
        </w:tc>
        <w:tc>
          <w:tcPr/>
          <w:p>
            <w:pPr>
              <w:pStyle w:val="Compact"/>
              <w:jc w:val="left"/>
            </w:pPr>
            <w:r>
              <w:rPr>
                <w:sz w:val="19"/>
              </w:rPr>
              <w:t xml:space="preserve">Compute and storage for Nexogent only</w:t>
            </w:r>
          </w:p>
        </w:tc>
        <w:tc>
          <w:tcPr/>
          <w:p>
            <w:pPr>
              <w:pStyle w:val="Compact"/>
              <w:jc w:val="left"/>
            </w:pPr>
            <w:r>
              <w:rPr>
                <w:sz w:val="19"/>
              </w:rPr>
              <w:t xml:space="preserve">The same, plus the client’s own charges for each native service they enable</w:t>
            </w:r>
          </w:p>
        </w:tc>
      </w:tr>
    </w:tbl>
    <w:bookmarkEnd w:id="21"/>
    <w:bookmarkEnd w:id="22"/>
    <w:bookmarkStart w:id="26" w:name="who-it-is-for-and-when-it-is-used"/>
    <w:p>
      <w:pPr>
        <w:pStyle w:val="Heading2"/>
      </w:pPr>
      <w:r>
        <w:t xml:space="preserve">2. Who it is for and when it is used</w:t>
      </w:r>
    </w:p>
    <w:bookmarkStart w:id="23" w:name="users"/>
    <w:p>
      <w:pPr>
        <w:pStyle w:val="Heading3"/>
      </w:pPr>
      <w:r>
        <w:t xml:space="preserve">2.1 Users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2217"/>
        <w:gridCol w:w="5702"/>
      </w:tblGrid>
      <w:tr>
        <w:trPr>
          <w:tblHeader w:val="true"/>
        </w:trPr>
        <w:tc>
          <w:tcPr>
            <w:shd w:val="clear" w:color="auto" w:fill="DCE6F2"/>
          </w:tcPr>
          <w:p>
            <w:pPr>
              <w:pStyle w:val="Compact"/>
              <w:jc w:val="left"/>
            </w:pPr>
            <w:r>
              <w:rPr>
                <w:b/>
                <w:sz w:val="19"/>
              </w:rPr>
              <w:t xml:space="preserve">Who</w:t>
            </w:r>
          </w:p>
        </w:tc>
        <w:tc>
          <w:tcPr>
            <w:shd w:val="clear" w:color="auto" w:fill="DCE6F2"/>
          </w:tcPr>
          <w:p>
            <w:pPr>
              <w:pStyle w:val="Compact"/>
              <w:jc w:val="left"/>
            </w:pPr>
            <w:r>
              <w:rPr>
                <w:b/>
                <w:sz w:val="19"/>
              </w:rPr>
              <w:t xml:space="preserve">What they do with Nexogent</w:t>
            </w:r>
          </w:p>
        </w:tc>
      </w:tr>
      <w:tr>
        <w:tc>
          <w:tcPr/>
          <w:p>
            <w:pPr>
              <w:pStyle w:val="Compact"/>
              <w:jc w:val="left"/>
            </w:pPr>
            <w:r>
              <w:rPr>
                <w:bCs/>
                <w:b/>
                <w:sz w:val="19"/>
              </w:rPr>
              <w:t xml:space="preserve">MSP security or cloud lead</w:t>
            </w:r>
            <w:r>
              <w:rPr>
                <w:sz w:val="19"/>
              </w:rPr>
              <w:t xml:space="preserve"> </w:t>
            </w:r>
            <w:r>
              <w:rPr>
                <w:sz w:val="19"/>
              </w:rPr>
              <w:t xml:space="preserve">(the</w:t>
            </w:r>
            <w:r>
              <w:rPr>
                <w:sz w:val="19"/>
              </w:rPr>
              <w:t xml:space="preserve"> </w:t>
            </w:r>
            <w:r>
              <w:rPr>
                <w:rStyle w:val="VerbatimChar"/>
                <w:sz w:val="19"/>
              </w:rPr>
              <w:t xml:space="preserve">superadmin</w:t>
            </w:r>
            <w:r>
              <w:rPr>
                <w:sz w:val="19"/>
              </w:rPr>
              <w:t xml:space="preserve"> </w:t>
            </w:r>
            <w:r>
              <w:rPr>
                <w:sz w:val="19"/>
              </w:rPr>
              <w:t xml:space="preserve">in this release)</w:t>
            </w:r>
          </w:p>
        </w:tc>
        <w:tc>
          <w:tcPr/>
          <w:p>
            <w:pPr>
              <w:pStyle w:val="Compact"/>
              <w:jc w:val="left"/>
            </w:pPr>
            <w:r>
              <w:rPr>
                <w:sz w:val="19"/>
              </w:rPr>
              <w:t xml:space="preserve">Runs scans, reviews findings, accepts risks, approves reports, sets alerts</w:t>
            </w:r>
          </w:p>
        </w:tc>
      </w:tr>
      <w:tr>
        <w:tc>
          <w:tcPr/>
          <w:p>
            <w:pPr>
              <w:pStyle w:val="Compact"/>
              <w:jc w:val="left"/>
            </w:pPr>
            <w:r>
              <w:rPr>
                <w:bCs/>
                <w:b/>
                <w:sz w:val="19"/>
              </w:rPr>
              <w:t xml:space="preserve">MSP engineer</w:t>
            </w:r>
          </w:p>
        </w:tc>
        <w:tc>
          <w:tcPr/>
          <w:p>
            <w:pPr>
              <w:pStyle w:val="Compact"/>
              <w:jc w:val="left"/>
            </w:pPr>
            <w:r>
              <w:rPr>
                <w:sz w:val="19"/>
              </w:rPr>
              <w:t xml:space="preserve">Works through the fix list, applies the Terraform or CLI change through the MSP’s normal change process</w:t>
            </w:r>
          </w:p>
        </w:tc>
      </w:tr>
      <w:tr>
        <w:tc>
          <w:tcPr/>
          <w:p>
            <w:pPr>
              <w:pStyle w:val="Compact"/>
              <w:jc w:val="left"/>
            </w:pPr>
            <w:r>
              <w:rPr>
                <w:bCs/>
                <w:b/>
                <w:sz w:val="19"/>
              </w:rPr>
              <w:t xml:space="preserve">Client stakeholder</w:t>
            </w:r>
          </w:p>
        </w:tc>
        <w:tc>
          <w:tcPr/>
          <w:p>
            <w:pPr>
              <w:pStyle w:val="Compact"/>
              <w:jc w:val="left"/>
            </w:pPr>
            <w:r>
              <w:rPr>
                <w:sz w:val="19"/>
              </w:rPr>
              <w:t xml:space="preserve">Receives the approved report. Does not sign in to the portal in this release</w:t>
            </w:r>
          </w:p>
        </w:tc>
      </w:tr>
    </w:tbl>
    <w:p>
      <w:pPr>
        <w:pStyle w:val="BodyText"/>
      </w:pPr>
      <w:r>
        <w:t xml:space="preserve">This release keeps a single sign-in role (</w:t>
      </w:r>
      <w:r>
        <w:rPr>
          <w:rStyle w:val="VerbatimChar"/>
        </w:rPr>
        <w:t xml:space="preserve">superadmin</w:t>
      </w:r>
      <w:r>
        <w:t xml:space="preserve">). Reviewer and owner names are recorded as text. Named users and roles are planned for a later release.</w:t>
      </w:r>
    </w:p>
    <w:bookmarkEnd w:id="23"/>
    <w:bookmarkStart w:id="24" w:name="when-it-is-used"/>
    <w:p>
      <w:pPr>
        <w:pStyle w:val="Heading3"/>
      </w:pPr>
      <w:r>
        <w:t xml:space="preserve">2.2 When it is used</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584"/>
        <w:gridCol w:w="3009"/>
        <w:gridCol w:w="3326"/>
      </w:tblGrid>
      <w:tr>
        <w:trPr>
          <w:tblHeader w:val="true"/>
        </w:trPr>
        <w:tc>
          <w:tcPr>
            <w:shd w:val="clear" w:color="auto" w:fill="DCE6F2"/>
          </w:tcPr>
          <w:p>
            <w:pPr>
              <w:pStyle w:val="Compact"/>
              <w:jc w:val="left"/>
            </w:pPr>
            <w:r>
              <w:rPr>
                <w:b/>
                <w:sz w:val="19"/>
              </w:rPr>
              <w:t xml:space="preserve">Moment</w:t>
            </w:r>
          </w:p>
        </w:tc>
        <w:tc>
          <w:tcPr>
            <w:shd w:val="clear" w:color="auto" w:fill="DCE6F2"/>
          </w:tcPr>
          <w:p>
            <w:pPr>
              <w:pStyle w:val="Compact"/>
              <w:jc w:val="left"/>
            </w:pPr>
            <w:r>
              <w:rPr>
                <w:b/>
                <w:sz w:val="19"/>
              </w:rPr>
              <w:t xml:space="preserve">What happens</w:t>
            </w:r>
          </w:p>
        </w:tc>
        <w:tc>
          <w:tcPr>
            <w:shd w:val="clear" w:color="auto" w:fill="DCE6F2"/>
          </w:tcPr>
          <w:p>
            <w:pPr>
              <w:pStyle w:val="Compact"/>
              <w:jc w:val="left"/>
            </w:pPr>
            <w:r>
              <w:rPr>
                <w:b/>
                <w:sz w:val="19"/>
              </w:rPr>
              <w:t xml:space="preserve">What the MSP gets</w:t>
            </w:r>
          </w:p>
        </w:tc>
      </w:tr>
      <w:tr>
        <w:tc>
          <w:tcPr/>
          <w:p>
            <w:pPr>
              <w:pStyle w:val="Compact"/>
              <w:jc w:val="left"/>
            </w:pPr>
            <w:r>
              <w:rPr>
                <w:bCs/>
                <w:b/>
                <w:sz w:val="19"/>
              </w:rPr>
              <w:t xml:space="preserve">Client onboarding</w:t>
            </w:r>
          </w:p>
        </w:tc>
        <w:tc>
          <w:tcPr/>
          <w:p>
            <w:pPr>
              <w:pStyle w:val="Compact"/>
              <w:jc w:val="left"/>
            </w:pPr>
            <w:r>
              <w:rPr>
                <w:sz w:val="19"/>
              </w:rPr>
              <w:t xml:space="preserve">Deploy, run the first full scan and a Prowler deep scan</w:t>
            </w:r>
          </w:p>
        </w:tc>
        <w:tc>
          <w:tcPr/>
          <w:p>
            <w:pPr>
              <w:pStyle w:val="Compact"/>
              <w:jc w:val="left"/>
            </w:pPr>
            <w:r>
              <w:rPr>
                <w:sz w:val="19"/>
              </w:rPr>
              <w:t xml:space="preserve">A baseline: score, ranked fixes, attack paths</w:t>
            </w:r>
          </w:p>
        </w:tc>
      </w:tr>
      <w:tr>
        <w:tc>
          <w:tcPr/>
          <w:p>
            <w:pPr>
              <w:pStyle w:val="Compact"/>
              <w:jc w:val="left"/>
            </w:pPr>
            <w:r>
              <w:rPr>
                <w:bCs/>
                <w:b/>
                <w:sz w:val="19"/>
              </w:rPr>
              <w:t xml:space="preserve">Weekly review</w:t>
            </w:r>
          </w:p>
        </w:tc>
        <w:tc>
          <w:tcPr/>
          <w:p>
            <w:pPr>
              <w:pStyle w:val="Compact"/>
              <w:jc w:val="left"/>
            </w:pPr>
            <w:r>
              <w:rPr>
                <w:sz w:val="19"/>
              </w:rPr>
              <w:t xml:space="preserve">Open the Overview: what changed since last scan</w:t>
            </w:r>
          </w:p>
        </w:tc>
        <w:tc>
          <w:tcPr/>
          <w:p>
            <w:pPr>
              <w:pStyle w:val="Compact"/>
              <w:jc w:val="left"/>
            </w:pPr>
            <w:r>
              <w:rPr>
                <w:sz w:val="19"/>
              </w:rPr>
              <w:t xml:space="preserve">New, fixed and regressed findings; the next five things to fix</w:t>
            </w:r>
          </w:p>
        </w:tc>
      </w:tr>
      <w:tr>
        <w:tc>
          <w:tcPr/>
          <w:p>
            <w:pPr>
              <w:pStyle w:val="Compact"/>
              <w:jc w:val="left"/>
            </w:pPr>
            <w:r>
              <w:rPr>
                <w:bCs/>
                <w:b/>
                <w:sz w:val="19"/>
              </w:rPr>
              <w:t xml:space="preserve">Monthly client report</w:t>
            </w:r>
          </w:p>
        </w:tc>
        <w:tc>
          <w:tcPr/>
          <w:p>
            <w:pPr>
              <w:pStyle w:val="Compact"/>
              <w:jc w:val="left"/>
            </w:pPr>
            <w:r>
              <w:rPr>
                <w:sz w:val="19"/>
              </w:rPr>
              <w:t xml:space="preserve">Generate, review, approve, download</w:t>
            </w:r>
          </w:p>
        </w:tc>
        <w:tc>
          <w:tcPr/>
          <w:p>
            <w:pPr>
              <w:pStyle w:val="Compact"/>
              <w:jc w:val="left"/>
            </w:pPr>
            <w:r>
              <w:rPr>
                <w:sz w:val="19"/>
              </w:rPr>
              <w:t xml:space="preserve">A branded Word report showing the score trend and what was closed</w:t>
            </w:r>
          </w:p>
        </w:tc>
      </w:tr>
      <w:tr>
        <w:tc>
          <w:tcPr/>
          <w:p>
            <w:pPr>
              <w:pStyle w:val="Compact"/>
              <w:jc w:val="left"/>
            </w:pPr>
            <w:r>
              <w:rPr>
                <w:bCs/>
                <w:b/>
                <w:sz w:val="19"/>
              </w:rPr>
              <w:t xml:space="preserve">Change window</w:t>
            </w:r>
          </w:p>
        </w:tc>
        <w:tc>
          <w:tcPr/>
          <w:p>
            <w:pPr>
              <w:pStyle w:val="Compact"/>
              <w:jc w:val="left"/>
            </w:pPr>
            <w:r>
              <w:rPr>
                <w:sz w:val="19"/>
              </w:rPr>
              <w:t xml:space="preserve">Audit a service or resource before and after</w:t>
            </w:r>
          </w:p>
        </w:tc>
        <w:tc>
          <w:tcPr/>
          <w:p>
            <w:pPr>
              <w:pStyle w:val="Compact"/>
              <w:jc w:val="left"/>
            </w:pPr>
            <w:r>
              <w:rPr>
                <w:sz w:val="19"/>
              </w:rPr>
              <w:t xml:space="preserve">Proof a change worked, or an alert if it regressed</w:t>
            </w:r>
          </w:p>
        </w:tc>
      </w:tr>
      <w:tr>
        <w:tc>
          <w:tcPr/>
          <w:p>
            <w:pPr>
              <w:pStyle w:val="Compact"/>
              <w:jc w:val="left"/>
            </w:pPr>
            <w:r>
              <w:rPr>
                <w:bCs/>
                <w:b/>
                <w:sz w:val="19"/>
              </w:rPr>
              <w:t xml:space="preserve">Audit or questionnaire prep</w:t>
            </w:r>
          </w:p>
        </w:tc>
        <w:tc>
          <w:tcPr/>
          <w:p>
            <w:pPr>
              <w:pStyle w:val="Compact"/>
              <w:jc w:val="left"/>
            </w:pPr>
            <w:r>
              <w:rPr>
                <w:sz w:val="19"/>
              </w:rPr>
              <w:t xml:space="preserve">Use the report and the risk register</w:t>
            </w:r>
          </w:p>
        </w:tc>
        <w:tc>
          <w:tcPr/>
          <w:p>
            <w:pPr>
              <w:pStyle w:val="Compact"/>
              <w:jc w:val="left"/>
            </w:pPr>
            <w:r>
              <w:rPr>
                <w:sz w:val="19"/>
              </w:rPr>
              <w:t xml:space="preserve">Evidence of controls mapped to CIS, and a register of accepted risks</w:t>
            </w:r>
          </w:p>
        </w:tc>
      </w:tr>
      <w:tr>
        <w:tc>
          <w:tcPr/>
          <w:p>
            <w:pPr>
              <w:pStyle w:val="Compact"/>
              <w:jc w:val="left"/>
            </w:pPr>
            <w:r>
              <w:rPr>
                <w:bCs/>
                <w:b/>
                <w:sz w:val="19"/>
              </w:rPr>
              <w:t xml:space="preserve">Between reviews</w:t>
            </w:r>
          </w:p>
        </w:tc>
        <w:tc>
          <w:tcPr/>
          <w:p>
            <w:pPr>
              <w:pStyle w:val="Compact"/>
              <w:jc w:val="left"/>
            </w:pPr>
            <w:r>
              <w:rPr>
                <w:sz w:val="19"/>
              </w:rPr>
              <w:t xml:space="preserve">Scheduled scans and Slack alerts</w:t>
            </w:r>
          </w:p>
        </w:tc>
        <w:tc>
          <w:tcPr/>
          <w:p>
            <w:pPr>
              <w:pStyle w:val="Compact"/>
              <w:jc w:val="left"/>
            </w:pPr>
            <w:r>
              <w:rPr>
                <w:sz w:val="19"/>
              </w:rPr>
              <w:t xml:space="preserve">Notice of a new critical finding without anyone looking</w:t>
            </w:r>
          </w:p>
        </w:tc>
      </w:tr>
    </w:tbl>
    <w:bookmarkEnd w:id="24"/>
    <w:bookmarkStart w:id="25" w:name="what-the-first-week-looks-like"/>
    <w:p>
      <w:pPr>
        <w:pStyle w:val="Heading3"/>
      </w:pPr>
      <w:r>
        <w:t xml:space="preserve">2.3 What the first week looks like</w:t>
      </w:r>
    </w:p>
    <w:p>
      <w:pPr>
        <w:numPr>
          <w:ilvl w:val="0"/>
          <w:numId w:val="1001"/>
        </w:numPr>
        <w:pStyle w:val="Compact"/>
      </w:pPr>
      <w:r>
        <w:t xml:space="preserve">Day 1: deploy into the client account and run the full scan and deep scan.</w:t>
      </w:r>
    </w:p>
    <w:p>
      <w:pPr>
        <w:numPr>
          <w:ilvl w:val="0"/>
          <w:numId w:val="1001"/>
        </w:numPr>
        <w:pStyle w:val="Compact"/>
      </w:pPr>
      <w:r>
        <w:t xml:space="preserve">Day 2: the MSP reviews the baseline, marks genuine exceptions as accepted risks, and assigns owners and effort to the top findings.</w:t>
      </w:r>
    </w:p>
    <w:p>
      <w:pPr>
        <w:numPr>
          <w:ilvl w:val="0"/>
          <w:numId w:val="1001"/>
        </w:numPr>
        <w:pStyle w:val="Compact"/>
      </w:pPr>
      <w:r>
        <w:t xml:space="preserve">Days 3 to 7: engineers apply fixes. Each scheduled scan marks fixed items as fixed and flags anything that comes back.</w:t>
      </w:r>
    </w:p>
    <w:p>
      <w:pPr>
        <w:numPr>
          <w:ilvl w:val="0"/>
          <w:numId w:val="1001"/>
        </w:numPr>
        <w:pStyle w:val="Compact"/>
      </w:pPr>
      <w:r>
        <w:t xml:space="preserve">End of week: the MSP generates the report, reviews it, approves it and sends it. The score trend now shows movement.</w:t>
      </w:r>
    </w:p>
    <w:bookmarkEnd w:id="25"/>
    <w:bookmarkEnd w:id="26"/>
    <w:bookmarkStart w:id="29" w:name="starting-point-and-detection-model"/>
    <w:p>
      <w:pPr>
        <w:pStyle w:val="Heading2"/>
      </w:pPr>
      <w:r>
        <w:t xml:space="preserve">3. Starting point and detection model</w:t>
      </w:r>
    </w:p>
    <w:bookmarkStart w:id="27" w:name="where-the-product-stands-today-v1"/>
    <w:p>
      <w:pPr>
        <w:pStyle w:val="Heading3"/>
      </w:pPr>
      <w:r>
        <w:t xml:space="preserve">3.1 Where the product stands today (v1)</w:t>
      </w:r>
    </w:p>
    <w:p>
      <w:pPr>
        <w:pStyle w:val="FirstParagraph"/>
      </w:pPr>
      <w:r>
        <w:t xml:space="preserve">v1 is deployed and working: multi-region discovery, own checks, Prowler ingestion, risk ranking, Bedrock explanations with offline fallback, a service-then-resource portal, DynamoDB persistence, a password gate, and Helm deployment. A review of the v1 code found these gaps, which this build closes: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396"/>
        <w:gridCol w:w="3009"/>
        <w:gridCol w:w="3326"/>
        <w:gridCol w:w="1188"/>
      </w:tblGrid>
      <w:tr>
        <w:trPr>
          <w:tblHeader w:val="true"/>
        </w:trPr>
        <w:tc>
          <w:tcPr>
            <w:shd w:val="clear" w:color="auto" w:fill="DCE6F2"/>
          </w:tcPr>
          <w:p>
            <w:pPr>
              <w:pStyle w:val="Compact"/>
              <w:jc w:val="left"/>
            </w:pPr>
            <w:r>
              <w:rPr>
                <w:b/>
                <w:sz w:val="19"/>
              </w:rPr>
              <w:t xml:space="preserve">#</w:t>
            </w:r>
          </w:p>
        </w:tc>
        <w:tc>
          <w:tcPr>
            <w:shd w:val="clear" w:color="auto" w:fill="DCE6F2"/>
          </w:tcPr>
          <w:p>
            <w:pPr>
              <w:pStyle w:val="Compact"/>
              <w:jc w:val="left"/>
            </w:pPr>
            <w:r>
              <w:rPr>
                <w:b/>
                <w:sz w:val="19"/>
              </w:rPr>
              <w:t xml:space="preserve">Gap in v1</w:t>
            </w:r>
          </w:p>
        </w:tc>
        <w:tc>
          <w:tcPr>
            <w:shd w:val="clear" w:color="auto" w:fill="DCE6F2"/>
          </w:tcPr>
          <w:p>
            <w:pPr>
              <w:pStyle w:val="Compact"/>
              <w:jc w:val="left"/>
            </w:pPr>
            <w:r>
              <w:rPr>
                <w:b/>
                <w:sz w:val="19"/>
              </w:rPr>
              <w:t xml:space="preserve">Effect</w:t>
            </w:r>
          </w:p>
        </w:tc>
        <w:tc>
          <w:tcPr>
            <w:shd w:val="clear" w:color="auto" w:fill="DCE6F2"/>
          </w:tcPr>
          <w:p>
            <w:pPr>
              <w:pStyle w:val="Compact"/>
              <w:jc w:val="left"/>
            </w:pPr>
            <w:r>
              <w:rPr>
                <w:b/>
                <w:sz w:val="19"/>
              </w:rPr>
              <w:t xml:space="preserve">Closed by</w:t>
            </w:r>
          </w:p>
        </w:tc>
      </w:tr>
      <w:tr>
        <w:tc>
          <w:tcPr/>
          <w:p>
            <w:pPr>
              <w:pStyle w:val="Compact"/>
              <w:jc w:val="left"/>
            </w:pPr>
            <w:r>
              <w:rPr>
                <w:sz w:val="19"/>
              </w:rPr>
              <w:t xml:space="preserve">G1</w:t>
            </w:r>
          </w:p>
        </w:tc>
        <w:tc>
          <w:tcPr/>
          <w:p>
            <w:pPr>
              <w:pStyle w:val="Compact"/>
              <w:jc w:val="left"/>
            </w:pPr>
            <w:r>
              <w:rPr>
                <w:sz w:val="19"/>
              </w:rPr>
              <w:t xml:space="preserve">Finding IDs and first-seen times are regenerated on every scan</w:t>
            </w:r>
          </w:p>
        </w:tc>
        <w:tc>
          <w:tcPr/>
          <w:p>
            <w:pPr>
              <w:pStyle w:val="Compact"/>
              <w:jc w:val="left"/>
            </w:pPr>
            <w:r>
              <w:rPr>
                <w:sz w:val="19"/>
              </w:rPr>
              <w:t xml:space="preserve">Cannot tell new from old, fixed from open, or show history</w:t>
            </w:r>
          </w:p>
        </w:tc>
        <w:tc>
          <w:tcPr/>
          <w:p>
            <w:pPr>
              <w:pStyle w:val="Compact"/>
              <w:jc w:val="left"/>
            </w:pPr>
            <w:r>
              <w:rPr>
                <w:sz w:val="19"/>
              </w:rPr>
              <w:t xml:space="preserve">F1</w:t>
            </w:r>
          </w:p>
        </w:tc>
      </w:tr>
      <w:tr>
        <w:tc>
          <w:tcPr/>
          <w:p>
            <w:pPr>
              <w:pStyle w:val="Compact"/>
              <w:jc w:val="left"/>
            </w:pPr>
            <w:r>
              <w:rPr>
                <w:sz w:val="19"/>
              </w:rPr>
              <w:t xml:space="preserve">G2</w:t>
            </w:r>
          </w:p>
        </w:tc>
        <w:tc>
          <w:tcPr/>
          <w:p>
            <w:pPr>
              <w:pStyle w:val="Compact"/>
              <w:jc w:val="left"/>
            </w:pPr>
            <w:r>
              <w:rPr>
                <w:sz w:val="19"/>
              </w:rPr>
              <w:t xml:space="preserve">The same problem reported by two sources appears twice</w:t>
            </w:r>
          </w:p>
        </w:tc>
        <w:tc>
          <w:tcPr/>
          <w:p>
            <w:pPr>
              <w:pStyle w:val="Compact"/>
              <w:jc w:val="left"/>
            </w:pPr>
            <w:r>
              <w:rPr>
                <w:sz w:val="19"/>
              </w:rPr>
              <w:t xml:space="preserve">Inflated counts and noise</w:t>
            </w:r>
          </w:p>
        </w:tc>
        <w:tc>
          <w:tcPr/>
          <w:p>
            <w:pPr>
              <w:pStyle w:val="Compact"/>
              <w:jc w:val="left"/>
            </w:pPr>
            <w:r>
              <w:rPr>
                <w:sz w:val="19"/>
              </w:rPr>
              <w:t xml:space="preserve">F2</w:t>
            </w:r>
          </w:p>
        </w:tc>
      </w:tr>
      <w:tr>
        <w:tc>
          <w:tcPr/>
          <w:p>
            <w:pPr>
              <w:pStyle w:val="Compact"/>
              <w:jc w:val="left"/>
            </w:pPr>
            <w:r>
              <w:rPr>
                <w:sz w:val="19"/>
              </w:rPr>
              <w:t xml:space="preserve">G3</w:t>
            </w:r>
          </w:p>
        </w:tc>
        <w:tc>
          <w:tcPr/>
          <w:p>
            <w:pPr>
              <w:pStyle w:val="Compact"/>
              <w:jc w:val="left"/>
            </w:pPr>
            <w:r>
              <w:rPr>
                <w:sz w:val="19"/>
              </w:rPr>
              <w:t xml:space="preserve">Review history is stored but never shown</w:t>
            </w:r>
          </w:p>
        </w:tc>
        <w:tc>
          <w:tcPr/>
          <w:p>
            <w:pPr>
              <w:pStyle w:val="Compact"/>
              <w:jc w:val="left"/>
            </w:pPr>
            <w:r>
              <w:rPr>
                <w:sz w:val="19"/>
              </w:rPr>
              <w:t xml:space="preserve">No trend, no proof of improvement</w:t>
            </w:r>
          </w:p>
        </w:tc>
        <w:tc>
          <w:tcPr/>
          <w:p>
            <w:pPr>
              <w:pStyle w:val="Compact"/>
              <w:jc w:val="left"/>
            </w:pPr>
            <w:r>
              <w:rPr>
                <w:sz w:val="19"/>
              </w:rPr>
              <w:t xml:space="preserve">F3</w:t>
            </w:r>
          </w:p>
        </w:tc>
      </w:tr>
      <w:tr>
        <w:tc>
          <w:tcPr/>
          <w:p>
            <w:pPr>
              <w:pStyle w:val="Compact"/>
              <w:jc w:val="left"/>
            </w:pPr>
            <w:r>
              <w:rPr>
                <w:sz w:val="19"/>
              </w:rPr>
              <w:t xml:space="preserve">G4</w:t>
            </w:r>
          </w:p>
        </w:tc>
        <w:tc>
          <w:tcPr/>
          <w:p>
            <w:pPr>
              <w:pStyle w:val="Compact"/>
              <w:jc w:val="left"/>
            </w:pPr>
            <w:r>
              <w:rPr>
                <w:sz w:val="19"/>
              </w:rPr>
              <w:t xml:space="preserve">Reports (Markdown and PDF) are promised in the v1 SOW but not built</w:t>
            </w:r>
          </w:p>
        </w:tc>
        <w:tc>
          <w:tcPr/>
          <w:p>
            <w:pPr>
              <w:pStyle w:val="Compact"/>
              <w:jc w:val="left"/>
            </w:pPr>
            <w:r>
              <w:rPr>
                <w:sz w:val="19"/>
              </w:rPr>
              <w:t xml:space="preserve">The main MSP deliverable does not exist</w:t>
            </w:r>
          </w:p>
        </w:tc>
        <w:tc>
          <w:tcPr/>
          <w:p>
            <w:pPr>
              <w:pStyle w:val="Compact"/>
              <w:jc w:val="left"/>
            </w:pPr>
            <w:r>
              <w:rPr>
                <w:sz w:val="19"/>
              </w:rPr>
              <w:t xml:space="preserve">F9</w:t>
            </w:r>
          </w:p>
        </w:tc>
      </w:tr>
      <w:tr>
        <w:tc>
          <w:tcPr/>
          <w:p>
            <w:pPr>
              <w:pStyle w:val="Compact"/>
              <w:jc w:val="left"/>
            </w:pPr>
            <w:r>
              <w:rPr>
                <w:sz w:val="19"/>
              </w:rPr>
              <w:t xml:space="preserve">G5</w:t>
            </w:r>
          </w:p>
        </w:tc>
        <w:tc>
          <w:tcPr/>
          <w:p>
            <w:pPr>
              <w:pStyle w:val="Compact"/>
              <w:jc w:val="left"/>
            </w:pPr>
            <w:r>
              <w:rPr>
                <w:sz w:val="19"/>
              </w:rPr>
              <w:t xml:space="preserve">The</w:t>
            </w:r>
            <w:r>
              <w:rPr>
                <w:sz w:val="19"/>
              </w:rPr>
              <w:t xml:space="preserve"> </w:t>
            </w:r>
            <w:r>
              <w:rPr>
                <w:bCs/>
                <w:b/>
                <w:sz w:val="19"/>
              </w:rPr>
              <w:t xml:space="preserve">Audit</w:t>
            </w:r>
            <w:r>
              <w:rPr>
                <w:sz w:val="19"/>
              </w:rPr>
              <w:t xml:space="preserve"> </w:t>
            </w:r>
            <w:r>
              <w:rPr>
                <w:sz w:val="19"/>
              </w:rPr>
              <w:t xml:space="preserve">button re-runs own checks and re-reads the last Prowler file; it does not run Prowler</w:t>
            </w:r>
          </w:p>
        </w:tc>
        <w:tc>
          <w:tcPr/>
          <w:p>
            <w:pPr>
              <w:pStyle w:val="Compact"/>
              <w:jc w:val="left"/>
            </w:pPr>
            <w:r>
              <w:rPr>
                <w:sz w:val="19"/>
              </w:rPr>
              <w:t xml:space="preserve">The button overstates what it does; a single-resource audit also re-discovers the whole account</w:t>
            </w:r>
          </w:p>
        </w:tc>
        <w:tc>
          <w:tcPr/>
          <w:p>
            <w:pPr>
              <w:pStyle w:val="Compact"/>
              <w:jc w:val="left"/>
            </w:pPr>
            <w:r>
              <w:rPr>
                <w:sz w:val="19"/>
              </w:rPr>
              <w:t xml:space="preserve">F15</w:t>
            </w:r>
          </w:p>
        </w:tc>
      </w:tr>
      <w:tr>
        <w:tc>
          <w:tcPr/>
          <w:p>
            <w:pPr>
              <w:pStyle w:val="Compact"/>
              <w:jc w:val="left"/>
            </w:pPr>
            <w:r>
              <w:rPr>
                <w:sz w:val="19"/>
              </w:rPr>
              <w:t xml:space="preserve">G6</w:t>
            </w:r>
          </w:p>
        </w:tc>
        <w:tc>
          <w:tcPr/>
          <w:p>
            <w:pPr>
              <w:pStyle w:val="Compact"/>
              <w:jc w:val="left"/>
            </w:pPr>
            <w:r>
              <w:rPr>
                <w:sz w:val="19"/>
              </w:rPr>
              <w:t xml:space="preserve">CloudTrail appears as a service card but discovery never lists CloudTrail resources, so the card is always empty</w:t>
            </w:r>
          </w:p>
        </w:tc>
        <w:tc>
          <w:tcPr/>
          <w:p>
            <w:pPr>
              <w:pStyle w:val="Compact"/>
              <w:jc w:val="left"/>
            </w:pPr>
            <w:r>
              <w:rPr>
                <w:sz w:val="19"/>
              </w:rPr>
              <w:t xml:space="preserve">Looks broken</w:t>
            </w:r>
          </w:p>
        </w:tc>
        <w:tc>
          <w:tcPr/>
          <w:p>
            <w:pPr>
              <w:pStyle w:val="Compact"/>
              <w:jc w:val="left"/>
            </w:pPr>
            <w:r>
              <w:rPr>
                <w:sz w:val="19"/>
              </w:rPr>
              <w:t xml:space="preserve">F16</w:t>
            </w:r>
          </w:p>
        </w:tc>
      </w:tr>
      <w:tr>
        <w:tc>
          <w:tcPr/>
          <w:p>
            <w:pPr>
              <w:pStyle w:val="Compact"/>
              <w:jc w:val="left"/>
            </w:pPr>
            <w:r>
              <w:rPr>
                <w:sz w:val="19"/>
              </w:rPr>
              <w:t xml:space="preserve">G7</w:t>
            </w:r>
          </w:p>
        </w:tc>
        <w:tc>
          <w:tcPr/>
          <w:p>
            <w:pPr>
              <w:pStyle w:val="Compact"/>
              <w:jc w:val="left"/>
            </w:pPr>
            <w:r>
              <w:rPr>
                <w:sz w:val="19"/>
              </w:rPr>
              <w:t xml:space="preserve">Login sessions are held in memory</w:t>
            </w:r>
          </w:p>
        </w:tc>
        <w:tc>
          <w:tcPr/>
          <w:p>
            <w:pPr>
              <w:pStyle w:val="Compact"/>
              <w:jc w:val="left"/>
            </w:pPr>
            <w:r>
              <w:rPr>
                <w:sz w:val="19"/>
              </w:rPr>
              <w:t xml:space="preserve">Signing in fails or is lost when there is more than one replica or after a restart</w:t>
            </w:r>
          </w:p>
        </w:tc>
        <w:tc>
          <w:tcPr/>
          <w:p>
            <w:pPr>
              <w:pStyle w:val="Compact"/>
              <w:jc w:val="left"/>
            </w:pPr>
            <w:r>
              <w:rPr>
                <w:sz w:val="19"/>
              </w:rPr>
              <w:t xml:space="preserve">F14</w:t>
            </w:r>
          </w:p>
        </w:tc>
      </w:tr>
      <w:tr>
        <w:tc>
          <w:tcPr/>
          <w:p>
            <w:pPr>
              <w:pStyle w:val="Compact"/>
              <w:jc w:val="left"/>
            </w:pPr>
            <w:r>
              <w:rPr>
                <w:sz w:val="19"/>
              </w:rPr>
              <w:t xml:space="preserve">G8</w:t>
            </w:r>
          </w:p>
        </w:tc>
        <w:tc>
          <w:tcPr/>
          <w:p>
            <w:pPr>
              <w:pStyle w:val="Compact"/>
              <w:jc w:val="left"/>
            </w:pPr>
            <w:r>
              <w:rPr>
                <w:sz w:val="19"/>
              </w:rPr>
              <w:t xml:space="preserve">The portal is served over plain HTTP; CORS allows any origin; a token is accepted in the URL</w:t>
            </w:r>
          </w:p>
        </w:tc>
        <w:tc>
          <w:tcPr/>
          <w:p>
            <w:pPr>
              <w:pStyle w:val="Compact"/>
              <w:jc w:val="left"/>
            </w:pPr>
            <w:r>
              <w:rPr>
                <w:sz w:val="19"/>
              </w:rPr>
              <w:t xml:space="preserve">Weak for a security product</w:t>
            </w:r>
          </w:p>
        </w:tc>
        <w:tc>
          <w:tcPr/>
          <w:p>
            <w:pPr>
              <w:pStyle w:val="Compact"/>
              <w:jc w:val="left"/>
            </w:pPr>
            <w:r>
              <w:rPr>
                <w:sz w:val="19"/>
              </w:rPr>
              <w:t xml:space="preserve">F14</w:t>
            </w:r>
          </w:p>
        </w:tc>
      </w:tr>
      <w:tr>
        <w:tc>
          <w:tcPr/>
          <w:p>
            <w:pPr>
              <w:pStyle w:val="Compact"/>
              <w:jc w:val="left"/>
            </w:pPr>
            <w:r>
              <w:rPr>
                <w:sz w:val="19"/>
              </w:rPr>
              <w:t xml:space="preserve">G9</w:t>
            </w:r>
          </w:p>
        </w:tc>
        <w:tc>
          <w:tcPr/>
          <w:p>
            <w:pPr>
              <w:pStyle w:val="Compact"/>
              <w:jc w:val="left"/>
            </w:pPr>
            <w:r>
              <w:rPr>
                <w:sz w:val="19"/>
              </w:rPr>
              <w:t xml:space="preserve">The landing page hides the posture score and offers no priority view</w:t>
            </w:r>
          </w:p>
        </w:tc>
        <w:tc>
          <w:tcPr/>
          <w:p>
            <w:pPr>
              <w:pStyle w:val="Compact"/>
              <w:jc w:val="left"/>
            </w:pPr>
            <w:r>
              <w:rPr>
                <w:sz w:val="19"/>
              </w:rPr>
              <w:t xml:space="preserve">The first screen does not answer</w:t>
            </w:r>
            <w:r>
              <w:rPr>
                <w:sz w:val="19"/>
              </w:rPr>
              <w:t xml:space="preserve"> </w:t>
            </w:r>
            <w:r>
              <w:rPr>
                <w:sz w:val="19"/>
              </w:rPr>
              <w:t xml:space="preserve">“</w:t>
            </w:r>
            <w:r>
              <w:rPr>
                <w:sz w:val="19"/>
              </w:rPr>
              <w:t xml:space="preserve">what is wrong and what do I do first</w:t>
            </w:r>
            <w:r>
              <w:rPr>
                <w:sz w:val="19"/>
              </w:rPr>
              <w:t xml:space="preserve">”</w:t>
            </w:r>
          </w:p>
        </w:tc>
        <w:tc>
          <w:tcPr/>
          <w:p>
            <w:pPr>
              <w:pStyle w:val="Compact"/>
              <w:jc w:val="left"/>
            </w:pPr>
            <w:r>
              <w:rPr>
                <w:sz w:val="19"/>
              </w:rPr>
              <w:t xml:space="preserve">F17</w:t>
            </w:r>
          </w:p>
        </w:tc>
      </w:tr>
      <w:tr>
        <w:tc>
          <w:tcPr/>
          <w:p>
            <w:pPr>
              <w:pStyle w:val="Compact"/>
              <w:jc w:val="left"/>
            </w:pPr>
            <w:r>
              <w:rPr>
                <w:sz w:val="19"/>
              </w:rPr>
              <w:t xml:space="preserve">G10</w:t>
            </w:r>
          </w:p>
        </w:tc>
        <w:tc>
          <w:tcPr/>
          <w:p>
            <w:pPr>
              <w:pStyle w:val="Compact"/>
              <w:jc w:val="left"/>
            </w:pPr>
            <w:r>
              <w:rPr>
                <w:sz w:val="19"/>
              </w:rPr>
              <w:t xml:space="preserve">The shared results volume is a single-node disk, so a scan pod on another node cannot mount it</w:t>
            </w:r>
          </w:p>
        </w:tc>
        <w:tc>
          <w:tcPr/>
          <w:p>
            <w:pPr>
              <w:pStyle w:val="Compact"/>
              <w:jc w:val="left"/>
            </w:pPr>
            <w:r>
              <w:rPr>
                <w:sz w:val="19"/>
              </w:rPr>
              <w:t xml:space="preserve">Deep scans fail on a multi-node cluster</w:t>
            </w:r>
          </w:p>
        </w:tc>
        <w:tc>
          <w:tcPr/>
          <w:p>
            <w:pPr>
              <w:pStyle w:val="Compact"/>
              <w:jc w:val="left"/>
            </w:pPr>
            <w:r>
              <w:rPr>
                <w:sz w:val="19"/>
              </w:rPr>
              <w:t xml:space="preserve">F15</w:t>
            </w:r>
          </w:p>
        </w:tc>
      </w:tr>
    </w:tbl>
    <w:bookmarkEnd w:id="27"/>
    <w:bookmarkStart w:id="28" w:name="detection-model-unchanged-principle"/>
    <w:p>
      <w:pPr>
        <w:pStyle w:val="Heading3"/>
      </w:pPr>
      <w:r>
        <w:t xml:space="preserve">3.2 Detection model (unchanged principle)</w:t>
      </w:r>
    </w:p>
    <w:p>
      <w:pPr>
        <w:numPr>
          <w:ilvl w:val="0"/>
          <w:numId w:val="1002"/>
        </w:numPr>
        <w:pStyle w:val="Compact"/>
      </w:pPr>
      <w:r>
        <w:rPr>
          <w:bCs/>
          <w:b/>
        </w:rPr>
        <w:t xml:space="preserve">Tools detect.</w:t>
      </w:r>
      <w:r>
        <w:t xml:space="preserve"> </w:t>
      </w:r>
      <w:r>
        <w:t xml:space="preserve">Own checks, Prowler and, where enabled, ScoutSuite and cloudsplaining find the problems. Detection is deterministic.</w:t>
      </w:r>
    </w:p>
    <w:p>
      <w:pPr>
        <w:numPr>
          <w:ilvl w:val="0"/>
          <w:numId w:val="1002"/>
        </w:numPr>
        <w:pStyle w:val="Compact"/>
      </w:pPr>
      <w:r>
        <w:rPr>
          <w:bCs/>
          <w:b/>
        </w:rPr>
        <w:t xml:space="preserve">Code ranks.</w:t>
      </w:r>
      <w:r>
        <w:t xml:space="preserve"> </w:t>
      </w:r>
      <w:r>
        <w:t xml:space="preserve">A weighted rubric (severity, exposure, reachability, resource criticality) produces a 0 to 100 score for each finding. Weights are editable in Settings (F8).</w:t>
      </w:r>
    </w:p>
    <w:p>
      <w:pPr>
        <w:numPr>
          <w:ilvl w:val="0"/>
          <w:numId w:val="1002"/>
        </w:numPr>
        <w:pStyle w:val="Compact"/>
      </w:pPr>
      <w:r>
        <w:rPr>
          <w:bCs/>
          <w:b/>
        </w:rPr>
        <w:t xml:space="preserve">Text is written separately.</w:t>
      </w:r>
      <w:r>
        <w:t xml:space="preserve"> </w:t>
      </w:r>
      <w:r>
        <w:t xml:space="preserve">Explanations, fix guidance and report narrative come from built-in templates. Amazon Bedrock may improve the wording when it is available. Bedrock is never a source of a finding and never changes a number.</w:t>
      </w:r>
    </w:p>
    <w:p>
      <w:pPr>
        <w:numPr>
          <w:ilvl w:val="0"/>
          <w:numId w:val="1002"/>
        </w:numPr>
        <w:pStyle w:val="Compact"/>
      </w:pPr>
      <w:r>
        <w:rPr>
          <w:bCs/>
          <w:b/>
        </w:rPr>
        <w:t xml:space="preserve">Nothing depends on Bedrock.</w:t>
      </w:r>
      <w:r>
        <w:t xml:space="preserve"> </w:t>
      </w:r>
      <w:r>
        <w:t xml:space="preserve">Every feature, including reports, works with the offline templates.</w:t>
      </w:r>
    </w:p>
    <w:p>
      <w:pPr>
        <w:numPr>
          <w:ilvl w:val="0"/>
          <w:numId w:val="1002"/>
        </w:numPr>
        <w:pStyle w:val="Compact"/>
      </w:pPr>
      <w:r>
        <w:rPr>
          <w:bCs/>
          <w:b/>
        </w:rPr>
        <w:t xml:space="preserve">Paid build: native sources.</w:t>
      </w:r>
      <w:r>
        <w:t xml:space="preserve"> </w:t>
      </w:r>
      <w:r>
        <w:t xml:space="preserve">Where the client has enabled them, Security Hub, GuardDuty, Inspector and IAM Access Analyzer are additional detection sources, read-only. Their findings go through the same fingerprint, deduplication, lifecycle and ranking as every other source. Nexogent adds the ranking, the merging, the history, the register, the attack paths and the reports on top; it does not depend on any of them.</w:t>
      </w:r>
    </w:p>
    <w:bookmarkEnd w:id="28"/>
    <w:bookmarkEnd w:id="29"/>
    <w:bookmarkStart w:id="37" w:name="scope-of-work-features"/>
    <w:p>
      <w:pPr>
        <w:pStyle w:val="Heading2"/>
      </w:pPr>
      <w:r>
        <w:t xml:space="preserve">4. Scope of work: features</w:t>
      </w:r>
    </w:p>
    <w:p>
      <w:pPr>
        <w:pStyle w:val="FirstParagraph"/>
      </w:pPr>
      <w:r>
        <w:t xml:space="preserve">Every feature below is in scope for this build. Each has a</w:t>
      </w:r>
      <w:r>
        <w:t xml:space="preserve"> </w:t>
      </w:r>
      <w:r>
        <w:t xml:space="preserve">“</w:t>
      </w:r>
      <w:r>
        <w:t xml:space="preserve">done when</w:t>
      </w:r>
      <w:r>
        <w:t xml:space="preserve">”</w:t>
      </w:r>
      <w:r>
        <w:t xml:space="preserve"> </w:t>
      </w:r>
      <w:r>
        <w:t xml:space="preserve">line that the acceptance criteria in section 10 test.</w:t>
      </w:r>
    </w:p>
    <w:bookmarkStart w:id="30" w:name="foundation-findings-that-remember"/>
    <w:p>
      <w:pPr>
        <w:pStyle w:val="Heading3"/>
      </w:pPr>
      <w:r>
        <w:t xml:space="preserve">4.1 Foundation: findings that remember</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F1</w:t>
            </w:r>
          </w:p>
        </w:tc>
        <w:tc>
          <w:tcPr/>
          <w:p>
            <w:pPr>
              <w:pStyle w:val="Compact"/>
              <w:jc w:val="left"/>
            </w:pPr>
            <w:r>
              <w:rPr>
                <w:bCs/>
                <w:b/>
                <w:sz w:val="19"/>
              </w:rPr>
              <w:t xml:space="preserve">Stable finding identity and lifecycle</w:t>
            </w:r>
          </w:p>
        </w:tc>
        <w:tc>
          <w:tcPr/>
          <w:p>
            <w:pPr>
              <w:pStyle w:val="Compact"/>
              <w:jc w:val="left"/>
            </w:pPr>
            <w:r>
              <w:rPr>
                <w:sz w:val="19"/>
              </w:rPr>
              <w:t xml:space="preserve">Each finding has a fingerprint built from account, service, region, resource and a canonical check key. Status moves through</w:t>
            </w:r>
            <w:r>
              <w:rPr>
                <w:sz w:val="19"/>
              </w:rPr>
              <w:t xml:space="preserve"> </w:t>
            </w:r>
            <w:r>
              <w:rPr>
                <w:bCs/>
                <w:b/>
                <w:sz w:val="19"/>
              </w:rPr>
              <w:t xml:space="preserve">open, fixed, regressed, accepted</w:t>
            </w:r>
            <w:r>
              <w:rPr>
                <w:sz w:val="19"/>
              </w:rPr>
              <w:t xml:space="preserve">. Each finding shows first seen, last seen, age in days, fixed date. A scan only marks a finding fixed when every source that reported it actually ran</w:t>
            </w:r>
          </w:p>
        </w:tc>
        <w:tc>
          <w:tcPr/>
          <w:p>
            <w:pPr>
              <w:pStyle w:val="Compact"/>
              <w:jc w:val="left"/>
            </w:pPr>
            <w:r>
              <w:rPr>
                <w:sz w:val="19"/>
              </w:rPr>
              <w:t xml:space="preserve">Re-scanning an unchanged account produces the same finding IDs and keeps first-seen; fixing the cause and re-scanning marks it fixed; breaking it again marks it regressed</w:t>
            </w:r>
          </w:p>
        </w:tc>
      </w:tr>
      <w:tr>
        <w:tc>
          <w:tcPr/>
          <w:p>
            <w:pPr>
              <w:pStyle w:val="Compact"/>
              <w:jc w:val="left"/>
            </w:pPr>
            <w:r>
              <w:rPr>
                <w:bCs/>
                <w:b/>
                <w:sz w:val="19"/>
              </w:rPr>
              <w:t xml:space="preserve">F2</w:t>
            </w:r>
          </w:p>
        </w:tc>
        <w:tc>
          <w:tcPr/>
          <w:p>
            <w:pPr>
              <w:pStyle w:val="Compact"/>
              <w:jc w:val="left"/>
            </w:pPr>
            <w:r>
              <w:rPr>
                <w:bCs/>
                <w:b/>
                <w:sz w:val="19"/>
              </w:rPr>
              <w:t xml:space="preserve">Cross-source deduplication</w:t>
            </w:r>
          </w:p>
        </w:tc>
        <w:tc>
          <w:tcPr/>
          <w:p>
            <w:pPr>
              <w:pStyle w:val="Compact"/>
              <w:jc w:val="left"/>
            </w:pPr>
            <w:r>
              <w:rPr>
                <w:sz w:val="19"/>
              </w:rPr>
              <w:t xml:space="preserve">One finding per problem. It lists every source that reported it, uses the highest severity, and the portal shows</w:t>
            </w:r>
            <w:r>
              <w:rPr>
                <w:sz w:val="19"/>
              </w:rPr>
              <w:t xml:space="preserve"> </w:t>
            </w:r>
            <w:r>
              <w:rPr>
                <w:sz w:val="19"/>
              </w:rPr>
              <w:t xml:space="preserve">“</w:t>
            </w:r>
            <w:r>
              <w:rPr>
                <w:sz w:val="19"/>
              </w:rPr>
              <w:t xml:space="preserve">N duplicates merged</w:t>
            </w:r>
            <w:r>
              <w:rPr>
                <w:sz w:val="19"/>
              </w:rPr>
              <w:t xml:space="preserve">”</w:t>
            </w:r>
          </w:p>
        </w:tc>
        <w:tc>
          <w:tcPr/>
          <w:p>
            <w:pPr>
              <w:pStyle w:val="Compact"/>
              <w:jc w:val="left"/>
            </w:pPr>
            <w:r>
              <w:rPr>
                <w:sz w:val="19"/>
              </w:rPr>
              <w:t xml:space="preserve">An open security group reported by an own check and by Prowler appears once, with both sources listed</w:t>
            </w:r>
          </w:p>
        </w:tc>
      </w:tr>
      <w:tr>
        <w:tc>
          <w:tcPr/>
          <w:p>
            <w:pPr>
              <w:pStyle w:val="Compact"/>
              <w:jc w:val="left"/>
            </w:pPr>
            <w:r>
              <w:rPr>
                <w:bCs/>
                <w:b/>
                <w:sz w:val="19"/>
              </w:rPr>
              <w:t xml:space="preserve">F3</w:t>
            </w:r>
          </w:p>
        </w:tc>
        <w:tc>
          <w:tcPr/>
          <w:p>
            <w:pPr>
              <w:pStyle w:val="Compact"/>
              <w:jc w:val="left"/>
            </w:pPr>
            <w:r>
              <w:rPr>
                <w:bCs/>
                <w:b/>
                <w:sz w:val="19"/>
              </w:rPr>
              <w:t xml:space="preserve">History and trend</w:t>
            </w:r>
          </w:p>
        </w:tc>
        <w:tc>
          <w:tcPr/>
          <w:p>
            <w:pPr>
              <w:pStyle w:val="Compact"/>
              <w:jc w:val="left"/>
            </w:pPr>
            <w:r>
              <w:rPr>
                <w:sz w:val="19"/>
              </w:rPr>
              <w:t xml:space="preserve">A history point is saved after every full scan: score, counts by severity, new, fixed, regressed. The portal shows a trend and</w:t>
            </w:r>
            <w:r>
              <w:rPr>
                <w:sz w:val="19"/>
              </w:rPr>
              <w:t xml:space="preserve"> </w:t>
            </w:r>
            <w:r>
              <w:rPr>
                <w:sz w:val="19"/>
              </w:rPr>
              <w:t xml:space="preserve">“</w:t>
            </w:r>
            <w:r>
              <w:rPr>
                <w:sz w:val="19"/>
              </w:rPr>
              <w:t xml:space="preserve">what changed since last scan</w:t>
            </w:r>
            <w:r>
              <w:rPr>
                <w:sz w:val="19"/>
              </w:rPr>
              <w:t xml:space="preserve">”</w:t>
            </w:r>
          </w:p>
        </w:tc>
        <w:tc>
          <w:tcPr/>
          <w:p>
            <w:pPr>
              <w:pStyle w:val="Compact"/>
              <w:jc w:val="left"/>
            </w:pPr>
            <w:r>
              <w:rPr>
                <w:sz w:val="19"/>
              </w:rPr>
              <w:t xml:space="preserve">After three scans the trend shows three points and the change list matches the real differences</w:t>
            </w:r>
          </w:p>
        </w:tc>
      </w:tr>
      <w:tr>
        <w:tc>
          <w:tcPr/>
          <w:p>
            <w:pPr>
              <w:pStyle w:val="Compact"/>
              <w:jc w:val="left"/>
            </w:pPr>
            <w:r>
              <w:rPr>
                <w:bCs/>
                <w:b/>
                <w:sz w:val="19"/>
              </w:rPr>
              <w:t xml:space="preserve">F4</w:t>
            </w:r>
          </w:p>
        </w:tc>
        <w:tc>
          <w:tcPr/>
          <w:p>
            <w:pPr>
              <w:pStyle w:val="Compact"/>
              <w:jc w:val="left"/>
            </w:pPr>
            <w:r>
              <w:rPr>
                <w:bCs/>
                <w:b/>
                <w:sz w:val="19"/>
              </w:rPr>
              <w:t xml:space="preserve">Accepted-risk register</w:t>
            </w:r>
          </w:p>
        </w:tc>
        <w:tc>
          <w:tcPr/>
          <w:p>
            <w:pPr>
              <w:pStyle w:val="Compact"/>
              <w:jc w:val="left"/>
            </w:pPr>
            <w:r>
              <w:rPr>
                <w:sz w:val="19"/>
              </w:rPr>
              <w:t xml:space="preserve">Mark a finding as an accepted risk with a reason, an owner and an expiry date. Accepted findings leave the score but stay visible. At expiry the finding returns to open and an alert is raised</w:t>
            </w:r>
          </w:p>
        </w:tc>
        <w:tc>
          <w:tcPr/>
          <w:p>
            <w:pPr>
              <w:pStyle w:val="Compact"/>
              <w:jc w:val="left"/>
            </w:pPr>
            <w:r>
              <w:rPr>
                <w:sz w:val="19"/>
              </w:rPr>
              <w:t xml:space="preserve">An accepted finding is excluded from the score; after expiry it is open again</w:t>
            </w:r>
          </w:p>
        </w:tc>
      </w:tr>
      <w:tr>
        <w:tc>
          <w:tcPr/>
          <w:p>
            <w:pPr>
              <w:pStyle w:val="Compact"/>
              <w:jc w:val="left"/>
            </w:pPr>
            <w:r>
              <w:rPr>
                <w:bCs/>
                <w:b/>
                <w:sz w:val="19"/>
              </w:rPr>
              <w:t xml:space="preserve">F5</w:t>
            </w:r>
          </w:p>
        </w:tc>
        <w:tc>
          <w:tcPr/>
          <w:p>
            <w:pPr>
              <w:pStyle w:val="Compact"/>
              <w:jc w:val="left"/>
            </w:pPr>
            <w:r>
              <w:rPr>
                <w:bCs/>
                <w:b/>
                <w:sz w:val="19"/>
              </w:rPr>
              <w:t xml:space="preserve">Remediation plan</w:t>
            </w:r>
          </w:p>
        </w:tc>
        <w:tc>
          <w:tcPr/>
          <w:p>
            <w:pPr>
              <w:pStyle w:val="Compact"/>
              <w:jc w:val="left"/>
            </w:pPr>
            <w:r>
              <w:rPr>
                <w:sz w:val="19"/>
              </w:rPr>
              <w:t xml:space="preserve">Each finding can carry an owner (text), an effort size (S, M, L) and a target date. A plan view lists the top priority findings with these fields</w:t>
            </w:r>
          </w:p>
        </w:tc>
        <w:tc>
          <w:tcPr/>
          <w:p>
            <w:pPr>
              <w:pStyle w:val="Compact"/>
              <w:jc w:val="left"/>
            </w:pPr>
            <w:r>
              <w:rPr>
                <w:sz w:val="19"/>
              </w:rPr>
              <w:t xml:space="preserve">The plan view shows owner, effort and date and survives a restart</w:t>
            </w:r>
          </w:p>
        </w:tc>
      </w:tr>
      <w:tr>
        <w:tc>
          <w:tcPr/>
          <w:p>
            <w:pPr>
              <w:pStyle w:val="Compact"/>
              <w:jc w:val="left"/>
            </w:pPr>
            <w:r>
              <w:rPr>
                <w:bCs/>
                <w:b/>
                <w:sz w:val="19"/>
              </w:rPr>
              <w:t xml:space="preserve">F8</w:t>
            </w:r>
          </w:p>
        </w:tc>
        <w:tc>
          <w:tcPr/>
          <w:p>
            <w:pPr>
              <w:pStyle w:val="Compact"/>
              <w:jc w:val="left"/>
            </w:pPr>
            <w:r>
              <w:rPr>
                <w:bCs/>
                <w:b/>
                <w:sz w:val="19"/>
              </w:rPr>
              <w:t xml:space="preserve">Scoring rubric and settings</w:t>
            </w:r>
          </w:p>
        </w:tc>
        <w:tc>
          <w:tcPr/>
          <w:p>
            <w:pPr>
              <w:pStyle w:val="Compact"/>
              <w:jc w:val="left"/>
            </w:pPr>
            <w:r>
              <w:rPr>
                <w:sz w:val="19"/>
              </w:rPr>
              <w:t xml:space="preserve">The four rubric weights, the score penalties and the rating bands are editable, with validation that weights sum to 1. Defaults match v1</w:t>
            </w:r>
          </w:p>
        </w:tc>
        <w:tc>
          <w:tcPr/>
          <w:p>
            <w:pPr>
              <w:pStyle w:val="Compact"/>
              <w:jc w:val="left"/>
            </w:pPr>
            <w:r>
              <w:rPr>
                <w:sz w:val="19"/>
              </w:rPr>
              <w:t xml:space="preserve">Changing a weight changes the scores on the next scan; invalid weights are rejected</w:t>
            </w:r>
          </w:p>
        </w:tc>
      </w:tr>
    </w:tbl>
    <w:bookmarkEnd w:id="30"/>
    <w:bookmarkStart w:id="31" w:name="Xc5649299cd6aaff9b98d7cf58d79292568b4ff0"/>
    <w:p>
      <w:pPr>
        <w:pStyle w:val="Heading3"/>
      </w:pPr>
      <w:r>
        <w:t xml:space="preserve">4.2 Intelligence: what matters and how to fix it</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F6</w:t>
            </w:r>
          </w:p>
        </w:tc>
        <w:tc>
          <w:tcPr/>
          <w:p>
            <w:pPr>
              <w:pStyle w:val="Compact"/>
              <w:jc w:val="left"/>
            </w:pPr>
            <w:r>
              <w:rPr>
                <w:bCs/>
                <w:b/>
                <w:sz w:val="19"/>
              </w:rPr>
              <w:t xml:space="preserve">Attack paths</w:t>
            </w:r>
          </w:p>
        </w:tc>
        <w:tc>
          <w:tcPr/>
          <w:p>
            <w:pPr>
              <w:pStyle w:val="Compact"/>
              <w:jc w:val="left"/>
            </w:pPr>
            <w:r>
              <w:rPr>
                <w:sz w:val="19"/>
              </w:rPr>
              <w:t xml:space="preserve">Six hand-built chains computed from discovered facts, for example an instance reachable from the internet whose role is an administrator. Each path shows its steps, the evidence, the severity, and the</w:t>
            </w:r>
            <w:r>
              <w:rPr>
                <w:sz w:val="19"/>
              </w:rPr>
              <w:t xml:space="preserve"> </w:t>
            </w:r>
            <w:r>
              <w:rPr>
                <w:bCs/>
                <w:b/>
                <w:sz w:val="19"/>
              </w:rPr>
              <w:t xml:space="preserve">cheapest step that breaks the chain</w:t>
            </w:r>
            <w:r>
              <w:rPr>
                <w:sz w:val="19"/>
              </w:rPr>
              <w:t xml:space="preserve">. Findings on a path rank higher</w:t>
            </w:r>
          </w:p>
        </w:tc>
        <w:tc>
          <w:tcPr/>
          <w:p>
            <w:pPr>
              <w:pStyle w:val="Compact"/>
              <w:jc w:val="left"/>
            </w:pPr>
            <w:r>
              <w:rPr>
                <w:sz w:val="19"/>
              </w:rPr>
              <w:t xml:space="preserve">Given a fixture account, each of the six paths is detected when its conditions hold and not detected when one condition is removed (Appendix B)</w:t>
            </w:r>
          </w:p>
        </w:tc>
      </w:tr>
      <w:tr>
        <w:tc>
          <w:tcPr/>
          <w:p>
            <w:pPr>
              <w:pStyle w:val="Compact"/>
              <w:jc w:val="left"/>
            </w:pPr>
            <w:r>
              <w:rPr>
                <w:bCs/>
                <w:b/>
                <w:sz w:val="19"/>
              </w:rPr>
              <w:t xml:space="preserve">F7</w:t>
            </w:r>
          </w:p>
        </w:tc>
        <w:tc>
          <w:tcPr/>
          <w:p>
            <w:pPr>
              <w:pStyle w:val="Compact"/>
              <w:jc w:val="left"/>
            </w:pPr>
            <w:r>
              <w:rPr>
                <w:bCs/>
                <w:b/>
                <w:sz w:val="19"/>
              </w:rPr>
              <w:t xml:space="preserve">Fix-as-code</w:t>
            </w:r>
          </w:p>
        </w:tc>
        <w:tc>
          <w:tcPr/>
          <w:p>
            <w:pPr>
              <w:pStyle w:val="Compact"/>
              <w:jc w:val="left"/>
            </w:pPr>
            <w:r>
              <w:rPr>
                <w:sz w:val="19"/>
              </w:rPr>
              <w:t xml:space="preserve">For about 15 common finding types: a Terraform snippet, an AWS CLI command, what could break, and the effort. Works with no AI. Bedrock may tailor the wording. Every snippet is labelled</w:t>
            </w:r>
            <w:r>
              <w:rPr>
                <w:sz w:val="19"/>
              </w:rPr>
              <w:t xml:space="preserve"> </w:t>
            </w:r>
            <w:r>
              <w:rPr>
                <w:sz w:val="19"/>
              </w:rPr>
              <w:t xml:space="preserve">“</w:t>
            </w:r>
            <w:r>
              <w:rPr>
                <w:sz w:val="19"/>
              </w:rPr>
              <w:t xml:space="preserve">review before applying</w:t>
            </w:r>
            <w:r>
              <w:rPr>
                <w:sz w:val="19"/>
              </w:rPr>
              <w:t xml:space="preserve">”</w:t>
            </w:r>
          </w:p>
        </w:tc>
        <w:tc>
          <w:tcPr/>
          <w:p>
            <w:pPr>
              <w:pStyle w:val="Compact"/>
              <w:jc w:val="left"/>
            </w:pPr>
            <w:r>
              <w:rPr>
                <w:sz w:val="19"/>
              </w:rPr>
              <w:t xml:space="preserve">Each of the 15 templates renders with sample data and leaves no unresolved placeholder; unknown findings show the generic recommendation</w:t>
            </w:r>
          </w:p>
        </w:tc>
      </w:tr>
    </w:tbl>
    <w:bookmarkEnd w:id="31"/>
    <w:bookmarkStart w:id="32" w:name="reports-and-workflow"/>
    <w:p>
      <w:pPr>
        <w:pStyle w:val="Heading3"/>
      </w:pPr>
      <w:r>
        <w:t xml:space="preserve">4.3 Reports and workflow</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F9</w:t>
            </w:r>
          </w:p>
        </w:tc>
        <w:tc>
          <w:tcPr/>
          <w:p>
            <w:pPr>
              <w:pStyle w:val="Compact"/>
              <w:jc w:val="left"/>
            </w:pPr>
            <w:r>
              <w:rPr>
                <w:bCs/>
                <w:b/>
                <w:sz w:val="19"/>
              </w:rPr>
              <w:t xml:space="preserve">Reports</w:t>
            </w:r>
          </w:p>
        </w:tc>
        <w:tc>
          <w:tcPr/>
          <w:p>
            <w:pPr>
              <w:pStyle w:val="Compact"/>
              <w:jc w:val="left"/>
            </w:pPr>
            <w:r>
              <w:rPr>
                <w:sz w:val="19"/>
              </w:rPr>
              <w:t xml:space="preserve">A report for the whole account, one service or one resource, as</w:t>
            </w:r>
            <w:r>
              <w:rPr>
                <w:sz w:val="19"/>
              </w:rPr>
              <w:t xml:space="preserve"> </w:t>
            </w:r>
            <w:r>
              <w:rPr>
                <w:bCs/>
                <w:b/>
                <w:sz w:val="19"/>
              </w:rPr>
              <w:t xml:space="preserve">Word (.docx), Markdown and print-ready HTML</w:t>
            </w:r>
            <w:r>
              <w:rPr>
                <w:sz w:val="19"/>
              </w:rPr>
              <w:t xml:space="preserve">. Contents: cover with MSP and client names and logo, executive summary, score and trend, what changed, ranked findings, attack paths, accepted risks, remediation plan, CIS-mapped section (Appendix C). Numbers come from data, never from a model</w:t>
            </w:r>
          </w:p>
        </w:tc>
        <w:tc>
          <w:tcPr/>
          <w:p>
            <w:pPr>
              <w:pStyle w:val="Compact"/>
              <w:jc w:val="left"/>
            </w:pPr>
            <w:r>
              <w:rPr>
                <w:sz w:val="19"/>
              </w:rPr>
              <w:t xml:space="preserve">The .docx opens in Word without repair prompts; the Markdown and HTML contain the same numbers</w:t>
            </w:r>
          </w:p>
        </w:tc>
      </w:tr>
      <w:tr>
        <w:tc>
          <w:tcPr/>
          <w:p>
            <w:pPr>
              <w:pStyle w:val="Compact"/>
              <w:jc w:val="left"/>
            </w:pPr>
            <w:r>
              <w:rPr>
                <w:bCs/>
                <w:b/>
                <w:sz w:val="19"/>
              </w:rPr>
              <w:t xml:space="preserve">F10</w:t>
            </w:r>
          </w:p>
        </w:tc>
        <w:tc>
          <w:tcPr/>
          <w:p>
            <w:pPr>
              <w:pStyle w:val="Compact"/>
              <w:jc w:val="left"/>
            </w:pPr>
            <w:r>
              <w:rPr>
                <w:bCs/>
                <w:b/>
                <w:sz w:val="19"/>
              </w:rPr>
              <w:t xml:space="preserve">Review and approval</w:t>
            </w:r>
          </w:p>
        </w:tc>
        <w:tc>
          <w:tcPr/>
          <w:p>
            <w:pPr>
              <w:pStyle w:val="Compact"/>
              <w:jc w:val="left"/>
            </w:pPr>
            <w:r>
              <w:rPr>
                <w:sz w:val="19"/>
              </w:rPr>
              <w:t xml:space="preserve">A report goes draft, in review, approved or rejected, with reviewer name, note and time. Rejecting with feedback and regenerating creates a new version linked to the old one. An approved report cannot change</w:t>
            </w:r>
          </w:p>
        </w:tc>
        <w:tc>
          <w:tcPr/>
          <w:p>
            <w:pPr>
              <w:pStyle w:val="Compact"/>
              <w:jc w:val="left"/>
            </w:pPr>
            <w:r>
              <w:rPr>
                <w:sz w:val="19"/>
              </w:rPr>
              <w:t xml:space="preserve">The status can only move along allowed transitions; an approved report downloads identically every time</w:t>
            </w:r>
          </w:p>
        </w:tc>
      </w:tr>
      <w:tr>
        <w:tc>
          <w:tcPr/>
          <w:p>
            <w:pPr>
              <w:pStyle w:val="Compact"/>
              <w:jc w:val="left"/>
            </w:pPr>
            <w:r>
              <w:rPr>
                <w:bCs/>
                <w:b/>
                <w:sz w:val="19"/>
              </w:rPr>
              <w:t xml:space="preserve">F11</w:t>
            </w:r>
          </w:p>
        </w:tc>
        <w:tc>
          <w:tcPr/>
          <w:p>
            <w:pPr>
              <w:pStyle w:val="Compact"/>
              <w:jc w:val="left"/>
            </w:pPr>
            <w:r>
              <w:rPr>
                <w:bCs/>
                <w:b/>
                <w:sz w:val="19"/>
              </w:rPr>
              <w:t xml:space="preserve">Audit log</w:t>
            </w:r>
          </w:p>
        </w:tc>
        <w:tc>
          <w:tcPr/>
          <w:p>
            <w:pPr>
              <w:pStyle w:val="Compact"/>
              <w:jc w:val="left"/>
            </w:pPr>
            <w:r>
              <w:rPr>
                <w:sz w:val="19"/>
              </w:rPr>
              <w:t xml:space="preserve">Every action is recorded: scans, accepted risks, plan edits, setting changes, report transitions, sign-ins. Viewable, filterable, exportable as CSV and JSON</w:t>
            </w:r>
          </w:p>
        </w:tc>
        <w:tc>
          <w:tcPr/>
          <w:p>
            <w:pPr>
              <w:pStyle w:val="Compact"/>
              <w:jc w:val="left"/>
            </w:pPr>
            <w:r>
              <w:rPr>
                <w:sz w:val="19"/>
              </w:rPr>
              <w:t xml:space="preserve">Each listed action creates one log entry with time, actor, action and target</w:t>
            </w:r>
          </w:p>
        </w:tc>
      </w:tr>
      <w:tr>
        <w:tc>
          <w:tcPr/>
          <w:p>
            <w:pPr>
              <w:pStyle w:val="Compact"/>
              <w:jc w:val="left"/>
            </w:pPr>
            <w:r>
              <w:rPr>
                <w:bCs/>
                <w:b/>
                <w:sz w:val="19"/>
              </w:rPr>
              <w:t xml:space="preserve">F12</w:t>
            </w:r>
          </w:p>
        </w:tc>
        <w:tc>
          <w:tcPr/>
          <w:p>
            <w:pPr>
              <w:pStyle w:val="Compact"/>
              <w:jc w:val="left"/>
            </w:pPr>
            <w:r>
              <w:rPr>
                <w:bCs/>
                <w:b/>
                <w:sz w:val="19"/>
              </w:rPr>
              <w:t xml:space="preserve">Slack alerts</w:t>
            </w:r>
          </w:p>
        </w:tc>
        <w:tc>
          <w:tcPr/>
          <w:p>
            <w:pPr>
              <w:pStyle w:val="Compact"/>
              <w:jc w:val="left"/>
            </w:pPr>
            <w:r>
              <w:rPr>
                <w:sz w:val="19"/>
              </w:rPr>
              <w:t xml:space="preserve">A Slack webhook message for a new critical or high finding, a regressed finding, a new attack path, an expiring accepted risk, or a failed scan. A digest option groups messages. Duplicate alerts are suppressed</w:t>
            </w:r>
          </w:p>
        </w:tc>
        <w:tc>
          <w:tcPr/>
          <w:p>
            <w:pPr>
              <w:pStyle w:val="Compact"/>
              <w:jc w:val="left"/>
            </w:pPr>
            <w:r>
              <w:rPr>
                <w:sz w:val="19"/>
              </w:rPr>
              <w:t xml:space="preserve">A new critical finding sends one message; the next scan does not repeat it</w:t>
            </w:r>
          </w:p>
        </w:tc>
      </w:tr>
      <w:tr>
        <w:tc>
          <w:tcPr/>
          <w:p>
            <w:pPr>
              <w:pStyle w:val="Compact"/>
              <w:jc w:val="left"/>
            </w:pPr>
            <w:r>
              <w:rPr>
                <w:bCs/>
                <w:b/>
                <w:sz w:val="19"/>
              </w:rPr>
              <w:t xml:space="preserve">F13</w:t>
            </w:r>
          </w:p>
        </w:tc>
        <w:tc>
          <w:tcPr/>
          <w:p>
            <w:pPr>
              <w:pStyle w:val="Compact"/>
              <w:jc w:val="left"/>
            </w:pPr>
            <w:r>
              <w:rPr>
                <w:bCs/>
                <w:b/>
                <w:sz w:val="19"/>
              </w:rPr>
              <w:t xml:space="preserve">Branding and settings page</w:t>
            </w:r>
          </w:p>
        </w:tc>
        <w:tc>
          <w:tcPr/>
          <w:p>
            <w:pPr>
              <w:pStyle w:val="Compact"/>
              <w:jc w:val="left"/>
            </w:pPr>
            <w:r>
              <w:rPr>
                <w:sz w:val="19"/>
              </w:rPr>
              <w:t xml:space="preserve">MSP name, client name and logo; sources on or off; scan schedule; rubric; reviewer name; Slack webhook; alert rules. Stored in the database</w:t>
            </w:r>
          </w:p>
        </w:tc>
        <w:tc>
          <w:tcPr/>
          <w:p>
            <w:pPr>
              <w:pStyle w:val="Compact"/>
              <w:jc w:val="left"/>
            </w:pPr>
            <w:r>
              <w:rPr>
                <w:sz w:val="19"/>
              </w:rPr>
              <w:t xml:space="preserve">Branding appears on the portal header and on every report</w:t>
            </w:r>
          </w:p>
        </w:tc>
      </w:tr>
    </w:tbl>
    <w:bookmarkEnd w:id="32"/>
    <w:bookmarkStart w:id="33" w:name="platform"/>
    <w:p>
      <w:pPr>
        <w:pStyle w:val="Heading3"/>
      </w:pPr>
      <w:r>
        <w:t xml:space="preserve">4.4 Platform</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F14</w:t>
            </w:r>
          </w:p>
        </w:tc>
        <w:tc>
          <w:tcPr/>
          <w:p>
            <w:pPr>
              <w:pStyle w:val="Compact"/>
              <w:jc w:val="left"/>
            </w:pPr>
            <w:r>
              <w:rPr>
                <w:bCs/>
                <w:b/>
                <w:sz w:val="19"/>
              </w:rPr>
              <w:t xml:space="preserve">Access hardening</w:t>
            </w:r>
          </w:p>
        </w:tc>
        <w:tc>
          <w:tcPr/>
          <w:p>
            <w:pPr>
              <w:pStyle w:val="Compact"/>
              <w:jc w:val="left"/>
            </w:pPr>
            <w:r>
              <w:rPr>
                <w:sz w:val="19"/>
              </w:rPr>
              <w:t xml:space="preserve">Stateless signed sessions that work across replicas and restarts; no token in URLs; same-origin by default; login throttling; security headers; HTTPS on the load balancer with a certificate, plus an optional allow-list of source IP ranges</w:t>
            </w:r>
          </w:p>
        </w:tc>
        <w:tc>
          <w:tcPr/>
          <w:p>
            <w:pPr>
              <w:pStyle w:val="Compact"/>
              <w:jc w:val="left"/>
            </w:pPr>
            <w:r>
              <w:rPr>
                <w:sz w:val="19"/>
              </w:rPr>
              <w:t xml:space="preserve">Two backend replicas accept the same session; repeated bad logins are throttled; the load balancer redirects HTTP to HTTPS when a certificate is configured</w:t>
            </w:r>
          </w:p>
        </w:tc>
      </w:tr>
      <w:tr>
        <w:tc>
          <w:tcPr/>
          <w:p>
            <w:pPr>
              <w:pStyle w:val="Compact"/>
              <w:jc w:val="left"/>
            </w:pPr>
            <w:r>
              <w:rPr>
                <w:bCs/>
                <w:b/>
                <w:sz w:val="19"/>
              </w:rPr>
              <w:t xml:space="preserve">F15</w:t>
            </w:r>
          </w:p>
        </w:tc>
        <w:tc>
          <w:tcPr/>
          <w:p>
            <w:pPr>
              <w:pStyle w:val="Compact"/>
              <w:jc w:val="left"/>
            </w:pPr>
            <w:r>
              <w:rPr>
                <w:bCs/>
                <w:b/>
                <w:sz w:val="19"/>
              </w:rPr>
              <w:t xml:space="preserve">Real on-demand scans</w:t>
            </w:r>
          </w:p>
        </w:tc>
        <w:tc>
          <w:tcPr/>
          <w:p>
            <w:pPr>
              <w:pStyle w:val="Compact"/>
              <w:jc w:val="left"/>
            </w:pPr>
            <w:r>
              <w:rPr>
                <w:bCs/>
                <w:b/>
                <w:sz w:val="19"/>
              </w:rPr>
              <w:t xml:space="preserve">Quick audit</w:t>
            </w:r>
            <w:r>
              <w:rPr>
                <w:sz w:val="19"/>
              </w:rPr>
              <w:t xml:space="preserve"> </w:t>
            </w:r>
            <w:r>
              <w:rPr>
                <w:sz w:val="19"/>
              </w:rPr>
              <w:t xml:space="preserve">re-runs own checks for one service or resource in seconds, without re-discovering the whole account.</w:t>
            </w:r>
            <w:r>
              <w:rPr>
                <w:sz w:val="19"/>
              </w:rPr>
              <w:t xml:space="preserve"> </w:t>
            </w:r>
            <w:r>
              <w:rPr>
                <w:bCs/>
                <w:b/>
                <w:sz w:val="19"/>
              </w:rPr>
              <w:t xml:space="preserve">Deep scan</w:t>
            </w:r>
            <w:r>
              <w:rPr>
                <w:sz w:val="19"/>
              </w:rPr>
              <w:t xml:space="preserve"> </w:t>
            </w:r>
            <w:r>
              <w:rPr>
                <w:sz w:val="19"/>
              </w:rPr>
              <w:t xml:space="preserve">starts a Prowler job on demand, shows its progress, and ingests the result. Scans are single-flight and survive page reloads. Scan pods are placed on the same node as the results volume</w:t>
            </w:r>
          </w:p>
        </w:tc>
        <w:tc>
          <w:tcPr/>
          <w:p>
            <w:pPr>
              <w:pStyle w:val="Compact"/>
              <w:jc w:val="left"/>
            </w:pPr>
            <w:r>
              <w:rPr>
                <w:sz w:val="19"/>
              </w:rPr>
              <w:t xml:space="preserve">Quick audit of one resource completes without a full discovery; deep scan shows queued, running, completed or failed and ingests findings</w:t>
            </w:r>
          </w:p>
        </w:tc>
      </w:tr>
      <w:tr>
        <w:tc>
          <w:tcPr/>
          <w:p>
            <w:pPr>
              <w:pStyle w:val="Compact"/>
              <w:jc w:val="left"/>
            </w:pPr>
            <w:r>
              <w:rPr>
                <w:bCs/>
                <w:b/>
                <w:sz w:val="19"/>
              </w:rPr>
              <w:t xml:space="preserve">F16</w:t>
            </w:r>
          </w:p>
        </w:tc>
        <w:tc>
          <w:tcPr/>
          <w:p>
            <w:pPr>
              <w:pStyle w:val="Compact"/>
              <w:jc w:val="left"/>
            </w:pPr>
            <w:r>
              <w:rPr>
                <w:bCs/>
                <w:b/>
                <w:sz w:val="19"/>
              </w:rPr>
              <w:t xml:space="preserve">Discovery completeness</w:t>
            </w:r>
          </w:p>
        </w:tc>
        <w:tc>
          <w:tcPr/>
          <w:p>
            <w:pPr>
              <w:pStyle w:val="Compact"/>
              <w:jc w:val="left"/>
            </w:pPr>
            <w:r>
              <w:rPr>
                <w:sz w:val="19"/>
              </w:rPr>
              <w:t xml:space="preserve">CloudTrail trails are listed as resources; security groups, volumes and access keys are discovered as facts for attack paths; the service page can filter by resource type as well as region</w:t>
            </w:r>
          </w:p>
        </w:tc>
        <w:tc>
          <w:tcPr/>
          <w:p>
            <w:pPr>
              <w:pStyle w:val="Compact"/>
              <w:jc w:val="left"/>
            </w:pPr>
            <w:r>
              <w:rPr>
                <w:sz w:val="19"/>
              </w:rPr>
              <w:t xml:space="preserve">The CloudTrail card shows real counts; the EC2 page can show instances only</w:t>
            </w:r>
          </w:p>
        </w:tc>
      </w:tr>
    </w:tbl>
    <w:bookmarkEnd w:id="33"/>
    <w:bookmarkStart w:id="34" w:name="portal-and-modes"/>
    <w:p>
      <w:pPr>
        <w:pStyle w:val="Heading3"/>
      </w:pPr>
      <w:r>
        <w:t xml:space="preserve">4.5 Portal and modes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F17</w:t>
            </w:r>
          </w:p>
        </w:tc>
        <w:tc>
          <w:tcPr/>
          <w:p>
            <w:pPr>
              <w:pStyle w:val="Compact"/>
              <w:jc w:val="left"/>
            </w:pPr>
            <w:r>
              <w:rPr>
                <w:bCs/>
                <w:b/>
                <w:sz w:val="19"/>
              </w:rPr>
              <w:t xml:space="preserve">Risk-first portal</w:t>
            </w:r>
          </w:p>
        </w:tc>
        <w:tc>
          <w:tcPr/>
          <w:p>
            <w:pPr>
              <w:pStyle w:val="Compact"/>
              <w:jc w:val="left"/>
            </w:pPr>
            <w:r>
              <w:rPr>
                <w:sz w:val="19"/>
              </w:rPr>
              <w:t xml:space="preserve">New navigation:</w:t>
            </w:r>
            <w:r>
              <w:rPr>
                <w:sz w:val="19"/>
              </w:rPr>
              <w:t xml:space="preserve"> </w:t>
            </w:r>
            <w:r>
              <w:rPr>
                <w:bCs/>
                <w:b/>
                <w:sz w:val="19"/>
              </w:rPr>
              <w:t xml:space="preserve">Overview, Findings, Attack paths, Inventory, Risks, Reports, Activity, Settings</w:t>
            </w:r>
            <w:r>
              <w:rPr>
                <w:sz w:val="19"/>
              </w:rPr>
              <w:t xml:space="preserve">. The Overview shows the score ring, trend, what changed, the top five fixes and the last scan time per source. The service and resource browser remains, under Inventory. Light theme by default with a dark option; no emoji icons; accessible by keyboard</w:t>
            </w:r>
          </w:p>
        </w:tc>
        <w:tc>
          <w:tcPr/>
          <w:p>
            <w:pPr>
              <w:pStyle w:val="Compact"/>
              <w:jc w:val="left"/>
            </w:pPr>
            <w:r>
              <w:rPr>
                <w:sz w:val="19"/>
              </w:rPr>
              <w:t xml:space="preserve">Every screen is reachable by keyboard; contrast meets WCAG AA; the layout works at tablet width</w:t>
            </w:r>
          </w:p>
        </w:tc>
      </w:tr>
      <w:tr>
        <w:tc>
          <w:tcPr/>
          <w:p>
            <w:pPr>
              <w:pStyle w:val="Compact"/>
              <w:jc w:val="left"/>
            </w:pPr>
            <w:r>
              <w:rPr>
                <w:bCs/>
                <w:b/>
                <w:sz w:val="19"/>
              </w:rPr>
              <w:t xml:space="preserve">F18</w:t>
            </w:r>
          </w:p>
        </w:tc>
        <w:tc>
          <w:tcPr/>
          <w:p>
            <w:pPr>
              <w:pStyle w:val="Compact"/>
              <w:jc w:val="left"/>
            </w:pPr>
            <w:r>
              <w:rPr>
                <w:bCs/>
                <w:b/>
                <w:sz w:val="19"/>
              </w:rPr>
              <w:t xml:space="preserve">Local mode</w:t>
            </w:r>
          </w:p>
        </w:tc>
        <w:tc>
          <w:tcPr/>
          <w:p>
            <w:pPr>
              <w:pStyle w:val="Compact"/>
              <w:jc w:val="left"/>
            </w:pPr>
            <w:r>
              <w:rPr>
                <w:rStyle w:val="VerbatimChar"/>
                <w:sz w:val="19"/>
              </w:rPr>
              <w:t xml:space="preserve">docker compose up</w:t>
            </w:r>
            <w:r>
              <w:rPr>
                <w:sz w:val="19"/>
              </w:rPr>
              <w:t xml:space="preserve"> </w:t>
            </w:r>
            <w:r>
              <w:rPr>
                <w:sz w:val="19"/>
              </w:rPr>
              <w:t xml:space="preserve">runs the backend and portal on a laptop against the MSP’s own AWS profile, read-only, with no cluster</w:t>
            </w:r>
          </w:p>
        </w:tc>
        <w:tc>
          <w:tcPr/>
          <w:p>
            <w:pPr>
              <w:pStyle w:val="Compact"/>
              <w:jc w:val="left"/>
            </w:pPr>
            <w:r>
              <w:rPr>
                <w:sz w:val="19"/>
              </w:rPr>
              <w:t xml:space="preserve">A fresh checkout starts with one command and shows the portal</w:t>
            </w:r>
          </w:p>
        </w:tc>
      </w:tr>
      <w:tr>
        <w:tc>
          <w:tcPr/>
          <w:p>
            <w:pPr>
              <w:pStyle w:val="Compact"/>
              <w:jc w:val="left"/>
            </w:pPr>
            <w:r>
              <w:rPr>
                <w:bCs/>
                <w:b/>
                <w:sz w:val="19"/>
              </w:rPr>
              <w:t xml:space="preserve">F19</w:t>
            </w:r>
          </w:p>
        </w:tc>
        <w:tc>
          <w:tcPr/>
          <w:p>
            <w:pPr>
              <w:pStyle w:val="Compact"/>
              <w:jc w:val="left"/>
            </w:pPr>
            <w:r>
              <w:rPr>
                <w:bCs/>
                <w:b/>
                <w:sz w:val="19"/>
              </w:rPr>
              <w:t xml:space="preserve">Demo mode</w:t>
            </w:r>
          </w:p>
        </w:tc>
        <w:tc>
          <w:tcPr/>
          <w:p>
            <w:pPr>
              <w:pStyle w:val="Compact"/>
              <w:jc w:val="left"/>
            </w:pPr>
            <w:r>
              <w:rPr>
                <w:rStyle w:val="VerbatimChar"/>
                <w:sz w:val="19"/>
              </w:rPr>
              <w:t xml:space="preserve">DEMO_MODE=true</w:t>
            </w:r>
            <w:r>
              <w:rPr>
                <w:sz w:val="19"/>
              </w:rPr>
              <w:t xml:space="preserve"> </w:t>
            </w:r>
            <w:r>
              <w:rPr>
                <w:sz w:val="19"/>
              </w:rPr>
              <w:t xml:space="preserve">loads clearly fake sample data (a fictional account, eight weeks of history, attack paths, a risk register) and shows a</w:t>
            </w:r>
            <w:r>
              <w:rPr>
                <w:sz w:val="19"/>
              </w:rPr>
              <w:t xml:space="preserve"> </w:t>
            </w:r>
            <w:r>
              <w:rPr>
                <w:sz w:val="19"/>
              </w:rPr>
              <w:t xml:space="preserve">“</w:t>
            </w:r>
            <w:r>
              <w:rPr>
                <w:sz w:val="19"/>
              </w:rPr>
              <w:t xml:space="preserve">Demo data</w:t>
            </w:r>
            <w:r>
              <w:rPr>
                <w:sz w:val="19"/>
              </w:rPr>
              <w:t xml:space="preserve">”</w:t>
            </w:r>
            <w:r>
              <w:rPr>
                <w:sz w:val="19"/>
              </w:rPr>
              <w:t xml:space="preserve"> </w:t>
            </w:r>
            <w:r>
              <w:rPr>
                <w:sz w:val="19"/>
              </w:rPr>
              <w:t xml:space="preserve">banner on every page. No AWS call is made</w:t>
            </w:r>
          </w:p>
        </w:tc>
        <w:tc>
          <w:tcPr/>
          <w:p>
            <w:pPr>
              <w:pStyle w:val="Compact"/>
              <w:jc w:val="left"/>
            </w:pPr>
            <w:r>
              <w:rPr>
                <w:sz w:val="19"/>
              </w:rPr>
              <w:t xml:space="preserve">The banner is always visible; no AWS credential is needed; a sales demo runs end to end</w:t>
            </w:r>
          </w:p>
        </w:tc>
      </w:tr>
      <w:tr>
        <w:tc>
          <w:tcPr/>
          <w:p>
            <w:pPr>
              <w:pStyle w:val="Compact"/>
              <w:jc w:val="left"/>
            </w:pPr>
            <w:r>
              <w:rPr>
                <w:bCs/>
                <w:b/>
                <w:sz w:val="19"/>
              </w:rPr>
              <w:t xml:space="preserve">F20</w:t>
            </w:r>
          </w:p>
        </w:tc>
        <w:tc>
          <w:tcPr/>
          <w:p>
            <w:pPr>
              <w:pStyle w:val="Compact"/>
              <w:jc w:val="left"/>
            </w:pPr>
            <w:r>
              <w:rPr>
                <w:bCs/>
                <w:b/>
                <w:sz w:val="19"/>
              </w:rPr>
              <w:t xml:space="preserve">Documentation and handover</w:t>
            </w:r>
          </w:p>
        </w:tc>
        <w:tc>
          <w:tcPr/>
          <w:p>
            <w:pPr>
              <w:pStyle w:val="Compact"/>
              <w:jc w:val="left"/>
            </w:pPr>
            <w:r>
              <w:rPr>
                <w:sz w:val="19"/>
              </w:rPr>
              <w:t xml:space="preserve">Updated product, deployment and prerequisites documents, an MSP onboarding checklist, a runbook and a verification checklist</w:t>
            </w:r>
          </w:p>
        </w:tc>
        <w:tc>
          <w:tcPr/>
          <w:p>
            <w:pPr>
              <w:pStyle w:val="Compact"/>
              <w:jc w:val="left"/>
            </w:pPr>
            <w:r>
              <w:rPr>
                <w:sz w:val="19"/>
              </w:rPr>
              <w:t xml:space="preserve">A new engineer can deploy from the documents alone</w:t>
            </w:r>
          </w:p>
        </w:tc>
      </w:tr>
    </w:tbl>
    <w:bookmarkEnd w:id="34"/>
    <w:bookmarkStart w:id="35" w:name="Xf34da3dc3660a99e5d8e6a2f2ff59790d3f68b7"/>
    <w:p>
      <w:pPr>
        <w:pStyle w:val="Heading3"/>
      </w:pPr>
      <w:r>
        <w:t xml:space="preserve">4.6 Paid build additions: native AWS security sources</w:t>
      </w:r>
    </w:p>
    <w:p>
      <w:pPr>
        <w:pStyle w:val="FirstParagraph"/>
      </w:pPr>
      <w:r>
        <w:t xml:space="preserve">These are additional</w:t>
      </w:r>
      <w:r>
        <w:t xml:space="preserve"> </w:t>
      </w:r>
      <w:r>
        <w:rPr>
          <w:bCs/>
          <w:b/>
        </w:rPr>
        <w:t xml:space="preserve">read-only readers</w:t>
      </w:r>
      <w:r>
        <w:t xml:space="preserve">. Each can be switched on or off in Settings and is</w:t>
      </w:r>
      <w:r>
        <w:t xml:space="preserve"> </w:t>
      </w:r>
      <w:r>
        <w:rPr>
          <w:bCs/>
          <w:b/>
        </w:rPr>
        <w:t xml:space="preserve">off by default</w:t>
      </w:r>
      <w:r>
        <w:t xml:space="preserve">. None of them enables, changes or suppresses anything in AWS.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475"/>
        <w:gridCol w:w="1346"/>
        <w:gridCol w:w="3722"/>
        <w:gridCol w:w="2376"/>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What the MSP gets</w:t>
            </w:r>
          </w:p>
        </w:tc>
        <w:tc>
          <w:tcPr>
            <w:shd w:val="clear" w:color="auto" w:fill="DCE6F2"/>
          </w:tcPr>
          <w:p>
            <w:pPr>
              <w:pStyle w:val="Compact"/>
              <w:jc w:val="left"/>
            </w:pPr>
            <w:r>
              <w:rPr>
                <w:b/>
                <w:sz w:val="19"/>
              </w:rPr>
              <w:t xml:space="preserve">Done when</w:t>
            </w:r>
          </w:p>
        </w:tc>
      </w:tr>
      <w:tr>
        <w:tc>
          <w:tcPr/>
          <w:p>
            <w:pPr>
              <w:pStyle w:val="Compact"/>
              <w:jc w:val="left"/>
            </w:pPr>
            <w:r>
              <w:rPr>
                <w:bCs/>
                <w:b/>
                <w:sz w:val="19"/>
              </w:rPr>
              <w:t xml:space="preserve">P1</w:t>
            </w:r>
          </w:p>
        </w:tc>
        <w:tc>
          <w:tcPr/>
          <w:p>
            <w:pPr>
              <w:pStyle w:val="Compact"/>
              <w:jc w:val="left"/>
            </w:pPr>
            <w:r>
              <w:rPr>
                <w:bCs/>
                <w:b/>
                <w:sz w:val="19"/>
              </w:rPr>
              <w:t xml:space="preserve">Security Hub reader</w:t>
            </w:r>
          </w:p>
        </w:tc>
        <w:tc>
          <w:tcPr/>
          <w:p>
            <w:pPr>
              <w:pStyle w:val="Compact"/>
              <w:jc w:val="left"/>
            </w:pPr>
            <w:r>
              <w:rPr>
                <w:sz w:val="19"/>
              </w:rPr>
              <w:t xml:space="preserve">Reads active findings from Security Hub, including the findings that GuardDuty, Inspector and Access Analyzer send to it and findings from partner products. Findings are normalised into the same model, keep their native control ID (for example</w:t>
            </w:r>
            <w:r>
              <w:rPr>
                <w:sz w:val="19"/>
              </w:rPr>
              <w:t xml:space="preserve"> </w:t>
            </w:r>
            <w:r>
              <w:rPr>
                <w:rStyle w:val="VerbatimChar"/>
                <w:sz w:val="19"/>
              </w:rPr>
              <w:t xml:space="preserve">S3.1</w:t>
            </w:r>
            <w:r>
              <w:rPr>
                <w:sz w:val="19"/>
              </w:rPr>
              <w:t xml:space="preserve">) and show the product that raised them. Uses the aggregation region when a finding aggregator exists, otherwise each region where Security Hub is enabled</w:t>
            </w:r>
          </w:p>
        </w:tc>
        <w:tc>
          <w:tcPr/>
          <w:p>
            <w:pPr>
              <w:pStyle w:val="Compact"/>
              <w:jc w:val="left"/>
            </w:pPr>
            <w:r>
              <w:rPr>
                <w:sz w:val="19"/>
              </w:rPr>
              <w:t xml:space="preserve">Given recorded sample findings, each maps to the right service, severity and control; suppressed and resolved findings are skipped</w:t>
            </w:r>
          </w:p>
        </w:tc>
      </w:tr>
      <w:tr>
        <w:tc>
          <w:tcPr/>
          <w:p>
            <w:pPr>
              <w:pStyle w:val="Compact"/>
              <w:jc w:val="left"/>
            </w:pPr>
            <w:r>
              <w:rPr>
                <w:bCs/>
                <w:b/>
                <w:sz w:val="19"/>
              </w:rPr>
              <w:t xml:space="preserve">P2</w:t>
            </w:r>
          </w:p>
        </w:tc>
        <w:tc>
          <w:tcPr/>
          <w:p>
            <w:pPr>
              <w:pStyle w:val="Compact"/>
              <w:jc w:val="left"/>
            </w:pPr>
            <w:r>
              <w:rPr>
                <w:bCs/>
                <w:b/>
                <w:sz w:val="19"/>
              </w:rPr>
              <w:t xml:space="preserve">GuardDuty reader and Active threats panel</w:t>
            </w:r>
          </w:p>
        </w:tc>
        <w:tc>
          <w:tcPr/>
          <w:p>
            <w:pPr>
              <w:pStyle w:val="Compact"/>
              <w:jc w:val="left"/>
            </w:pPr>
            <w:r>
              <w:rPr>
                <w:sz w:val="19"/>
              </w:rPr>
              <w:t xml:space="preserve">Reads findings directly when Security Hub is not in use. The Overview shows an</w:t>
            </w:r>
            <w:r>
              <w:rPr>
                <w:sz w:val="19"/>
              </w:rPr>
              <w:t xml:space="preserve"> </w:t>
            </w:r>
            <w:r>
              <w:rPr>
                <w:bCs/>
                <w:b/>
                <w:sz w:val="19"/>
              </w:rPr>
              <w:t xml:space="preserve">Active threats</w:t>
            </w:r>
            <w:r>
              <w:rPr>
                <w:sz w:val="19"/>
              </w:rPr>
              <w:t xml:space="preserve"> </w:t>
            </w:r>
            <w:r>
              <w:rPr>
                <w:sz w:val="19"/>
              </w:rPr>
              <w:t xml:space="preserve">panel: type, affected resource, severity, first and last seen. Archived findings are skipped</w:t>
            </w:r>
          </w:p>
        </w:tc>
        <w:tc>
          <w:tcPr/>
          <w:p>
            <w:pPr>
              <w:pStyle w:val="Compact"/>
              <w:jc w:val="left"/>
            </w:pPr>
            <w:r>
              <w:rPr>
                <w:sz w:val="19"/>
              </w:rPr>
              <w:t xml:space="preserve">The panel lists sample threats and links each to its resource page</w:t>
            </w:r>
          </w:p>
        </w:tc>
      </w:tr>
      <w:tr>
        <w:tc>
          <w:tcPr/>
          <w:p>
            <w:pPr>
              <w:pStyle w:val="Compact"/>
              <w:jc w:val="left"/>
            </w:pPr>
            <w:r>
              <w:rPr>
                <w:bCs/>
                <w:b/>
                <w:sz w:val="19"/>
              </w:rPr>
              <w:t xml:space="preserve">P3</w:t>
            </w:r>
          </w:p>
        </w:tc>
        <w:tc>
          <w:tcPr/>
          <w:p>
            <w:pPr>
              <w:pStyle w:val="Compact"/>
              <w:jc w:val="left"/>
            </w:pPr>
            <w:r>
              <w:rPr>
                <w:bCs/>
                <w:b/>
                <w:sz w:val="19"/>
              </w:rPr>
              <w:t xml:space="preserve">Inspector reader</w:t>
            </w:r>
          </w:p>
        </w:tc>
        <w:tc>
          <w:tcPr/>
          <w:p>
            <w:pPr>
              <w:pStyle w:val="Compact"/>
              <w:jc w:val="left"/>
            </w:pPr>
            <w:r>
              <w:rPr>
                <w:sz w:val="19"/>
              </w:rPr>
              <w:t xml:space="preserve">Reads vulnerability findings for EC2 instances, container images and Lambda functions: CVE ID, package, fixed-in version, whether an exploit is known. The resource page shows a</w:t>
            </w:r>
            <w:r>
              <w:rPr>
                <w:sz w:val="19"/>
              </w:rPr>
              <w:t xml:space="preserve"> </w:t>
            </w:r>
            <w:r>
              <w:rPr>
                <w:bCs/>
                <w:b/>
                <w:sz w:val="19"/>
              </w:rPr>
              <w:t xml:space="preserve">Vulnerabilities</w:t>
            </w:r>
            <w:r>
              <w:rPr>
                <w:sz w:val="19"/>
              </w:rPr>
              <w:t xml:space="preserve"> </w:t>
            </w:r>
            <w:r>
              <w:rPr>
                <w:sz w:val="19"/>
              </w:rPr>
              <w:t xml:space="preserve">tab</w:t>
            </w:r>
          </w:p>
        </w:tc>
        <w:tc>
          <w:tcPr/>
          <w:p>
            <w:pPr>
              <w:pStyle w:val="Compact"/>
              <w:jc w:val="left"/>
            </w:pPr>
            <w:r>
              <w:rPr>
                <w:sz w:val="19"/>
              </w:rPr>
              <w:t xml:space="preserve">A sample CVE appears on the right resource with its fix version; a known-exploit flag raises reachability in the rubric</w:t>
            </w:r>
          </w:p>
        </w:tc>
      </w:tr>
      <w:tr>
        <w:tc>
          <w:tcPr/>
          <w:p>
            <w:pPr>
              <w:pStyle w:val="Compact"/>
              <w:jc w:val="left"/>
            </w:pPr>
            <w:r>
              <w:rPr>
                <w:bCs/>
                <w:b/>
                <w:sz w:val="19"/>
              </w:rPr>
              <w:t xml:space="preserve">P4</w:t>
            </w:r>
          </w:p>
        </w:tc>
        <w:tc>
          <w:tcPr/>
          <w:p>
            <w:pPr>
              <w:pStyle w:val="Compact"/>
              <w:jc w:val="left"/>
            </w:pPr>
            <w:r>
              <w:rPr>
                <w:bCs/>
                <w:b/>
                <w:sz w:val="19"/>
              </w:rPr>
              <w:t xml:space="preserve">IAM Access Analyzer reader</w:t>
            </w:r>
          </w:p>
        </w:tc>
        <w:tc>
          <w:tcPr/>
          <w:p>
            <w:pPr>
              <w:pStyle w:val="Compact"/>
              <w:jc w:val="left"/>
            </w:pPr>
            <w:r>
              <w:rPr>
                <w:sz w:val="19"/>
              </w:rPr>
              <w:t xml:space="preserve">Reads active external-access findings (for example a bucket or role shared outside the account)</w:t>
            </w:r>
          </w:p>
        </w:tc>
        <w:tc>
          <w:tcPr/>
          <w:p>
            <w:pPr>
              <w:pStyle w:val="Compact"/>
              <w:jc w:val="left"/>
            </w:pPr>
            <w:r>
              <w:rPr>
                <w:sz w:val="19"/>
              </w:rPr>
              <w:t xml:space="preserve">A public-access finding maps to exposure 1.0 and appears under the right service</w:t>
            </w:r>
          </w:p>
        </w:tc>
      </w:tr>
      <w:tr>
        <w:tc>
          <w:tcPr/>
          <w:p>
            <w:pPr>
              <w:pStyle w:val="Compact"/>
              <w:jc w:val="left"/>
            </w:pPr>
            <w:r>
              <w:rPr>
                <w:bCs/>
                <w:b/>
                <w:sz w:val="19"/>
              </w:rPr>
              <w:t xml:space="preserve">P5</w:t>
            </w:r>
          </w:p>
        </w:tc>
        <w:tc>
          <w:tcPr/>
          <w:p>
            <w:pPr>
              <w:pStyle w:val="Compact"/>
              <w:jc w:val="left"/>
            </w:pPr>
            <w:r>
              <w:rPr>
                <w:bCs/>
                <w:b/>
                <w:sz w:val="19"/>
              </w:rPr>
              <w:t xml:space="preserve">Cross-source deduplication with native controls</w:t>
            </w:r>
          </w:p>
        </w:tc>
        <w:tc>
          <w:tcPr/>
          <w:p>
            <w:pPr>
              <w:pStyle w:val="Compact"/>
              <w:jc w:val="left"/>
            </w:pPr>
            <w:r>
              <w:rPr>
                <w:sz w:val="19"/>
              </w:rPr>
              <w:t xml:space="preserve">A data file maps native control IDs to the same canonical keys used by own checks and Prowler, so one problem is one finding even when three tools report it. The file can be edited without a code change</w:t>
            </w:r>
          </w:p>
        </w:tc>
        <w:tc>
          <w:tcPr/>
          <w:p>
            <w:pPr>
              <w:pStyle w:val="Compact"/>
              <w:jc w:val="left"/>
            </w:pPr>
            <w:r>
              <w:rPr>
                <w:sz w:val="19"/>
              </w:rPr>
              <w:t xml:space="preserve">A sample open-port problem reported by own check, Prowler and Security Hub appears once with three sources</w:t>
            </w:r>
          </w:p>
        </w:tc>
      </w:tr>
      <w:tr>
        <w:tc>
          <w:tcPr/>
          <w:p>
            <w:pPr>
              <w:pStyle w:val="Compact"/>
              <w:jc w:val="left"/>
            </w:pPr>
            <w:r>
              <w:rPr>
                <w:bCs/>
                <w:b/>
                <w:sz w:val="19"/>
              </w:rPr>
              <w:t xml:space="preserve">P6</w:t>
            </w:r>
          </w:p>
        </w:tc>
        <w:tc>
          <w:tcPr/>
          <w:p>
            <w:pPr>
              <w:pStyle w:val="Compact"/>
              <w:jc w:val="left"/>
            </w:pPr>
            <w:r>
              <w:rPr>
                <w:bCs/>
                <w:b/>
                <w:sz w:val="19"/>
              </w:rPr>
              <w:t xml:space="preserve">Enriched attack paths</w:t>
            </w:r>
          </w:p>
        </w:tc>
        <w:tc>
          <w:tcPr/>
          <w:p>
            <w:pPr>
              <w:pStyle w:val="Compact"/>
              <w:jc w:val="left"/>
            </w:pPr>
            <w:r>
              <w:rPr>
                <w:sz w:val="19"/>
              </w:rPr>
              <w:t xml:space="preserve">A path whose instance has a critical CVE with a known exploit, or an active GuardDuty finding, is raised in severity and labelled with the signal</w:t>
            </w:r>
          </w:p>
        </w:tc>
        <w:tc>
          <w:tcPr/>
          <w:p>
            <w:pPr>
              <w:pStyle w:val="Compact"/>
              <w:jc w:val="left"/>
            </w:pPr>
            <w:r>
              <w:rPr>
                <w:sz w:val="19"/>
              </w:rPr>
              <w:t xml:space="preserve">A sample path gains the label and a higher rank when the signal is present</w:t>
            </w:r>
          </w:p>
        </w:tc>
      </w:tr>
      <w:tr>
        <w:tc>
          <w:tcPr/>
          <w:p>
            <w:pPr>
              <w:pStyle w:val="Compact"/>
              <w:jc w:val="left"/>
            </w:pPr>
            <w:r>
              <w:rPr>
                <w:bCs/>
                <w:b/>
                <w:sz w:val="19"/>
              </w:rPr>
              <w:t xml:space="preserve">P7</w:t>
            </w:r>
          </w:p>
        </w:tc>
        <w:tc>
          <w:tcPr/>
          <w:p>
            <w:pPr>
              <w:pStyle w:val="Compact"/>
              <w:jc w:val="left"/>
            </w:pPr>
            <w:r>
              <w:rPr>
                <w:bCs/>
                <w:b/>
                <w:sz w:val="19"/>
              </w:rPr>
              <w:t xml:space="preserve">Live integration page</w:t>
            </w:r>
          </w:p>
        </w:tc>
        <w:tc>
          <w:tcPr/>
          <w:p>
            <w:pPr>
              <w:pStyle w:val="Compact"/>
              <w:jc w:val="left"/>
            </w:pPr>
            <w:r>
              <w:rPr>
                <w:sz w:val="19"/>
              </w:rPr>
              <w:t xml:space="preserve">For each native service:</w:t>
            </w:r>
            <w:r>
              <w:rPr>
                <w:sz w:val="19"/>
              </w:rPr>
              <w:t xml:space="preserve"> </w:t>
            </w:r>
            <w:r>
              <w:rPr>
                <w:bCs/>
                <w:b/>
                <w:sz w:val="19"/>
              </w:rPr>
              <w:t xml:space="preserve">not enabled in this account</w:t>
            </w:r>
            <w:r>
              <w:rPr>
                <w:sz w:val="19"/>
              </w:rPr>
              <w:t xml:space="preserve">,</w:t>
            </w:r>
            <w:r>
              <w:rPr>
                <w:sz w:val="19"/>
              </w:rPr>
              <w:t xml:space="preserve"> </w:t>
            </w:r>
            <w:r>
              <w:rPr>
                <w:bCs/>
                <w:b/>
                <w:sz w:val="19"/>
              </w:rPr>
              <w:t xml:space="preserve">enabled and reading</w:t>
            </w:r>
            <w:r>
              <w:rPr>
                <w:sz w:val="19"/>
              </w:rPr>
              <w:t xml:space="preserve">,</w:t>
            </w:r>
            <w:r>
              <w:rPr>
                <w:sz w:val="19"/>
              </w:rPr>
              <w:t xml:space="preserve"> </w:t>
            </w:r>
            <w:r>
              <w:rPr>
                <w:bCs/>
                <w:b/>
                <w:sz w:val="19"/>
              </w:rPr>
              <w:t xml:space="preserve">enabled but switched off here</w:t>
            </w:r>
            <w:r>
              <w:rPr>
                <w:sz w:val="19"/>
              </w:rPr>
              <w:t xml:space="preserve">, or</w:t>
            </w:r>
            <w:r>
              <w:rPr>
                <w:sz w:val="19"/>
              </w:rPr>
              <w:t xml:space="preserve"> </w:t>
            </w:r>
            <w:r>
              <w:rPr>
                <w:bCs/>
                <w:b/>
                <w:sz w:val="19"/>
              </w:rPr>
              <w:t xml:space="preserve">permission missing</w:t>
            </w:r>
            <w:r>
              <w:rPr>
                <w:sz w:val="19"/>
              </w:rPr>
              <w:t xml:space="preserve">. Shows a plain cost note and a read-only enablement guide for the client’s administrator. The toggle controls only whether Nexogent reads the service</w:t>
            </w:r>
          </w:p>
        </w:tc>
        <w:tc>
          <w:tcPr/>
          <w:p>
            <w:pPr>
              <w:pStyle w:val="Compact"/>
              <w:jc w:val="left"/>
            </w:pPr>
            <w:r>
              <w:rPr>
                <w:sz w:val="19"/>
              </w:rPr>
              <w:t xml:space="preserve">The page reports the correct state for each service in a test account; no toggle ever calls an AWS write action</w:t>
            </w:r>
          </w:p>
        </w:tc>
      </w:tr>
    </w:tbl>
    <w:bookmarkEnd w:id="35"/>
    <w:bookmarkStart w:id="36" w:name="paid-build-cost-and-consent"/>
    <w:p>
      <w:pPr>
        <w:pStyle w:val="Heading3"/>
      </w:pPr>
      <w:r>
        <w:t xml:space="preserve">4.7 Paid build: cost and consent</w:t>
      </w:r>
    </w:p>
    <w:p>
      <w:pPr>
        <w:pStyle w:val="FirstParagraph"/>
      </w:pPr>
      <w:r>
        <w:t xml:space="preserve">The client, not the supplier, enables each native service and pays AWS for it. Nexogent shows a cost notice next to each toggle and recommends a billing alarm. Any free trial period for these services is set by AWS and may change. Nexogent never enables a service on the client’s behalf, because enabling is a write action.</w:t>
      </w:r>
    </w:p>
    <w:bookmarkEnd w:id="36"/>
    <w:bookmarkEnd w:id="37"/>
    <w:bookmarkStart w:id="38" w:name="out-of-scope"/>
    <w:p>
      <w:pPr>
        <w:pStyle w:val="Heading2"/>
      </w:pPr>
      <w:r>
        <w:t xml:space="preserve">5. Out of scope</w:t>
      </w:r>
    </w:p>
    <w:p>
      <w:pPr>
        <w:numPr>
          <w:ilvl w:val="0"/>
          <w:numId w:val="1003"/>
        </w:numPr>
        <w:pStyle w:val="Compact"/>
      </w:pPr>
      <w:r>
        <w:t xml:space="preserve">Any change, deletion, restart or remediation of client AWS resources. Nexogent is read-only and recommend-only. Fix-as-code produces text for a human to review.</w:t>
      </w:r>
    </w:p>
    <w:p>
      <w:pPr>
        <w:numPr>
          <w:ilvl w:val="0"/>
          <w:numId w:val="1003"/>
        </w:numPr>
        <w:pStyle w:val="Compact"/>
      </w:pPr>
      <w:r>
        <w:rPr>
          <w:bCs/>
          <w:b/>
        </w:rPr>
        <w:t xml:space="preserve">Enabling, configuring, suppressing or archiving anything in Security Hub, GuardDuty, Inspector or Access Analyzer.</w:t>
      </w:r>
      <w:r>
        <w:t xml:space="preserve"> </w:t>
      </w:r>
      <w:r>
        <w:t xml:space="preserve">Nexogent only reads them. The client enables them.</w:t>
      </w:r>
    </w:p>
    <w:p>
      <w:pPr>
        <w:numPr>
          <w:ilvl w:val="0"/>
          <w:numId w:val="1003"/>
        </w:numPr>
        <w:pStyle w:val="Compact"/>
      </w:pPr>
      <w:r>
        <w:t xml:space="preserve">Reading findings from other native services not named in section 4.6 (for example Macie, Detective, Config rules).</w:t>
      </w:r>
    </w:p>
    <w:p>
      <w:pPr>
        <w:numPr>
          <w:ilvl w:val="0"/>
          <w:numId w:val="1003"/>
        </w:numPr>
        <w:pStyle w:val="Compact"/>
      </w:pPr>
      <w:r>
        <w:t xml:space="preserve">AWS Organizations, multi-account and delegated-administrator views, including organization-wide Security Hub or GuardDuty aggregation across accounts. Planned for a later release.</w:t>
      </w:r>
    </w:p>
    <w:p>
      <w:pPr>
        <w:numPr>
          <w:ilvl w:val="0"/>
          <w:numId w:val="1003"/>
        </w:numPr>
        <w:pStyle w:val="Compact"/>
      </w:pPr>
      <w:r>
        <w:t xml:space="preserve">Named users, roles and single sign-on. This release has one</w:t>
      </w:r>
      <w:r>
        <w:t xml:space="preserve"> </w:t>
      </w:r>
      <w:r>
        <w:rPr>
          <w:rStyle w:val="VerbatimChar"/>
        </w:rPr>
        <w:t xml:space="preserve">superadmin</w:t>
      </w:r>
      <w:r>
        <w:t xml:space="preserve"> </w:t>
      </w:r>
      <w:r>
        <w:t xml:space="preserve">role. Cognito or OIDC is planned.</w:t>
      </w:r>
    </w:p>
    <w:p>
      <w:pPr>
        <w:numPr>
          <w:ilvl w:val="0"/>
          <w:numId w:val="1003"/>
        </w:numPr>
        <w:pStyle w:val="Compact"/>
      </w:pPr>
      <w:r>
        <w:t xml:space="preserve">Ticketing integrations (Jira, ServiceNow). Reports and the plan view can be exported; no ticket is created.</w:t>
      </w:r>
    </w:p>
    <w:p>
      <w:pPr>
        <w:numPr>
          <w:ilvl w:val="0"/>
          <w:numId w:val="1003"/>
        </w:numPr>
        <w:pStyle w:val="Compact"/>
      </w:pPr>
      <w:r>
        <w:t xml:space="preserve">Penetration testing, application code review, 24x7 security operations, incident response, compliance certification.</w:t>
      </w:r>
    </w:p>
    <w:p>
      <w:pPr>
        <w:numPr>
          <w:ilvl w:val="0"/>
          <w:numId w:val="1003"/>
        </w:numPr>
        <w:pStyle w:val="Compact"/>
      </w:pPr>
      <w:r>
        <w:t xml:space="preserve">Any machine-learning model or Python component in the agent. The agent stays pure Go.</w:t>
      </w:r>
    </w:p>
    <w:p>
      <w:pPr>
        <w:numPr>
          <w:ilvl w:val="0"/>
          <w:numId w:val="1003"/>
        </w:numPr>
        <w:pStyle w:val="Compact"/>
      </w:pPr>
      <w:r>
        <w:t xml:space="preserve">Kubernetes workload and cluster posture (Trivy, kube-bench, Kyverno, Falco). Planned as a later module.</w:t>
      </w:r>
    </w:p>
    <w:p>
      <w:pPr>
        <w:numPr>
          <w:ilvl w:val="0"/>
          <w:numId w:val="1003"/>
        </w:numPr>
        <w:pStyle w:val="Compact"/>
      </w:pPr>
      <w:r>
        <w:t xml:space="preserve">Natural-language questions over the account (</w:t>
      </w:r>
      <w:r>
        <w:t xml:space="preserve">“</w:t>
      </w:r>
      <w:r>
        <w:t xml:space="preserve">ask your account</w:t>
      </w:r>
      <w:r>
        <w:t xml:space="preserve">”</w:t>
      </w:r>
      <w:r>
        <w:t xml:space="preserve">). Planned for a later release.</w:t>
      </w:r>
    </w:p>
    <w:bookmarkEnd w:id="38"/>
    <w:bookmarkStart w:id="44" w:name="architecture"/>
    <w:p>
      <w:pPr>
        <w:pStyle w:val="Heading2"/>
      </w:pPr>
      <w:r>
        <w:t xml:space="preserve">6. Architecture</w:t>
      </w:r>
    </w:p>
    <w:bookmarkStart w:id="39" w:name="workloads-in-the-clients-cluster"/>
    <w:p>
      <w:pPr>
        <w:pStyle w:val="Heading3"/>
      </w:pPr>
      <w:r>
        <w:t xml:space="preserve">6.1 Workloads in the client’s cluster</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584"/>
        <w:gridCol w:w="1584"/>
        <w:gridCol w:w="4752"/>
      </w:tblGrid>
      <w:tr>
        <w:trPr>
          <w:tblHeader w:val="true"/>
        </w:trPr>
        <w:tc>
          <w:tcPr>
            <w:shd w:val="clear" w:color="auto" w:fill="DCE6F2"/>
          </w:tcPr>
          <w:p>
            <w:pPr>
              <w:pStyle w:val="Compact"/>
              <w:jc w:val="left"/>
            </w:pPr>
            <w:r>
              <w:rPr>
                <w:b/>
                <w:sz w:val="19"/>
              </w:rPr>
              <w:t xml:space="preserve">Workload</w:t>
            </w:r>
          </w:p>
        </w:tc>
        <w:tc>
          <w:tcPr>
            <w:shd w:val="clear" w:color="auto" w:fill="DCE6F2"/>
          </w:tcPr>
          <w:p>
            <w:pPr>
              <w:pStyle w:val="Compact"/>
              <w:jc w:val="left"/>
            </w:pPr>
            <w:r>
              <w:rPr>
                <w:b/>
                <w:sz w:val="19"/>
              </w:rPr>
              <w:t xml:space="preserve">Kind</w:t>
            </w:r>
          </w:p>
        </w:tc>
        <w:tc>
          <w:tcPr>
            <w:shd w:val="clear" w:color="auto" w:fill="DCE6F2"/>
          </w:tcPr>
          <w:p>
            <w:pPr>
              <w:pStyle w:val="Compact"/>
              <w:jc w:val="left"/>
            </w:pPr>
            <w:r>
              <w:rPr>
                <w:b/>
                <w:sz w:val="19"/>
              </w:rPr>
              <w:t xml:space="preserve">Role</w:t>
            </w:r>
          </w:p>
        </w:tc>
      </w:tr>
      <w:tr>
        <w:tc>
          <w:tcPr/>
          <w:p>
            <w:pPr>
              <w:pStyle w:val="Compact"/>
              <w:jc w:val="left"/>
            </w:pPr>
            <w:r>
              <w:rPr>
                <w:rStyle w:val="VerbatimChar"/>
                <w:sz w:val="19"/>
              </w:rPr>
              <w:t xml:space="preserve">nexogent-backend</w:t>
            </w:r>
          </w:p>
        </w:tc>
        <w:tc>
          <w:tcPr/>
          <w:p>
            <w:pPr>
              <w:pStyle w:val="Compact"/>
              <w:jc w:val="left"/>
            </w:pPr>
            <w:r>
              <w:rPr>
                <w:sz w:val="19"/>
              </w:rPr>
              <w:t xml:space="preserve">Deployment + Service</w:t>
            </w:r>
          </w:p>
        </w:tc>
        <w:tc>
          <w:tcPr/>
          <w:p>
            <w:pPr>
              <w:pStyle w:val="Compact"/>
              <w:jc w:val="left"/>
            </w:pPr>
            <w:r>
              <w:rPr>
                <w:sz w:val="19"/>
              </w:rPr>
              <w:t xml:space="preserve">Go agent and API: discovery, own checks, scan ingestion, lifecycle, ranking, attack paths, reports, alerts. Runs under a read-only IAM role (IRSA)</w:t>
            </w:r>
          </w:p>
        </w:tc>
      </w:tr>
      <w:tr>
        <w:tc>
          <w:tcPr/>
          <w:p>
            <w:pPr>
              <w:pStyle w:val="Compact"/>
              <w:jc w:val="left"/>
            </w:pPr>
            <w:r>
              <w:rPr>
                <w:rStyle w:val="VerbatimChar"/>
                <w:sz w:val="19"/>
              </w:rPr>
              <w:t xml:space="preserve">nexogent-frontend</w:t>
            </w:r>
          </w:p>
        </w:tc>
        <w:tc>
          <w:tcPr/>
          <w:p>
            <w:pPr>
              <w:pStyle w:val="Compact"/>
              <w:jc w:val="left"/>
            </w:pPr>
            <w:r>
              <w:rPr>
                <w:sz w:val="19"/>
              </w:rPr>
              <w:t xml:space="preserve">Deployment + Service</w:t>
            </w:r>
          </w:p>
        </w:tc>
        <w:tc>
          <w:tcPr/>
          <w:p>
            <w:pPr>
              <w:pStyle w:val="Compact"/>
              <w:jc w:val="left"/>
            </w:pPr>
            <w:r>
              <w:rPr>
                <w:sz w:val="19"/>
              </w:rPr>
              <w:t xml:space="preserve">React portal served by unprivileged Nginx, which proxies</w:t>
            </w:r>
            <w:r>
              <w:rPr>
                <w:sz w:val="19"/>
              </w:rPr>
              <w:t xml:space="preserve"> </w:t>
            </w:r>
            <w:r>
              <w:rPr>
                <w:rStyle w:val="VerbatimChar"/>
                <w:sz w:val="19"/>
              </w:rPr>
              <w:t xml:space="preserve">/api</w:t>
            </w:r>
            <w:r>
              <w:rPr>
                <w:sz w:val="19"/>
              </w:rPr>
              <w:t xml:space="preserve"> </w:t>
            </w:r>
            <w:r>
              <w:rPr>
                <w:sz w:val="19"/>
              </w:rPr>
              <w:t xml:space="preserve">to the backend and sets security headers</w:t>
            </w:r>
          </w:p>
        </w:tc>
      </w:tr>
      <w:tr>
        <w:tc>
          <w:tcPr/>
          <w:p>
            <w:pPr>
              <w:pStyle w:val="Compact"/>
              <w:jc w:val="left"/>
            </w:pPr>
            <w:r>
              <w:rPr>
                <w:rStyle w:val="VerbatimChar"/>
                <w:sz w:val="19"/>
              </w:rPr>
              <w:t xml:space="preserve">nexogent-prowler</w:t>
            </w:r>
          </w:p>
        </w:tc>
        <w:tc>
          <w:tcPr/>
          <w:p>
            <w:pPr>
              <w:pStyle w:val="Compact"/>
              <w:jc w:val="left"/>
            </w:pPr>
            <w:r>
              <w:rPr>
                <w:sz w:val="19"/>
              </w:rPr>
              <w:t xml:space="preserve">CronJob (plus on-demand Jobs)</w:t>
            </w:r>
          </w:p>
        </w:tc>
        <w:tc>
          <w:tcPr/>
          <w:p>
            <w:pPr>
              <w:pStyle w:val="Compact"/>
              <w:jc w:val="left"/>
            </w:pPr>
            <w:r>
              <w:rPr>
                <w:sz w:val="19"/>
              </w:rPr>
              <w:t xml:space="preserve">Prowler scanner. Writes results to the shared volume. On-demand Jobs are created by the backend from this CronJob</w:t>
            </w:r>
          </w:p>
        </w:tc>
      </w:tr>
      <w:tr>
        <w:tc>
          <w:tcPr/>
          <w:p>
            <w:pPr>
              <w:pStyle w:val="Compact"/>
              <w:jc w:val="left"/>
            </w:pPr>
            <w:r>
              <w:rPr>
                <w:sz w:val="19"/>
              </w:rPr>
              <w:t xml:space="preserve">Results volume</w:t>
            </w:r>
          </w:p>
        </w:tc>
        <w:tc>
          <w:tcPr/>
          <w:p>
            <w:pPr>
              <w:pStyle w:val="Compact"/>
              <w:jc w:val="left"/>
            </w:pPr>
            <w:r>
              <w:rPr>
                <w:sz w:val="19"/>
              </w:rPr>
              <w:t xml:space="preserve">PVC</w:t>
            </w:r>
          </w:p>
        </w:tc>
        <w:tc>
          <w:tcPr/>
          <w:p>
            <w:pPr>
              <w:pStyle w:val="Compact"/>
              <w:jc w:val="left"/>
            </w:pPr>
            <w:r>
              <w:rPr>
                <w:sz w:val="19"/>
              </w:rPr>
              <w:t xml:space="preserve">Shared scan output. Scan pods are scheduled on the same node as the backend</w:t>
            </w:r>
          </w:p>
        </w:tc>
      </w:tr>
      <w:tr>
        <w:tc>
          <w:tcPr/>
          <w:p>
            <w:pPr>
              <w:pStyle w:val="Compact"/>
              <w:jc w:val="left"/>
            </w:pPr>
            <w:r>
              <w:rPr>
                <w:sz w:val="19"/>
              </w:rPr>
              <w:t xml:space="preserve">Ingress</w:t>
            </w:r>
          </w:p>
        </w:tc>
        <w:tc>
          <w:tcPr/>
          <w:p>
            <w:pPr>
              <w:pStyle w:val="Compact"/>
              <w:jc w:val="left"/>
            </w:pPr>
            <w:r>
              <w:rPr>
                <w:sz w:val="19"/>
              </w:rPr>
              <w:t xml:space="preserve">AWS ALB</w:t>
            </w:r>
          </w:p>
        </w:tc>
        <w:tc>
          <w:tcPr/>
          <w:p>
            <w:pPr>
              <w:pStyle w:val="Compact"/>
              <w:jc w:val="left"/>
            </w:pPr>
            <w:r>
              <w:rPr>
                <w:rStyle w:val="VerbatimChar"/>
                <w:sz w:val="19"/>
              </w:rPr>
              <w:t xml:space="preserve">/</w:t>
            </w:r>
            <w:r>
              <w:rPr>
                <w:sz w:val="19"/>
              </w:rPr>
              <w:t xml:space="preserve"> </w:t>
            </w:r>
            <w:r>
              <w:rPr>
                <w:sz w:val="19"/>
              </w:rPr>
              <w:t xml:space="preserve">to frontend,</w:t>
            </w:r>
            <w:r>
              <w:rPr>
                <w:sz w:val="19"/>
              </w:rPr>
              <w:t xml:space="preserve"> </w:t>
            </w:r>
            <w:r>
              <w:rPr>
                <w:rStyle w:val="VerbatimChar"/>
                <w:sz w:val="19"/>
              </w:rPr>
              <w:t xml:space="preserve">/api</w:t>
            </w:r>
            <w:r>
              <w:rPr>
                <w:sz w:val="19"/>
              </w:rPr>
              <w:t xml:space="preserve"> </w:t>
            </w:r>
            <w:r>
              <w:rPr>
                <w:sz w:val="19"/>
              </w:rPr>
              <w:t xml:space="preserve">and</w:t>
            </w:r>
            <w:r>
              <w:rPr>
                <w:sz w:val="19"/>
              </w:rPr>
              <w:t xml:space="preserve"> </w:t>
            </w:r>
            <w:r>
              <w:rPr>
                <w:rStyle w:val="VerbatimChar"/>
                <w:sz w:val="19"/>
              </w:rPr>
              <w:t xml:space="preserve">/health</w:t>
            </w:r>
            <w:r>
              <w:rPr>
                <w:sz w:val="19"/>
              </w:rPr>
              <w:t xml:space="preserve"> </w:t>
            </w:r>
            <w:r>
              <w:rPr>
                <w:sz w:val="19"/>
              </w:rPr>
              <w:t xml:space="preserve">to backend. HTTPS with an ACM certificate when configured; optional source IP allow-list</w:t>
            </w:r>
          </w:p>
        </w:tc>
      </w:tr>
      <w:tr>
        <w:tc>
          <w:tcPr/>
          <w:p>
            <w:pPr>
              <w:pStyle w:val="Compact"/>
              <w:jc w:val="left"/>
            </w:pPr>
            <w:r>
              <w:rPr>
                <w:sz w:val="19"/>
              </w:rPr>
              <w:t xml:space="preserve">Optional scanners</w:t>
            </w:r>
          </w:p>
        </w:tc>
        <w:tc>
          <w:tcPr/>
          <w:p>
            <w:pPr>
              <w:pStyle w:val="Compact"/>
              <w:jc w:val="left"/>
            </w:pPr>
            <w:r>
              <w:rPr>
                <w:sz w:val="19"/>
              </w:rPr>
              <w:t xml:space="preserve">CronJobs</w:t>
            </w:r>
          </w:p>
        </w:tc>
        <w:tc>
          <w:tcPr/>
          <w:p>
            <w:pPr>
              <w:pStyle w:val="Compact"/>
              <w:jc w:val="left"/>
            </w:pPr>
            <w:r>
              <w:rPr>
                <w:sz w:val="19"/>
              </w:rPr>
              <w:t xml:space="preserve">ScoutSuite and cloudsplaining, off by default</w:t>
            </w:r>
          </w:p>
        </w:tc>
      </w:tr>
    </w:tbl>
    <w:p>
      <w:pPr>
        <w:pStyle w:val="BodyText"/>
      </w:pPr>
      <w:r>
        <w:t xml:space="preserve">New in this build: a namespace-scoped Kubernetes role that lets the backend read the Prowler CronJob and create, get and list Jobs. It grants nothing on AWS and nothing outside the</w:t>
      </w:r>
      <w:r>
        <w:t xml:space="preserve"> </w:t>
      </w:r>
      <w:r>
        <w:rPr>
          <w:rStyle w:val="VerbatimChar"/>
        </w:rPr>
        <w:t xml:space="preserve">nexogent</w:t>
      </w:r>
      <w:r>
        <w:t xml:space="preserve"> </w:t>
      </w:r>
      <w:r>
        <w:t xml:space="preserve">namespace.</w:t>
      </w:r>
    </w:p>
    <w:bookmarkEnd w:id="39"/>
    <w:bookmarkStart w:id="40" w:name="data"/>
    <w:p>
      <w:pPr>
        <w:pStyle w:val="Heading3"/>
      </w:pPr>
      <w:r>
        <w:t xml:space="preserve">6.2 Data</w:t>
      </w:r>
    </w:p>
    <w:p>
      <w:pPr>
        <w:pStyle w:val="FirstParagraph"/>
      </w:pPr>
      <w:r>
        <w:t xml:space="preserve">All state is in one DynamoDB table (on-demand billing), keyed by partition and sort key. Large reviews are split into chunks to stay below the item size limit.</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425"/>
        <w:gridCol w:w="6494"/>
      </w:tblGrid>
      <w:tr>
        <w:trPr>
          <w:tblHeader w:val="true"/>
        </w:trPr>
        <w:tc>
          <w:tcPr>
            <w:shd w:val="clear" w:color="auto" w:fill="DCE6F2"/>
          </w:tcPr>
          <w:p>
            <w:pPr>
              <w:pStyle w:val="Compact"/>
              <w:jc w:val="left"/>
            </w:pPr>
            <w:r>
              <w:rPr>
                <w:b/>
                <w:sz w:val="19"/>
              </w:rPr>
              <w:t xml:space="preserve">Partition</w:t>
            </w:r>
          </w:p>
        </w:tc>
        <w:tc>
          <w:tcPr>
            <w:shd w:val="clear" w:color="auto" w:fill="DCE6F2"/>
          </w:tcPr>
          <w:p>
            <w:pPr>
              <w:pStyle w:val="Compact"/>
              <w:jc w:val="left"/>
            </w:pPr>
            <w:r>
              <w:rPr>
                <w:b/>
                <w:sz w:val="19"/>
              </w:rPr>
              <w:t xml:space="preserve">Holds</w:t>
            </w:r>
          </w:p>
        </w:tc>
      </w:tr>
      <w:tr>
        <w:tc>
          <w:tcPr/>
          <w:p>
            <w:pPr>
              <w:pStyle w:val="Compact"/>
              <w:jc w:val="left"/>
            </w:pPr>
            <w:r>
              <w:rPr>
                <w:rStyle w:val="VerbatimChar"/>
                <w:sz w:val="19"/>
              </w:rPr>
              <w:t xml:space="preserve">review</w:t>
            </w:r>
          </w:p>
        </w:tc>
        <w:tc>
          <w:tcPr/>
          <w:p>
            <w:pPr>
              <w:pStyle w:val="Compact"/>
              <w:jc w:val="left"/>
            </w:pPr>
            <w:r>
              <w:rPr>
                <w:sz w:val="19"/>
              </w:rPr>
              <w:t xml:space="preserve">Latest and past reviews (summary plus chunked findings and resources)</w:t>
            </w:r>
          </w:p>
        </w:tc>
      </w:tr>
      <w:tr>
        <w:tc>
          <w:tcPr/>
          <w:p>
            <w:pPr>
              <w:pStyle w:val="Compact"/>
              <w:jc w:val="left"/>
            </w:pPr>
            <w:r>
              <w:rPr>
                <w:rStyle w:val="VerbatimChar"/>
                <w:sz w:val="19"/>
              </w:rPr>
              <w:t xml:space="preserve">history</w:t>
            </w:r>
          </w:p>
        </w:tc>
        <w:tc>
          <w:tcPr/>
          <w:p>
            <w:pPr>
              <w:pStyle w:val="Compact"/>
              <w:jc w:val="left"/>
            </w:pPr>
            <w:r>
              <w:rPr>
                <w:sz w:val="19"/>
              </w:rPr>
              <w:t xml:space="preserve">One point per full scan: score, counts, new, fixed, regressed</w:t>
            </w:r>
          </w:p>
        </w:tc>
      </w:tr>
      <w:tr>
        <w:tc>
          <w:tcPr/>
          <w:p>
            <w:pPr>
              <w:pStyle w:val="Compact"/>
              <w:jc w:val="left"/>
            </w:pPr>
            <w:r>
              <w:rPr>
                <w:rStyle w:val="VerbatimChar"/>
                <w:sz w:val="19"/>
              </w:rPr>
              <w:t xml:space="preserve">risk</w:t>
            </w:r>
          </w:p>
        </w:tc>
        <w:tc>
          <w:tcPr/>
          <w:p>
            <w:pPr>
              <w:pStyle w:val="Compact"/>
              <w:jc w:val="left"/>
            </w:pPr>
            <w:r>
              <w:rPr>
                <w:sz w:val="19"/>
              </w:rPr>
              <w:t xml:space="preserve">Accepted-risk register entries</w:t>
            </w:r>
          </w:p>
        </w:tc>
      </w:tr>
      <w:tr>
        <w:tc>
          <w:tcPr/>
          <w:p>
            <w:pPr>
              <w:pStyle w:val="Compact"/>
              <w:jc w:val="left"/>
            </w:pPr>
            <w:r>
              <w:rPr>
                <w:rStyle w:val="VerbatimChar"/>
                <w:sz w:val="19"/>
              </w:rPr>
              <w:t xml:space="preserve">plan</w:t>
            </w:r>
          </w:p>
        </w:tc>
        <w:tc>
          <w:tcPr/>
          <w:p>
            <w:pPr>
              <w:pStyle w:val="Compact"/>
              <w:jc w:val="left"/>
            </w:pPr>
            <w:r>
              <w:rPr>
                <w:sz w:val="19"/>
              </w:rPr>
              <w:t xml:space="preserve">Owner, effort and target date per finding</w:t>
            </w:r>
          </w:p>
        </w:tc>
      </w:tr>
      <w:tr>
        <w:tc>
          <w:tcPr/>
          <w:p>
            <w:pPr>
              <w:pStyle w:val="Compact"/>
              <w:jc w:val="left"/>
            </w:pPr>
            <w:r>
              <w:rPr>
                <w:rStyle w:val="VerbatimChar"/>
                <w:sz w:val="19"/>
              </w:rPr>
              <w:t xml:space="preserve">report</w:t>
            </w:r>
          </w:p>
        </w:tc>
        <w:tc>
          <w:tcPr/>
          <w:p>
            <w:pPr>
              <w:pStyle w:val="Compact"/>
              <w:jc w:val="left"/>
            </w:pPr>
            <w:r>
              <w:rPr>
                <w:sz w:val="19"/>
              </w:rPr>
              <w:t xml:space="preserve">Report snapshots with status, reviewer and version links</w:t>
            </w:r>
          </w:p>
        </w:tc>
      </w:tr>
      <w:tr>
        <w:tc>
          <w:tcPr/>
          <w:p>
            <w:pPr>
              <w:pStyle w:val="Compact"/>
              <w:jc w:val="left"/>
            </w:pPr>
            <w:r>
              <w:rPr>
                <w:rStyle w:val="VerbatimChar"/>
                <w:sz w:val="19"/>
              </w:rPr>
              <w:t xml:space="preserve">activity</w:t>
            </w:r>
          </w:p>
        </w:tc>
        <w:tc>
          <w:tcPr/>
          <w:p>
            <w:pPr>
              <w:pStyle w:val="Compact"/>
              <w:jc w:val="left"/>
            </w:pPr>
            <w:r>
              <w:rPr>
                <w:sz w:val="19"/>
              </w:rPr>
              <w:t xml:space="preserve">Audit log entries</w:t>
            </w:r>
          </w:p>
        </w:tc>
      </w:tr>
      <w:tr>
        <w:tc>
          <w:tcPr/>
          <w:p>
            <w:pPr>
              <w:pStyle w:val="Compact"/>
              <w:jc w:val="left"/>
            </w:pPr>
            <w:r>
              <w:rPr>
                <w:rStyle w:val="VerbatimChar"/>
                <w:sz w:val="19"/>
              </w:rPr>
              <w:t xml:space="preserve">settings</w:t>
            </w:r>
          </w:p>
        </w:tc>
        <w:tc>
          <w:tcPr/>
          <w:p>
            <w:pPr>
              <w:pStyle w:val="Compact"/>
              <w:jc w:val="left"/>
            </w:pPr>
            <w:r>
              <w:rPr>
                <w:sz w:val="19"/>
              </w:rPr>
              <w:t xml:space="preserve">Branding, rubric, schedule, source toggles, alert rules</w:t>
            </w:r>
          </w:p>
        </w:tc>
      </w:tr>
      <w:tr>
        <w:tc>
          <w:tcPr/>
          <w:p>
            <w:pPr>
              <w:pStyle w:val="Compact"/>
              <w:jc w:val="left"/>
            </w:pPr>
            <w:r>
              <w:rPr>
                <w:rStyle w:val="VerbatimChar"/>
                <w:sz w:val="19"/>
              </w:rPr>
              <w:t xml:space="preserve">lease</w:t>
            </w:r>
          </w:p>
        </w:tc>
        <w:tc>
          <w:tcPr/>
          <w:p>
            <w:pPr>
              <w:pStyle w:val="Compact"/>
              <w:jc w:val="left"/>
            </w:pPr>
            <w:r>
              <w:rPr>
                <w:sz w:val="19"/>
              </w:rPr>
              <w:t xml:space="preserve">Scheduler lease so only one replica runs scheduled scans</w:t>
            </w:r>
          </w:p>
        </w:tc>
      </w:tr>
    </w:tbl>
    <w:p>
      <w:pPr>
        <w:pStyle w:val="BodyText"/>
      </w:pPr>
      <w:r>
        <w:t xml:space="preserve">Without a table the backend falls back to memory, for demos and local mode only.</w:t>
      </w:r>
    </w:p>
    <w:bookmarkEnd w:id="40"/>
    <w:bookmarkStart w:id="41" w:name="interfaces"/>
    <w:p>
      <w:pPr>
        <w:pStyle w:val="Heading3"/>
      </w:pPr>
      <w:r>
        <w:t xml:space="preserve">6.3 Interfaces</w:t>
      </w:r>
    </w:p>
    <w:p>
      <w:pPr>
        <w:pStyle w:val="FirstParagraph"/>
      </w:pPr>
      <w:r>
        <w:t xml:space="preserve">The API is versioned under</w:t>
      </w:r>
      <w:r>
        <w:t xml:space="preserve"> </w:t>
      </w:r>
      <w:r>
        <w:rPr>
          <w:rStyle w:val="VerbatimChar"/>
        </w:rPr>
        <w:t xml:space="preserve">/api/v1</w:t>
      </w:r>
      <w:r>
        <w:t xml:space="preserve">. Existing endpoints keep their shape; new endpoints are additive. The summary list is in</w:t>
      </w:r>
      <w:r>
        <w:t xml:space="preserve"> </w:t>
      </w:r>
      <w:r>
        <w:rPr>
          <w:rStyle w:val="VerbatimChar"/>
        </w:rPr>
        <w:t xml:space="preserve">Nexogent-Build-Spec.md</w:t>
      </w:r>
      <w:r>
        <w:t xml:space="preserve">. All endpoints except health, login and auth status require a signed session.</w:t>
      </w:r>
    </w:p>
    <w:bookmarkEnd w:id="41"/>
    <w:bookmarkStart w:id="42" w:name="modes"/>
    <w:p>
      <w:pPr>
        <w:pStyle w:val="Heading3"/>
      </w:pPr>
      <w:r>
        <w:t xml:space="preserve">6.4 Modes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108"/>
        <w:gridCol w:w="3643"/>
        <w:gridCol w:w="3168"/>
      </w:tblGrid>
      <w:tr>
        <w:trPr>
          <w:tblHeader w:val="true"/>
        </w:trPr>
        <w:tc>
          <w:tcPr>
            <w:shd w:val="clear" w:color="auto" w:fill="DCE6F2"/>
          </w:tcPr>
          <w:p>
            <w:pPr>
              <w:pStyle w:val="Compact"/>
              <w:jc w:val="left"/>
            </w:pPr>
            <w:r>
              <w:rPr>
                <w:b/>
                <w:sz w:val="19"/>
              </w:rPr>
              <w:t xml:space="preserve">Mode</w:t>
            </w:r>
          </w:p>
        </w:tc>
        <w:tc>
          <w:tcPr>
            <w:shd w:val="clear" w:color="auto" w:fill="DCE6F2"/>
          </w:tcPr>
          <w:p>
            <w:pPr>
              <w:pStyle w:val="Compact"/>
              <w:jc w:val="left"/>
            </w:pPr>
            <w:r>
              <w:rPr>
                <w:b/>
                <w:sz w:val="19"/>
              </w:rPr>
              <w:t xml:space="preserve">How it runs</w:t>
            </w:r>
          </w:p>
        </w:tc>
        <w:tc>
          <w:tcPr>
            <w:shd w:val="clear" w:color="auto" w:fill="DCE6F2"/>
          </w:tcPr>
          <w:p>
            <w:pPr>
              <w:pStyle w:val="Compact"/>
              <w:jc w:val="left"/>
            </w:pPr>
            <w:r>
              <w:rPr>
                <w:b/>
                <w:sz w:val="19"/>
              </w:rPr>
              <w:t xml:space="preserve">Used for</w:t>
            </w:r>
          </w:p>
        </w:tc>
      </w:tr>
      <w:tr>
        <w:tc>
          <w:tcPr/>
          <w:p>
            <w:pPr>
              <w:pStyle w:val="Compact"/>
              <w:jc w:val="left"/>
            </w:pPr>
            <w:r>
              <w:rPr>
                <w:bCs/>
                <w:b/>
                <w:sz w:val="19"/>
              </w:rPr>
              <w:t xml:space="preserve">Cluster</w:t>
            </w:r>
          </w:p>
        </w:tc>
        <w:tc>
          <w:tcPr/>
          <w:p>
            <w:pPr>
              <w:pStyle w:val="Compact"/>
              <w:jc w:val="left"/>
            </w:pPr>
            <w:r>
              <w:rPr>
                <w:sz w:val="19"/>
              </w:rPr>
              <w:t xml:space="preserve">Helm chart into the client’s EKS</w:t>
            </w:r>
          </w:p>
        </w:tc>
        <w:tc>
          <w:tcPr/>
          <w:p>
            <w:pPr>
              <w:pStyle w:val="Compact"/>
              <w:jc w:val="left"/>
            </w:pPr>
            <w:r>
              <w:rPr>
                <w:sz w:val="19"/>
              </w:rPr>
              <w:t xml:space="preserve">Production</w:t>
            </w:r>
          </w:p>
        </w:tc>
      </w:tr>
      <w:tr>
        <w:tc>
          <w:tcPr/>
          <w:p>
            <w:pPr>
              <w:pStyle w:val="Compact"/>
              <w:jc w:val="left"/>
            </w:pPr>
            <w:r>
              <w:rPr>
                <w:bCs/>
                <w:b/>
                <w:sz w:val="19"/>
              </w:rPr>
              <w:t xml:space="preserve">Local</w:t>
            </w:r>
          </w:p>
        </w:tc>
        <w:tc>
          <w:tcPr/>
          <w:p>
            <w:pPr>
              <w:pStyle w:val="Compact"/>
              <w:jc w:val="left"/>
            </w:pPr>
            <w:r>
              <w:rPr>
                <w:rStyle w:val="VerbatimChar"/>
                <w:sz w:val="19"/>
              </w:rPr>
              <w:t xml:space="preserve">docker compose up</w:t>
            </w:r>
            <w:r>
              <w:rPr>
                <w:sz w:val="19"/>
              </w:rPr>
              <w:t xml:space="preserve"> </w:t>
            </w:r>
            <w:r>
              <w:rPr>
                <w:sz w:val="19"/>
              </w:rPr>
              <w:t xml:space="preserve">with the engineer’s AWS profile mounted read-only</w:t>
            </w:r>
          </w:p>
        </w:tc>
        <w:tc>
          <w:tcPr/>
          <w:p>
            <w:pPr>
              <w:pStyle w:val="Compact"/>
              <w:jc w:val="left"/>
            </w:pPr>
            <w:r>
              <w:rPr>
                <w:sz w:val="19"/>
              </w:rPr>
              <w:t xml:space="preserve">Development, onboarding rehearsal, a client with no cluster yet</w:t>
            </w:r>
          </w:p>
        </w:tc>
      </w:tr>
      <w:tr>
        <w:tc>
          <w:tcPr/>
          <w:p>
            <w:pPr>
              <w:pStyle w:val="Compact"/>
              <w:jc w:val="left"/>
            </w:pPr>
            <w:r>
              <w:rPr>
                <w:bCs/>
                <w:b/>
                <w:sz w:val="19"/>
              </w:rPr>
              <w:t xml:space="preserve">Demo</w:t>
            </w:r>
          </w:p>
        </w:tc>
        <w:tc>
          <w:tcPr/>
          <w:p>
            <w:pPr>
              <w:pStyle w:val="Compact"/>
              <w:jc w:val="left"/>
            </w:pPr>
            <w:r>
              <w:rPr>
                <w:rStyle w:val="VerbatimChar"/>
                <w:sz w:val="19"/>
              </w:rPr>
              <w:t xml:space="preserve">DEMO_MODE=true</w:t>
            </w:r>
            <w:r>
              <w:rPr>
                <w:sz w:val="19"/>
              </w:rPr>
              <w:t xml:space="preserve">, synthetic data, no AWS calls</w:t>
            </w:r>
          </w:p>
        </w:tc>
        <w:tc>
          <w:tcPr/>
          <w:p>
            <w:pPr>
              <w:pStyle w:val="Compact"/>
              <w:jc w:val="left"/>
            </w:pPr>
            <w:r>
              <w:rPr>
                <w:sz w:val="19"/>
              </w:rPr>
              <w:t xml:space="preserve">Sales demonstrations and portal testing</w:t>
            </w:r>
          </w:p>
        </w:tc>
      </w:tr>
    </w:tbl>
    <w:bookmarkEnd w:id="42"/>
    <w:bookmarkStart w:id="43" w:name="paid-build-native-source-readers"/>
    <w:p>
      <w:pPr>
        <w:pStyle w:val="Heading3"/>
      </w:pPr>
      <w:r>
        <w:t xml:space="preserve">6.5 Paid build: native source readers</w:t>
      </w:r>
    </w:p>
    <w:p>
      <w:pPr>
        <w:pStyle w:val="SourceCode"/>
      </w:pPr>
      <w:r>
        <w:rPr>
          <w:rStyle w:val="VerbatimChar"/>
        </w:rPr>
        <w:t xml:space="preserve">          Security Hub ──┐                         (GuardDuty, Inspector and</w:t>
      </w:r>
      <w:r>
        <w:br/>
      </w:r>
      <w:r>
        <w:rPr>
          <w:rStyle w:val="VerbatimChar"/>
        </w:rPr>
        <w:t xml:space="preserve">          GuardDuty ─────┤                          Access Analyzer can also</w:t>
      </w:r>
      <w:r>
        <w:br/>
      </w:r>
      <w:r>
        <w:rPr>
          <w:rStyle w:val="VerbatimChar"/>
        </w:rPr>
        <w:t xml:space="preserve">          Inspector ─────┼──► readers ──► one      be read directly when Security</w:t>
      </w:r>
      <w:r>
        <w:br/>
      </w:r>
      <w:r>
        <w:rPr>
          <w:rStyle w:val="VerbatimChar"/>
        </w:rPr>
        <w:t xml:space="preserve">          Access Analyzer┘     (read-only) Finding   Hub is not in use)</w:t>
      </w:r>
      <w:r>
        <w:br/>
      </w:r>
      <w:r>
        <w:rPr>
          <w:rStyle w:val="VerbatimChar"/>
        </w:rPr>
        <w:t xml:space="preserve">                                            model</w:t>
      </w:r>
      <w:r>
        <w:br/>
      </w:r>
      <w:r>
        <w:rPr>
          <w:rStyle w:val="VerbatimChar"/>
        </w:rPr>
        <w:t xml:space="preserve">  Own checks ───────────────────────────────►  │</w:t>
      </w:r>
      <w:r>
        <w:br/>
      </w:r>
      <w:r>
        <w:rPr>
          <w:rStyle w:val="VerbatimChar"/>
        </w:rPr>
        <w:t xml:space="preserve">  Prowler / ScoutSuite / cloudsplaining ────►  ▼</w:t>
      </w:r>
      <w:r>
        <w:br/>
      </w:r>
      <w:r>
        <w:rPr>
          <w:rStyle w:val="VerbatimChar"/>
        </w:rPr>
        <w:t xml:space="preserve">                                      fingerprint → dedupe → lifecycle → rank</w:t>
      </w:r>
    </w:p>
    <w:p>
      <w:pPr>
        <w:numPr>
          <w:ilvl w:val="0"/>
          <w:numId w:val="1004"/>
        </w:numPr>
        <w:pStyle w:val="Compact"/>
      </w:pPr>
      <w:r>
        <w:t xml:space="preserve">Every reader implements the same small interface and returns findings in the one model, so the portal, ranking, reports and alerts need no source-specific code.</w:t>
      </w:r>
    </w:p>
    <w:p>
      <w:pPr>
        <w:numPr>
          <w:ilvl w:val="0"/>
          <w:numId w:val="1004"/>
        </w:numPr>
        <w:pStyle w:val="Compact"/>
      </w:pPr>
      <w:r>
        <w:t xml:space="preserve">Readers run on the scan schedule and on a deep scan. A reader that fails is reported as a source error and</w:t>
      </w:r>
      <w:r>
        <w:t xml:space="preserve"> </w:t>
      </w:r>
      <w:r>
        <w:rPr>
          <w:bCs/>
          <w:b/>
        </w:rPr>
        <w:t xml:space="preserve">never marks its findings as fixed</w:t>
      </w:r>
      <w:r>
        <w:t xml:space="preserve"> </w:t>
      </w:r>
      <w:r>
        <w:t xml:space="preserve">(see F1).</w:t>
      </w:r>
    </w:p>
    <w:p>
      <w:pPr>
        <w:numPr>
          <w:ilvl w:val="0"/>
          <w:numId w:val="1004"/>
        </w:numPr>
        <w:pStyle w:val="Compact"/>
      </w:pPr>
      <w:r>
        <w:t xml:space="preserve">The service-to-resource mapping covers EC2, S3, IAM, Lambda, RDS, DynamoDB, EKS and CloudTrail. Findings on other resource types are kept and shown under an</w:t>
      </w:r>
      <w:r>
        <w:t xml:space="preserve"> </w:t>
      </w:r>
      <w:r>
        <w:rPr>
          <w:bCs/>
          <w:b/>
        </w:rPr>
        <w:t xml:space="preserve">Other services</w:t>
      </w:r>
      <w:r>
        <w:t xml:space="preserve"> </w:t>
      </w:r>
      <w:r>
        <w:t xml:space="preserve">card, so nothing is dropped.</w:t>
      </w:r>
    </w:p>
    <w:p>
      <w:pPr>
        <w:numPr>
          <w:ilvl w:val="0"/>
          <w:numId w:val="1004"/>
        </w:numPr>
        <w:pStyle w:val="Compact"/>
      </w:pPr>
      <w:r>
        <w:t xml:space="preserve">The data file that maps native control IDs to canonical keys ships with the product and can be extended per client.</w:t>
      </w:r>
    </w:p>
    <w:bookmarkEnd w:id="43"/>
    <w:bookmarkEnd w:id="44"/>
    <w:bookmarkStart w:id="45" w:name="security-and-safety-principles"/>
    <w:p>
      <w:pPr>
        <w:pStyle w:val="Heading2"/>
      </w:pPr>
      <w:r>
        <w:t xml:space="preserve">7. Security and safety principles</w:t>
      </w:r>
    </w:p>
    <w:p>
      <w:pPr>
        <w:numPr>
          <w:ilvl w:val="0"/>
          <w:numId w:val="1005"/>
        </w:numPr>
        <w:pStyle w:val="Compact"/>
      </w:pPr>
      <w:r>
        <w:rPr>
          <w:bCs/>
          <w:b/>
        </w:rPr>
        <w:t xml:space="preserve">Read-only on the client account.</w:t>
      </w:r>
      <w:r>
        <w:t xml:space="preserve"> </w:t>
      </w:r>
      <w:r>
        <w:t xml:space="preserve">The IAM role allows</w:t>
      </w:r>
      <w:r>
        <w:t xml:space="preserve"> </w:t>
      </w:r>
      <w:r>
        <w:rPr>
          <w:rStyle w:val="VerbatimChar"/>
        </w:rPr>
        <w:t xml:space="preserve">Describe</w:t>
      </w:r>
      <w:r>
        <w:t xml:space="preserve">,</w:t>
      </w:r>
      <w:r>
        <w:t xml:space="preserve"> </w:t>
      </w:r>
      <w:r>
        <w:rPr>
          <w:rStyle w:val="VerbatimChar"/>
        </w:rPr>
        <w:t xml:space="preserve">Get</w:t>
      </w:r>
      <w:r>
        <w:t xml:space="preserve"> </w:t>
      </w:r>
      <w:r>
        <w:t xml:space="preserve">and</w:t>
      </w:r>
      <w:r>
        <w:t xml:space="preserve"> </w:t>
      </w:r>
      <w:r>
        <w:rPr>
          <w:rStyle w:val="VerbatimChar"/>
        </w:rPr>
        <w:t xml:space="preserve">List</w:t>
      </w:r>
      <w:r>
        <w:t xml:space="preserve"> </w:t>
      </w:r>
      <w:r>
        <w:t xml:space="preserve">actions only. The single exception is read and write on Nexogent’s own DynamoDB table.</w:t>
      </w:r>
    </w:p>
    <w:p>
      <w:pPr>
        <w:numPr>
          <w:ilvl w:val="0"/>
          <w:numId w:val="1005"/>
        </w:numPr>
        <w:pStyle w:val="Compact"/>
      </w:pPr>
      <w:r>
        <w:rPr>
          <w:bCs/>
          <w:b/>
        </w:rPr>
        <w:t xml:space="preserve">No static AWS keys in the cluster.</w:t>
      </w:r>
      <w:r>
        <w:t xml:space="preserve"> </w:t>
      </w:r>
      <w:r>
        <w:t xml:space="preserve">Access is by IAM Roles for Service Accounts (IRSA). In local mode the engineer’s own profile is mounted read-only and is not copied into any image.</w:t>
      </w:r>
    </w:p>
    <w:p>
      <w:pPr>
        <w:numPr>
          <w:ilvl w:val="0"/>
          <w:numId w:val="1005"/>
        </w:numPr>
        <w:pStyle w:val="Compact"/>
      </w:pPr>
      <w:r>
        <w:rPr>
          <w:bCs/>
          <w:b/>
        </w:rPr>
        <w:t xml:space="preserve">Portal not publicly readable.</w:t>
      </w:r>
      <w:r>
        <w:t xml:space="preserve"> </w:t>
      </w:r>
      <w:r>
        <w:t xml:space="preserve">Sign-in is required for every data endpoint. Sessions are signed, short-lived and never accepted in a URL. Logins are throttled. HTTPS is used when a certificate is configured, and an IP allow-list is available.</w:t>
      </w:r>
    </w:p>
    <w:p>
      <w:pPr>
        <w:numPr>
          <w:ilvl w:val="0"/>
          <w:numId w:val="1005"/>
        </w:numPr>
        <w:pStyle w:val="Compact"/>
      </w:pPr>
      <w:r>
        <w:rPr>
          <w:bCs/>
          <w:b/>
        </w:rPr>
        <w:t xml:space="preserve">Recommend-only.</w:t>
      </w:r>
      <w:r>
        <w:t xml:space="preserve"> </w:t>
      </w:r>
      <w:r>
        <w:t xml:space="preserve">Fix-as-code is text. It is labelled</w:t>
      </w:r>
      <w:r>
        <w:t xml:space="preserve"> </w:t>
      </w:r>
      <w:r>
        <w:t xml:space="preserve">“</w:t>
      </w:r>
      <w:r>
        <w:t xml:space="preserve">review before applying</w:t>
      </w:r>
      <w:r>
        <w:t xml:space="preserve">”</w:t>
      </w:r>
      <w:r>
        <w:t xml:space="preserve"> </w:t>
      </w:r>
      <w:r>
        <w:t xml:space="preserve">and includes what could break. Nexogent never runs it.</w:t>
      </w:r>
    </w:p>
    <w:p>
      <w:pPr>
        <w:numPr>
          <w:ilvl w:val="0"/>
          <w:numId w:val="1005"/>
        </w:numPr>
        <w:pStyle w:val="Compact"/>
      </w:pPr>
      <w:r>
        <w:rPr>
          <w:bCs/>
          <w:b/>
        </w:rPr>
        <w:t xml:space="preserve">Secrets.</w:t>
      </w:r>
      <w:r>
        <w:t xml:space="preserve"> </w:t>
      </w:r>
      <w:r>
        <w:t xml:space="preserve">The superadmin password, the session secret and the Slack webhook are held in Kubernetes Secrets, never in the repository, and never returned by the API after they are saved.</w:t>
      </w:r>
    </w:p>
    <w:p>
      <w:pPr>
        <w:numPr>
          <w:ilvl w:val="0"/>
          <w:numId w:val="1005"/>
        </w:numPr>
        <w:pStyle w:val="Compact"/>
      </w:pPr>
      <w:r>
        <w:rPr>
          <w:bCs/>
          <w:b/>
        </w:rPr>
        <w:t xml:space="preserve">Outbound calls are limited.</w:t>
      </w:r>
      <w:r>
        <w:t xml:space="preserve"> </w:t>
      </w:r>
      <w:r>
        <w:t xml:space="preserve">The only outbound destinations are AWS APIs, Amazon Bedrock (optional) and the configured Slack webhook, which must be an HTTPS Slack address.</w:t>
      </w:r>
    </w:p>
    <w:p>
      <w:pPr>
        <w:numPr>
          <w:ilvl w:val="0"/>
          <w:numId w:val="1005"/>
        </w:numPr>
        <w:pStyle w:val="Compact"/>
      </w:pPr>
      <w:r>
        <w:rPr>
          <w:bCs/>
          <w:b/>
        </w:rPr>
        <w:t xml:space="preserve">Reports contain account findings.</w:t>
      </w:r>
      <w:r>
        <w:t xml:space="preserve"> </w:t>
      </w:r>
      <w:r>
        <w:t xml:space="preserve">They are generated on demand, stored only in the client’s DynamoDB table, and downloaded only by an authenticated user. Bedrock, when used, receives aggregated counts and finding titles, not account IDs or resource names.</w:t>
      </w:r>
    </w:p>
    <w:p>
      <w:pPr>
        <w:numPr>
          <w:ilvl w:val="0"/>
          <w:numId w:val="1005"/>
        </w:numPr>
        <w:pStyle w:val="Compact"/>
      </w:pPr>
      <w:r>
        <w:rPr>
          <w:bCs/>
          <w:b/>
        </w:rPr>
        <w:t xml:space="preserve">Handover.</w:t>
      </w:r>
      <w:r>
        <w:t xml:space="preserve"> </w:t>
      </w:r>
      <w:r>
        <w:t xml:space="preserve">The client keeps full administrator rights. The supplier retains no standing access.</w:t>
      </w:r>
      <w:r>
        <w:t xml:space="preserve"> </w:t>
      </w:r>
      <w:r>
        <w:rPr>
          <w:rStyle w:val="VerbatimChar"/>
        </w:rPr>
        <w:t xml:space="preserve">stop.sh --purge</w:t>
      </w:r>
      <w:r>
        <w:t xml:space="preserve"> </w:t>
      </w:r>
      <w:r>
        <w:t xml:space="preserve">removes everything Nexogent created.</w:t>
      </w:r>
    </w:p>
    <w:p>
      <w:pPr>
        <w:numPr>
          <w:ilvl w:val="0"/>
          <w:numId w:val="1005"/>
        </w:numPr>
        <w:pStyle w:val="Compact"/>
      </w:pPr>
      <w:r>
        <w:rPr>
          <w:bCs/>
          <w:b/>
        </w:rPr>
        <w:t xml:space="preserve">Native readers are read-only.</w:t>
      </w:r>
      <w:r>
        <w:t xml:space="preserve"> </w:t>
      </w:r>
      <w:r>
        <w:t xml:space="preserve">The extra IAM statement for the paid build lists read and list actions for Security Hub, GuardDuty, Inspector and Access Analyzer only. It is a separate policy so a client can review it on its own, and it is attached only when the client turns these sources on.</w:t>
      </w:r>
    </w:p>
    <w:p>
      <w:pPr>
        <w:numPr>
          <w:ilvl w:val="0"/>
          <w:numId w:val="1005"/>
        </w:numPr>
        <w:pStyle w:val="Compact"/>
      </w:pPr>
      <w:r>
        <w:rPr>
          <w:bCs/>
          <w:b/>
        </w:rPr>
        <w:t xml:space="preserve">Nexogent never changes the state of a native finding.</w:t>
      </w:r>
      <w:r>
        <w:t xml:space="preserve"> </w:t>
      </w:r>
      <w:r>
        <w:t xml:space="preserve">It does not archive, suppress, resolve or update workflow status in any of those services.</w:t>
      </w:r>
    </w:p>
    <w:bookmarkEnd w:id="45"/>
    <w:bookmarkStart w:id="46" w:name="deliverables"/>
    <w:p>
      <w:pPr>
        <w:pStyle w:val="Heading2"/>
      </w:pPr>
      <w:r>
        <w:t xml:space="preserve">8. Deliverables</w:t>
      </w:r>
    </w:p>
    <w:p>
      <w:pPr>
        <w:numPr>
          <w:ilvl w:val="0"/>
          <w:numId w:val="1006"/>
        </w:numPr>
        <w:pStyle w:val="Compact"/>
      </w:pPr>
      <w:r>
        <w:t xml:space="preserve">Nexogent v2 source: Go backend, React portal, Helm chart, scripts, on a</w:t>
      </w:r>
      <w:r>
        <w:t xml:space="preserve"> </w:t>
      </w:r>
      <w:r>
        <w:rPr>
          <w:rStyle w:val="VerbatimChar"/>
        </w:rPr>
        <w:t xml:space="preserve">v2-msp</w:t>
      </w:r>
      <w:r>
        <w:t xml:space="preserve"> </w:t>
      </w:r>
      <w:r>
        <w:t xml:space="preserve">branch.</w:t>
      </w:r>
    </w:p>
    <w:p>
      <w:pPr>
        <w:numPr>
          <w:ilvl w:val="0"/>
          <w:numId w:val="1006"/>
        </w:numPr>
        <w:pStyle w:val="Compact"/>
      </w:pPr>
      <w:r>
        <w:t xml:space="preserve">Features F1 to F20 (sections 4.1 to 4.5) and P1 to P7 (section 4.6).</w:t>
      </w:r>
    </w:p>
    <w:p>
      <w:pPr>
        <w:numPr>
          <w:ilvl w:val="0"/>
          <w:numId w:val="1006"/>
        </w:numPr>
        <w:pStyle w:val="Compact"/>
      </w:pPr>
      <w:r>
        <w:t xml:space="preserve">Unit tests for all pure logic (lifecycle, deduplication, attack paths, fix templates, report rendering, auth tokens, alert suppression, and the normalisation of every native finding type from recorded samples) and a documented verification checklist for the parts that call AWS.</w:t>
      </w:r>
    </w:p>
    <w:p>
      <w:pPr>
        <w:numPr>
          <w:ilvl w:val="0"/>
          <w:numId w:val="1006"/>
        </w:numPr>
        <w:pStyle w:val="Compact"/>
      </w:pPr>
      <w:r>
        <w:t xml:space="preserve">Updated Helm chart: HTTPS and IP allow-list values, session secret, Kubernetes role for deep scans, node co-location for scan pods, and the optional native-reader IAM policy.</w:t>
      </w:r>
    </w:p>
    <w:p>
      <w:pPr>
        <w:numPr>
          <w:ilvl w:val="0"/>
          <w:numId w:val="1006"/>
        </w:numPr>
        <w:pStyle w:val="Compact"/>
      </w:pPr>
      <w:r>
        <w:t xml:space="preserve">A separate read-only IAM policy file for the native readers, with the exact actions listed.</w:t>
      </w:r>
    </w:p>
    <w:p>
      <w:pPr>
        <w:numPr>
          <w:ilvl w:val="0"/>
          <w:numId w:val="1006"/>
        </w:numPr>
        <w:pStyle w:val="Compact"/>
      </w:pPr>
      <w:r>
        <w:rPr>
          <w:rStyle w:val="VerbatimChar"/>
        </w:rPr>
        <w:t xml:space="preserve">docker-compose.yml</w:t>
      </w:r>
      <w:r>
        <w:t xml:space="preserve">, a local-mode guide, and a demo-mode data set that includes sample threats and vulnerabilities.</w:t>
      </w:r>
    </w:p>
    <w:p>
      <w:pPr>
        <w:numPr>
          <w:ilvl w:val="0"/>
          <w:numId w:val="1006"/>
        </w:numPr>
        <w:pStyle w:val="Compact"/>
      </w:pPr>
      <w:r>
        <w:t xml:space="preserve">Documents:</w:t>
      </w:r>
      <w:r>
        <w:t xml:space="preserve"> </w:t>
      </w:r>
      <w:r>
        <w:rPr>
          <w:rStyle w:val="VerbatimChar"/>
        </w:rPr>
        <w:t xml:space="preserve">PRODUCT.md</w:t>
      </w:r>
      <w:r>
        <w:t xml:space="preserve">,</w:t>
      </w:r>
      <w:r>
        <w:t xml:space="preserve"> </w:t>
      </w:r>
      <w:r>
        <w:rPr>
          <w:rStyle w:val="VerbatimChar"/>
        </w:rPr>
        <w:t xml:space="preserve">SOW.md</w:t>
      </w:r>
      <w:r>
        <w:t xml:space="preserve">,</w:t>
      </w:r>
      <w:r>
        <w:t xml:space="preserve"> </w:t>
      </w:r>
      <w:r>
        <w:rPr>
          <w:rStyle w:val="VerbatimChar"/>
        </w:rPr>
        <w:t xml:space="preserve">DEPLOYMENT.md</w:t>
      </w:r>
      <w:r>
        <w:t xml:space="preserve">,</w:t>
      </w:r>
      <w:r>
        <w:t xml:space="preserve"> </w:t>
      </w:r>
      <w:r>
        <w:rPr>
          <w:rStyle w:val="VerbatimChar"/>
        </w:rPr>
        <w:t xml:space="preserve">PREREQUISITES.md</w:t>
      </w:r>
      <w:r>
        <w:t xml:space="preserve">, an MSP onboarding checklist, a runbook, and a short guide for the client’s administrator on enabling each native service and what it costs.</w:t>
      </w:r>
    </w:p>
    <w:p>
      <w:pPr>
        <w:numPr>
          <w:ilvl w:val="0"/>
          <w:numId w:val="1006"/>
        </w:numPr>
        <w:pStyle w:val="Compact"/>
      </w:pPr>
      <w:r>
        <w:t xml:space="preserve">A sample report in Word, Markdown and HTML generated from the demo data set.</w:t>
      </w:r>
    </w:p>
    <w:bookmarkEnd w:id="46"/>
    <w:bookmarkStart w:id="47" w:name="delivery-plan"/>
    <w:p>
      <w:pPr>
        <w:pStyle w:val="Heading2"/>
      </w:pPr>
      <w:r>
        <w:t xml:space="preserve">9. Delivery plan</w:t>
      </w:r>
    </w:p>
    <w:p>
      <w:pPr>
        <w:pStyle w:val="FirstParagraph"/>
      </w:pPr>
      <w:r>
        <w:t xml:space="preserve">Effort is indicative, in working days for one engineer, and is a planning estimate, not a commitment.</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633"/>
        <w:gridCol w:w="4593"/>
        <w:gridCol w:w="1584"/>
        <w:gridCol w:w="1108"/>
      </w:tblGrid>
      <w:tr>
        <w:trPr>
          <w:tblHeader w:val="true"/>
        </w:trPr>
        <w:tc>
          <w:tcPr>
            <w:shd w:val="clear" w:color="auto" w:fill="DCE6F2"/>
          </w:tcPr>
          <w:p>
            <w:pPr>
              <w:pStyle w:val="Compact"/>
              <w:jc w:val="left"/>
            </w:pPr>
            <w:r>
              <w:rPr>
                <w:b/>
                <w:sz w:val="19"/>
              </w:rPr>
              <w:t xml:space="preserve">Phase</w:t>
            </w:r>
          </w:p>
        </w:tc>
        <w:tc>
          <w:tcPr>
            <w:shd w:val="clear" w:color="auto" w:fill="DCE6F2"/>
          </w:tcPr>
          <w:p>
            <w:pPr>
              <w:pStyle w:val="Compact"/>
              <w:jc w:val="left"/>
            </w:pPr>
            <w:r>
              <w:rPr>
                <w:b/>
                <w:sz w:val="19"/>
              </w:rPr>
              <w:t xml:space="preserve">Content</w:t>
            </w:r>
          </w:p>
        </w:tc>
        <w:tc>
          <w:tcPr>
            <w:shd w:val="clear" w:color="auto" w:fill="DCE6F2"/>
          </w:tcPr>
          <w:p>
            <w:pPr>
              <w:pStyle w:val="Compact"/>
              <w:jc w:val="left"/>
            </w:pPr>
            <w:r>
              <w:rPr>
                <w:b/>
                <w:sz w:val="19"/>
              </w:rPr>
              <w:t xml:space="preserve">Features</w:t>
            </w:r>
          </w:p>
        </w:tc>
        <w:tc>
          <w:tcPr>
            <w:shd w:val="clear" w:color="auto" w:fill="DCE6F2"/>
          </w:tcPr>
          <w:p>
            <w:pPr>
              <w:pStyle w:val="Compact"/>
              <w:jc w:val="left"/>
            </w:pPr>
            <w:r>
              <w:rPr>
                <w:b/>
                <w:sz w:val="19"/>
              </w:rPr>
              <w:t xml:space="preserve">Days</w:t>
            </w:r>
          </w:p>
        </w:tc>
      </w:tr>
      <w:tr>
        <w:tc>
          <w:tcPr/>
          <w:p>
            <w:pPr>
              <w:pStyle w:val="Compact"/>
              <w:jc w:val="left"/>
            </w:pPr>
            <w:r>
              <w:rPr>
                <w:sz w:val="19"/>
              </w:rPr>
              <w:t xml:space="preserve">0</w:t>
            </w:r>
          </w:p>
        </w:tc>
        <w:tc>
          <w:tcPr/>
          <w:p>
            <w:pPr>
              <w:pStyle w:val="Compact"/>
              <w:jc w:val="left"/>
            </w:pPr>
            <w:r>
              <w:rPr>
                <w:sz w:val="19"/>
              </w:rPr>
              <w:t xml:space="preserve">Branch, baseline tests, fixtures from a real scan</w:t>
            </w:r>
          </w:p>
        </w:tc>
        <w:tc>
          <w:tcPr/>
          <w:p>
            <w:pPr>
              <w:pStyle w:val="Compact"/>
            </w:pPr>
          </w:p>
        </w:tc>
        <w:tc>
          <w:tcPr/>
          <w:p>
            <w:pPr>
              <w:pStyle w:val="Compact"/>
              <w:jc w:val="left"/>
            </w:pPr>
            <w:r>
              <w:rPr>
                <w:sz w:val="19"/>
              </w:rPr>
              <w:t xml:space="preserve">1</w:t>
            </w:r>
          </w:p>
        </w:tc>
      </w:tr>
      <w:tr>
        <w:tc>
          <w:tcPr/>
          <w:p>
            <w:pPr>
              <w:pStyle w:val="Compact"/>
              <w:jc w:val="left"/>
            </w:pPr>
            <w:r>
              <w:rPr>
                <w:sz w:val="19"/>
              </w:rPr>
              <w:t xml:space="preserve">1</w:t>
            </w:r>
          </w:p>
        </w:tc>
        <w:tc>
          <w:tcPr/>
          <w:p>
            <w:pPr>
              <w:pStyle w:val="Compact"/>
              <w:jc w:val="left"/>
            </w:pPr>
            <w:r>
              <w:rPr>
                <w:sz w:val="19"/>
              </w:rPr>
              <w:t xml:space="preserve">Foundation: fingerprints, lifecycle, deduplication, history, risk register, plan, settings store, CloudTrail fix</w:t>
            </w:r>
          </w:p>
        </w:tc>
        <w:tc>
          <w:tcPr/>
          <w:p>
            <w:pPr>
              <w:pStyle w:val="Compact"/>
              <w:jc w:val="left"/>
            </w:pPr>
            <w:r>
              <w:rPr>
                <w:sz w:val="19"/>
              </w:rPr>
              <w:t xml:space="preserve">F1 to F5, F8, F16</w:t>
            </w:r>
          </w:p>
        </w:tc>
        <w:tc>
          <w:tcPr/>
          <w:p>
            <w:pPr>
              <w:pStyle w:val="Compact"/>
              <w:jc w:val="left"/>
            </w:pPr>
            <w:r>
              <w:rPr>
                <w:sz w:val="19"/>
              </w:rPr>
              <w:t xml:space="preserve">7 to 9</w:t>
            </w:r>
          </w:p>
        </w:tc>
      </w:tr>
      <w:tr>
        <w:tc>
          <w:tcPr/>
          <w:p>
            <w:pPr>
              <w:pStyle w:val="Compact"/>
              <w:jc w:val="left"/>
            </w:pPr>
            <w:r>
              <w:rPr>
                <w:sz w:val="19"/>
              </w:rPr>
              <w:t xml:space="preserve">2</w:t>
            </w:r>
          </w:p>
        </w:tc>
        <w:tc>
          <w:tcPr/>
          <w:p>
            <w:pPr>
              <w:pStyle w:val="Compact"/>
              <w:jc w:val="left"/>
            </w:pPr>
            <w:r>
              <w:rPr>
                <w:sz w:val="19"/>
              </w:rPr>
              <w:t xml:space="preserve">Intelligence: attack paths, fix templates</w:t>
            </w:r>
          </w:p>
        </w:tc>
        <w:tc>
          <w:tcPr/>
          <w:p>
            <w:pPr>
              <w:pStyle w:val="Compact"/>
              <w:jc w:val="left"/>
            </w:pPr>
            <w:r>
              <w:rPr>
                <w:sz w:val="19"/>
              </w:rPr>
              <w:t xml:space="preserve">F6, F7</w:t>
            </w:r>
          </w:p>
        </w:tc>
        <w:tc>
          <w:tcPr/>
          <w:p>
            <w:pPr>
              <w:pStyle w:val="Compact"/>
              <w:jc w:val="left"/>
            </w:pPr>
            <w:r>
              <w:rPr>
                <w:sz w:val="19"/>
              </w:rPr>
              <w:t xml:space="preserve">6 to 8</w:t>
            </w:r>
          </w:p>
        </w:tc>
      </w:tr>
      <w:tr>
        <w:tc>
          <w:tcPr/>
          <w:p>
            <w:pPr>
              <w:pStyle w:val="Compact"/>
              <w:jc w:val="left"/>
            </w:pPr>
            <w:r>
              <w:rPr>
                <w:sz w:val="19"/>
              </w:rPr>
              <w:t xml:space="preserve">3</w:t>
            </w:r>
          </w:p>
        </w:tc>
        <w:tc>
          <w:tcPr/>
          <w:p>
            <w:pPr>
              <w:pStyle w:val="Compact"/>
              <w:jc w:val="left"/>
            </w:pPr>
            <w:r>
              <w:rPr>
                <w:sz w:val="19"/>
              </w:rPr>
              <w:t xml:space="preserve">Workflow: report engine and Word writer, approval, audit log, alerts, branding</w:t>
            </w:r>
          </w:p>
        </w:tc>
        <w:tc>
          <w:tcPr/>
          <w:p>
            <w:pPr>
              <w:pStyle w:val="Compact"/>
              <w:jc w:val="left"/>
            </w:pPr>
            <w:r>
              <w:rPr>
                <w:sz w:val="19"/>
              </w:rPr>
              <w:t xml:space="preserve">F9 to F13</w:t>
            </w:r>
          </w:p>
        </w:tc>
        <w:tc>
          <w:tcPr/>
          <w:p>
            <w:pPr>
              <w:pStyle w:val="Compact"/>
              <w:jc w:val="left"/>
            </w:pPr>
            <w:r>
              <w:rPr>
                <w:sz w:val="19"/>
              </w:rPr>
              <w:t xml:space="preserve">7 to 9</w:t>
            </w:r>
          </w:p>
        </w:tc>
      </w:tr>
      <w:tr>
        <w:tc>
          <w:tcPr/>
          <w:p>
            <w:pPr>
              <w:pStyle w:val="Compact"/>
              <w:jc w:val="left"/>
            </w:pPr>
            <w:r>
              <w:rPr>
                <w:sz w:val="19"/>
              </w:rPr>
              <w:t xml:space="preserve">4</w:t>
            </w:r>
          </w:p>
        </w:tc>
        <w:tc>
          <w:tcPr/>
          <w:p>
            <w:pPr>
              <w:pStyle w:val="Compact"/>
              <w:jc w:val="left"/>
            </w:pPr>
            <w:r>
              <w:rPr>
                <w:sz w:val="19"/>
              </w:rPr>
              <w:t xml:space="preserve">Platform: access hardening, HTTPS, quick audit, deep scan job</w:t>
            </w:r>
          </w:p>
        </w:tc>
        <w:tc>
          <w:tcPr/>
          <w:p>
            <w:pPr>
              <w:pStyle w:val="Compact"/>
              <w:jc w:val="left"/>
            </w:pPr>
            <w:r>
              <w:rPr>
                <w:sz w:val="19"/>
              </w:rPr>
              <w:t xml:space="preserve">F14, F15</w:t>
            </w:r>
          </w:p>
        </w:tc>
        <w:tc>
          <w:tcPr/>
          <w:p>
            <w:pPr>
              <w:pStyle w:val="Compact"/>
              <w:jc w:val="left"/>
            </w:pPr>
            <w:r>
              <w:rPr>
                <w:sz w:val="19"/>
              </w:rPr>
              <w:t xml:space="preserve">4 to 5</w:t>
            </w:r>
          </w:p>
        </w:tc>
      </w:tr>
      <w:tr>
        <w:tc>
          <w:tcPr/>
          <w:p>
            <w:pPr>
              <w:pStyle w:val="Compact"/>
              <w:jc w:val="left"/>
            </w:pPr>
            <w:r>
              <w:rPr>
                <w:sz w:val="19"/>
              </w:rPr>
              <w:t xml:space="preserve">5</w:t>
            </w:r>
          </w:p>
        </w:tc>
        <w:tc>
          <w:tcPr/>
          <w:p>
            <w:pPr>
              <w:pStyle w:val="Compact"/>
              <w:jc w:val="left"/>
            </w:pPr>
            <w:r>
              <w:rPr>
                <w:sz w:val="19"/>
              </w:rPr>
              <w:t xml:space="preserve">Portal redesign</w:t>
            </w:r>
          </w:p>
        </w:tc>
        <w:tc>
          <w:tcPr/>
          <w:p>
            <w:pPr>
              <w:pStyle w:val="Compact"/>
              <w:jc w:val="left"/>
            </w:pPr>
            <w:r>
              <w:rPr>
                <w:sz w:val="19"/>
              </w:rPr>
              <w:t xml:space="preserve">F17</w:t>
            </w:r>
          </w:p>
        </w:tc>
        <w:tc>
          <w:tcPr/>
          <w:p>
            <w:pPr>
              <w:pStyle w:val="Compact"/>
              <w:jc w:val="left"/>
            </w:pPr>
            <w:r>
              <w:rPr>
                <w:sz w:val="19"/>
              </w:rPr>
              <w:t xml:space="preserve">7 to 9</w:t>
            </w:r>
          </w:p>
        </w:tc>
      </w:tr>
      <w:tr>
        <w:tc>
          <w:tcPr/>
          <w:p>
            <w:pPr>
              <w:pStyle w:val="Compact"/>
              <w:jc w:val="left"/>
            </w:pPr>
            <w:r>
              <w:rPr>
                <w:sz w:val="19"/>
              </w:rPr>
              <w:t xml:space="preserve">6</w:t>
            </w:r>
          </w:p>
        </w:tc>
        <w:tc>
          <w:tcPr/>
          <w:p>
            <w:pPr>
              <w:pStyle w:val="Compact"/>
              <w:jc w:val="left"/>
            </w:pPr>
            <w:r>
              <w:rPr>
                <w:sz w:val="19"/>
              </w:rPr>
              <w:t xml:space="preserve">Local mode, demo mode, documents</w:t>
            </w:r>
          </w:p>
        </w:tc>
        <w:tc>
          <w:tcPr/>
          <w:p>
            <w:pPr>
              <w:pStyle w:val="Compact"/>
              <w:jc w:val="left"/>
            </w:pPr>
            <w:r>
              <w:rPr>
                <w:sz w:val="19"/>
              </w:rPr>
              <w:t xml:space="preserve">F18 to F20</w:t>
            </w:r>
          </w:p>
        </w:tc>
        <w:tc>
          <w:tcPr/>
          <w:p>
            <w:pPr>
              <w:pStyle w:val="Compact"/>
              <w:jc w:val="left"/>
            </w:pPr>
            <w:r>
              <w:rPr>
                <w:sz w:val="19"/>
              </w:rPr>
              <w:t xml:space="preserve">3 to 4</w:t>
            </w:r>
          </w:p>
        </w:tc>
      </w:tr>
      <w:tr>
        <w:tc>
          <w:tcPr/>
          <w:p>
            <w:pPr>
              <w:pStyle w:val="Compact"/>
              <w:jc w:val="left"/>
            </w:pPr>
            <w:r>
              <w:rPr>
                <w:sz w:val="19"/>
              </w:rPr>
              <w:t xml:space="preserve">7</w:t>
            </w:r>
          </w:p>
        </w:tc>
        <w:tc>
          <w:tcPr/>
          <w:p>
            <w:pPr>
              <w:pStyle w:val="Compact"/>
              <w:jc w:val="left"/>
            </w:pPr>
            <w:r>
              <w:rPr>
                <w:sz w:val="19"/>
              </w:rPr>
              <w:t xml:space="preserve">Verification on a real account of the free sources, fixes</w:t>
            </w:r>
          </w:p>
        </w:tc>
        <w:tc>
          <w:tcPr/>
          <w:p>
            <w:pPr>
              <w:pStyle w:val="Compact"/>
            </w:pPr>
          </w:p>
        </w:tc>
        <w:tc>
          <w:tcPr/>
          <w:p>
            <w:pPr>
              <w:pStyle w:val="Compact"/>
              <w:jc w:val="left"/>
            </w:pPr>
            <w:r>
              <w:rPr>
                <w:sz w:val="19"/>
              </w:rPr>
              <w:t xml:space="preserve">3 to 4</w:t>
            </w:r>
          </w:p>
        </w:tc>
      </w:tr>
      <w:tr>
        <w:tc>
          <w:tcPr/>
          <w:p>
            <w:pPr>
              <w:pStyle w:val="Compact"/>
              <w:jc w:val="left"/>
            </w:pPr>
            <w:r>
              <w:rPr>
                <w:sz w:val="19"/>
              </w:rPr>
              <w:t xml:space="preserve">8</w:t>
            </w:r>
          </w:p>
        </w:tc>
        <w:tc>
          <w:tcPr/>
          <w:p>
            <w:pPr>
              <w:pStyle w:val="Compact"/>
              <w:jc w:val="left"/>
            </w:pPr>
            <w:r>
              <w:rPr>
                <w:sz w:val="19"/>
              </w:rPr>
              <w:t xml:space="preserve">Native readers: Security Hub, then GuardDuty, Inspector, Access Analyzer; native dedupe mapping</w:t>
            </w:r>
          </w:p>
        </w:tc>
        <w:tc>
          <w:tcPr/>
          <w:p>
            <w:pPr>
              <w:pStyle w:val="Compact"/>
              <w:jc w:val="left"/>
            </w:pPr>
            <w:r>
              <w:rPr>
                <w:sz w:val="19"/>
              </w:rPr>
              <w:t xml:space="preserve">P1 to P5</w:t>
            </w:r>
          </w:p>
        </w:tc>
        <w:tc>
          <w:tcPr/>
          <w:p>
            <w:pPr>
              <w:pStyle w:val="Compact"/>
              <w:jc w:val="left"/>
            </w:pPr>
            <w:r>
              <w:rPr>
                <w:sz w:val="19"/>
              </w:rPr>
              <w:t xml:space="preserve">7 to 9</w:t>
            </w:r>
          </w:p>
        </w:tc>
      </w:tr>
      <w:tr>
        <w:tc>
          <w:tcPr/>
          <w:p>
            <w:pPr>
              <w:pStyle w:val="Compact"/>
              <w:jc w:val="left"/>
            </w:pPr>
            <w:r>
              <w:rPr>
                <w:sz w:val="19"/>
              </w:rPr>
              <w:t xml:space="preserve">9</w:t>
            </w:r>
          </w:p>
        </w:tc>
        <w:tc>
          <w:tcPr/>
          <w:p>
            <w:pPr>
              <w:pStyle w:val="Compact"/>
              <w:jc w:val="left"/>
            </w:pPr>
            <w:r>
              <w:rPr>
                <w:sz w:val="19"/>
              </w:rPr>
              <w:t xml:space="preserve">Enriched paths, threat panel, vulnerabilities tab, live integration page</w:t>
            </w:r>
          </w:p>
        </w:tc>
        <w:tc>
          <w:tcPr/>
          <w:p>
            <w:pPr>
              <w:pStyle w:val="Compact"/>
              <w:jc w:val="left"/>
            </w:pPr>
            <w:r>
              <w:rPr>
                <w:sz w:val="19"/>
              </w:rPr>
              <w:t xml:space="preserve">P6, P7</w:t>
            </w:r>
          </w:p>
        </w:tc>
        <w:tc>
          <w:tcPr/>
          <w:p>
            <w:pPr>
              <w:pStyle w:val="Compact"/>
              <w:jc w:val="left"/>
            </w:pPr>
            <w:r>
              <w:rPr>
                <w:sz w:val="19"/>
              </w:rPr>
              <w:t xml:space="preserve">3 to 4</w:t>
            </w:r>
          </w:p>
        </w:tc>
      </w:tr>
      <w:tr>
        <w:tc>
          <w:tcPr/>
          <w:p>
            <w:pPr>
              <w:pStyle w:val="Compact"/>
              <w:jc w:val="left"/>
            </w:pPr>
            <w:r>
              <w:rPr>
                <w:sz w:val="19"/>
              </w:rPr>
              <w:t xml:space="preserve">10</w:t>
            </w:r>
          </w:p>
        </w:tc>
        <w:tc>
          <w:tcPr/>
          <w:p>
            <w:pPr>
              <w:pStyle w:val="Compact"/>
              <w:jc w:val="left"/>
            </w:pPr>
            <w:r>
              <w:rPr>
                <w:sz w:val="19"/>
              </w:rPr>
              <w:t xml:space="preserve">Verification of native readers in an account with the services enabled, fixes, handover</w:t>
            </w:r>
          </w:p>
        </w:tc>
        <w:tc>
          <w:tcPr/>
          <w:p>
            <w:pPr>
              <w:pStyle w:val="Compact"/>
            </w:pPr>
          </w:p>
        </w:tc>
        <w:tc>
          <w:tcPr/>
          <w:p>
            <w:pPr>
              <w:pStyle w:val="Compact"/>
              <w:jc w:val="left"/>
            </w:pPr>
            <w:r>
              <w:rPr>
                <w:sz w:val="19"/>
              </w:rPr>
              <w:t xml:space="preserve">3 to 4</w:t>
            </w:r>
          </w:p>
        </w:tc>
      </w:tr>
      <w:tr>
        <w:tc>
          <w:tcPr/>
          <w:p>
            <w:pPr>
              <w:pStyle w:val="Compact"/>
            </w:pPr>
          </w:p>
        </w:tc>
        <w:tc>
          <w:tcPr/>
          <w:p>
            <w:pPr>
              <w:pStyle w:val="Compact"/>
              <w:jc w:val="left"/>
            </w:pPr>
            <w:r>
              <w:rPr>
                <w:bCs/>
                <w:b/>
                <w:sz w:val="19"/>
              </w:rPr>
              <w:t xml:space="preserve">Total</w:t>
            </w:r>
          </w:p>
        </w:tc>
        <w:tc>
          <w:tcPr/>
          <w:p>
            <w:pPr>
              <w:pStyle w:val="Compact"/>
            </w:pPr>
          </w:p>
        </w:tc>
        <w:tc>
          <w:tcPr/>
          <w:p>
            <w:pPr>
              <w:pStyle w:val="Compact"/>
              <w:jc w:val="left"/>
            </w:pPr>
            <w:r>
              <w:rPr>
                <w:bCs/>
                <w:b/>
                <w:sz w:val="19"/>
              </w:rPr>
              <w:t xml:space="preserve">51 to 66</w:t>
            </w:r>
          </w:p>
        </w:tc>
      </w:tr>
    </w:tbl>
    <w:p>
      <w:pPr>
        <w:pStyle w:val="BodyText"/>
      </w:pPr>
      <w:r>
        <w:t xml:space="preserve">Phases 1 to 3 and 8 to 9 can be demonstrated on sample data. Phase 10 needs an AWS account where the native services are enabled; see section 11.</w:t>
      </w:r>
    </w:p>
    <w:bookmarkEnd w:id="47"/>
    <w:bookmarkStart w:id="48" w:name="acceptance-criteria"/>
    <w:p>
      <w:pPr>
        <w:pStyle w:val="Heading2"/>
      </w:pPr>
      <w:r>
        <w:t xml:space="preserve">10. Acceptance criteria</w:t>
      </w:r>
    </w:p>
    <w:p>
      <w:pPr>
        <w:pStyle w:val="FirstParagraph"/>
      </w:pPr>
      <w:r>
        <w:t xml:space="preserve">The build is accepted when every criterion below passes.</w:t>
      </w:r>
      <w:r>
        <w:t xml:space="preserve"> </w:t>
      </w:r>
      <w:r>
        <w:t xml:space="preserve">“</w:t>
      </w:r>
      <w:r>
        <w:t xml:space="preserve">Fixture</w:t>
      </w:r>
      <w:r>
        <w:t xml:space="preserve">”</w:t>
      </w:r>
      <w:r>
        <w:t xml:space="preserve"> </w:t>
      </w:r>
      <w:r>
        <w:t xml:space="preserve">means a recorded, anonymised scan or a sample data set that tests can run without AWS. Criteria AC-01 to AC-29 apply to the free sources and the base product; AC-P1 onward apply to the native readers.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633"/>
        <w:gridCol w:w="4276"/>
        <w:gridCol w:w="792"/>
        <w:gridCol w:w="2217"/>
      </w:tblGrid>
      <w:tr>
        <w:trPr>
          <w:tblHeader w:val="true"/>
        </w:trPr>
        <w:tc>
          <w:tcPr>
            <w:shd w:val="clear" w:color="auto" w:fill="DCE6F2"/>
          </w:tcPr>
          <w:p>
            <w:pPr>
              <w:pStyle w:val="Compact"/>
              <w:jc w:val="left"/>
            </w:pPr>
            <w:r>
              <w:rPr>
                <w:b/>
                <w:sz w:val="19"/>
              </w:rPr>
              <w:t xml:space="preserve">#</w:t>
            </w:r>
          </w:p>
        </w:tc>
        <w:tc>
          <w:tcPr>
            <w:shd w:val="clear" w:color="auto" w:fill="DCE6F2"/>
          </w:tcPr>
          <w:p>
            <w:pPr>
              <w:pStyle w:val="Compact"/>
              <w:jc w:val="left"/>
            </w:pPr>
            <w:r>
              <w:rPr>
                <w:b/>
                <w:sz w:val="19"/>
              </w:rPr>
              <w:t xml:space="preserve">Criterion</w:t>
            </w:r>
          </w:p>
        </w:tc>
        <w:tc>
          <w:tcPr>
            <w:shd w:val="clear" w:color="auto" w:fill="DCE6F2"/>
          </w:tcPr>
          <w:p>
            <w:pPr>
              <w:pStyle w:val="Compact"/>
              <w:jc w:val="left"/>
            </w:pPr>
            <w:r>
              <w:rPr>
                <w:b/>
                <w:sz w:val="19"/>
              </w:rPr>
              <w:t xml:space="preserve">Feature</w:t>
            </w:r>
          </w:p>
        </w:tc>
        <w:tc>
          <w:tcPr>
            <w:shd w:val="clear" w:color="auto" w:fill="DCE6F2"/>
          </w:tcPr>
          <w:p>
            <w:pPr>
              <w:pStyle w:val="Compact"/>
              <w:jc w:val="left"/>
            </w:pPr>
            <w:r>
              <w:rPr>
                <w:b/>
                <w:sz w:val="19"/>
              </w:rPr>
              <w:t xml:space="preserve">How it is checked</w:t>
            </w:r>
          </w:p>
        </w:tc>
      </w:tr>
      <w:tr>
        <w:tc>
          <w:tcPr/>
          <w:p>
            <w:pPr>
              <w:pStyle w:val="Compact"/>
              <w:jc w:val="left"/>
            </w:pPr>
            <w:r>
              <w:rPr>
                <w:sz w:val="19"/>
              </w:rPr>
              <w:t xml:space="preserve">AC-01</w:t>
            </w:r>
          </w:p>
        </w:tc>
        <w:tc>
          <w:tcPr/>
          <w:p>
            <w:pPr>
              <w:pStyle w:val="Compact"/>
              <w:jc w:val="left"/>
            </w:pPr>
            <w:r>
              <w:rPr>
                <w:sz w:val="19"/>
              </w:rPr>
              <w:t xml:space="preserve">Re-scanning an unchanged fixture gives identical finding IDs and unchanged first-seen times</w:t>
            </w:r>
          </w:p>
        </w:tc>
        <w:tc>
          <w:tcPr/>
          <w:p>
            <w:pPr>
              <w:pStyle w:val="Compact"/>
              <w:jc w:val="left"/>
            </w:pPr>
            <w:r>
              <w:rPr>
                <w:sz w:val="19"/>
              </w:rPr>
              <w:t xml:space="preserve">F1</w:t>
            </w:r>
          </w:p>
        </w:tc>
        <w:tc>
          <w:tcPr/>
          <w:p>
            <w:pPr>
              <w:pStyle w:val="Compact"/>
              <w:jc w:val="left"/>
            </w:pPr>
            <w:r>
              <w:rPr>
                <w:sz w:val="19"/>
              </w:rPr>
              <w:t xml:space="preserve">Automated test</w:t>
            </w:r>
          </w:p>
        </w:tc>
      </w:tr>
      <w:tr>
        <w:tc>
          <w:tcPr/>
          <w:p>
            <w:pPr>
              <w:pStyle w:val="Compact"/>
              <w:jc w:val="left"/>
            </w:pPr>
            <w:r>
              <w:rPr>
                <w:sz w:val="19"/>
              </w:rPr>
              <w:t xml:space="preserve">AC-02</w:t>
            </w:r>
          </w:p>
        </w:tc>
        <w:tc>
          <w:tcPr/>
          <w:p>
            <w:pPr>
              <w:pStyle w:val="Compact"/>
              <w:jc w:val="left"/>
            </w:pPr>
            <w:r>
              <w:rPr>
                <w:sz w:val="19"/>
              </w:rPr>
              <w:t xml:space="preserve">A finding absent from a later scan becomes</w:t>
            </w:r>
            <w:r>
              <w:rPr>
                <w:sz w:val="19"/>
              </w:rPr>
              <w:t xml:space="preserve"> </w:t>
            </w:r>
            <w:r>
              <w:rPr>
                <w:bCs/>
                <w:b/>
                <w:sz w:val="19"/>
              </w:rPr>
              <w:t xml:space="preserve">fixed</w:t>
            </w:r>
            <w:r>
              <w:rPr>
                <w:sz w:val="19"/>
              </w:rPr>
              <w:t xml:space="preserve"> </w:t>
            </w:r>
            <w:r>
              <w:rPr>
                <w:sz w:val="19"/>
              </w:rPr>
              <w:t xml:space="preserve">only if every source that reported it ran in that scan</w:t>
            </w:r>
          </w:p>
        </w:tc>
        <w:tc>
          <w:tcPr/>
          <w:p>
            <w:pPr>
              <w:pStyle w:val="Compact"/>
              <w:jc w:val="left"/>
            </w:pPr>
            <w:r>
              <w:rPr>
                <w:sz w:val="19"/>
              </w:rPr>
              <w:t xml:space="preserve">F1</w:t>
            </w:r>
          </w:p>
        </w:tc>
        <w:tc>
          <w:tcPr/>
          <w:p>
            <w:pPr>
              <w:pStyle w:val="Compact"/>
              <w:jc w:val="left"/>
            </w:pPr>
            <w:r>
              <w:rPr>
                <w:sz w:val="19"/>
              </w:rPr>
              <w:t xml:space="preserve">Automated test with one source skipped</w:t>
            </w:r>
          </w:p>
        </w:tc>
      </w:tr>
      <w:tr>
        <w:tc>
          <w:tcPr/>
          <w:p>
            <w:pPr>
              <w:pStyle w:val="Compact"/>
              <w:jc w:val="left"/>
            </w:pPr>
            <w:r>
              <w:rPr>
                <w:sz w:val="19"/>
              </w:rPr>
              <w:t xml:space="preserve">AC-03</w:t>
            </w:r>
          </w:p>
        </w:tc>
        <w:tc>
          <w:tcPr/>
          <w:p>
            <w:pPr>
              <w:pStyle w:val="Compact"/>
              <w:jc w:val="left"/>
            </w:pPr>
            <w:r>
              <w:rPr>
                <w:sz w:val="19"/>
              </w:rPr>
              <w:t xml:space="preserve">A fixed finding that reappears becomes</w:t>
            </w:r>
            <w:r>
              <w:rPr>
                <w:sz w:val="19"/>
              </w:rPr>
              <w:t xml:space="preserve"> </w:t>
            </w:r>
            <w:r>
              <w:rPr>
                <w:bCs/>
                <w:b/>
                <w:sz w:val="19"/>
              </w:rPr>
              <w:t xml:space="preserve">regressed</w:t>
            </w:r>
            <w:r>
              <w:rPr>
                <w:sz w:val="19"/>
              </w:rPr>
              <w:t xml:space="preserve">, keeping its original first-seen</w:t>
            </w:r>
          </w:p>
        </w:tc>
        <w:tc>
          <w:tcPr/>
          <w:p>
            <w:pPr>
              <w:pStyle w:val="Compact"/>
              <w:jc w:val="left"/>
            </w:pPr>
            <w:r>
              <w:rPr>
                <w:sz w:val="19"/>
              </w:rPr>
              <w:t xml:space="preserve">F1</w:t>
            </w:r>
          </w:p>
        </w:tc>
        <w:tc>
          <w:tcPr/>
          <w:p>
            <w:pPr>
              <w:pStyle w:val="Compact"/>
              <w:jc w:val="left"/>
            </w:pPr>
            <w:r>
              <w:rPr>
                <w:sz w:val="19"/>
              </w:rPr>
              <w:t xml:space="preserve">Automated test</w:t>
            </w:r>
          </w:p>
        </w:tc>
      </w:tr>
      <w:tr>
        <w:tc>
          <w:tcPr/>
          <w:p>
            <w:pPr>
              <w:pStyle w:val="Compact"/>
              <w:jc w:val="left"/>
            </w:pPr>
            <w:r>
              <w:rPr>
                <w:sz w:val="19"/>
              </w:rPr>
              <w:t xml:space="preserve">AC-04</w:t>
            </w:r>
          </w:p>
        </w:tc>
        <w:tc>
          <w:tcPr/>
          <w:p>
            <w:pPr>
              <w:pStyle w:val="Compact"/>
              <w:jc w:val="left"/>
            </w:pPr>
            <w:r>
              <w:rPr>
                <w:sz w:val="19"/>
              </w:rPr>
              <w:t xml:space="preserve">A scoped audit changes only findings inside its scope</w:t>
            </w:r>
          </w:p>
        </w:tc>
        <w:tc>
          <w:tcPr/>
          <w:p>
            <w:pPr>
              <w:pStyle w:val="Compact"/>
              <w:jc w:val="left"/>
            </w:pPr>
            <w:r>
              <w:rPr>
                <w:sz w:val="19"/>
              </w:rPr>
              <w:t xml:space="preserve">F1</w:t>
            </w:r>
          </w:p>
        </w:tc>
        <w:tc>
          <w:tcPr/>
          <w:p>
            <w:pPr>
              <w:pStyle w:val="Compact"/>
              <w:jc w:val="left"/>
            </w:pPr>
            <w:r>
              <w:rPr>
                <w:sz w:val="19"/>
              </w:rPr>
              <w:t xml:space="preserve">Automated test</w:t>
            </w:r>
          </w:p>
        </w:tc>
      </w:tr>
      <w:tr>
        <w:tc>
          <w:tcPr/>
          <w:p>
            <w:pPr>
              <w:pStyle w:val="Compact"/>
              <w:jc w:val="left"/>
            </w:pPr>
            <w:r>
              <w:rPr>
                <w:sz w:val="19"/>
              </w:rPr>
              <w:t xml:space="preserve">AC-05</w:t>
            </w:r>
          </w:p>
        </w:tc>
        <w:tc>
          <w:tcPr/>
          <w:p>
            <w:pPr>
              <w:pStyle w:val="Compact"/>
              <w:jc w:val="left"/>
            </w:pPr>
            <w:r>
              <w:rPr>
                <w:sz w:val="19"/>
              </w:rPr>
              <w:t xml:space="preserve">Two sources reporting the same problem produce one finding listing both sources and the highest severity</w:t>
            </w:r>
          </w:p>
        </w:tc>
        <w:tc>
          <w:tcPr/>
          <w:p>
            <w:pPr>
              <w:pStyle w:val="Compact"/>
              <w:jc w:val="left"/>
            </w:pPr>
            <w:r>
              <w:rPr>
                <w:sz w:val="19"/>
              </w:rPr>
              <w:t xml:space="preserve">F2</w:t>
            </w:r>
          </w:p>
        </w:tc>
        <w:tc>
          <w:tcPr/>
          <w:p>
            <w:pPr>
              <w:pStyle w:val="Compact"/>
              <w:jc w:val="left"/>
            </w:pPr>
            <w:r>
              <w:rPr>
                <w:sz w:val="19"/>
              </w:rPr>
              <w:t xml:space="preserve">Automated test</w:t>
            </w:r>
          </w:p>
        </w:tc>
      </w:tr>
      <w:tr>
        <w:tc>
          <w:tcPr/>
          <w:p>
            <w:pPr>
              <w:pStyle w:val="Compact"/>
              <w:jc w:val="left"/>
            </w:pPr>
            <w:r>
              <w:rPr>
                <w:sz w:val="19"/>
              </w:rPr>
              <w:t xml:space="preserve">AC-06</w:t>
            </w:r>
          </w:p>
        </w:tc>
        <w:tc>
          <w:tcPr/>
          <w:p>
            <w:pPr>
              <w:pStyle w:val="Compact"/>
              <w:jc w:val="left"/>
            </w:pPr>
            <w:r>
              <w:rPr>
                <w:sz w:val="19"/>
              </w:rPr>
              <w:t xml:space="preserve">After three full scans the history returns three points; the change counts equal the true differences</w:t>
            </w:r>
          </w:p>
        </w:tc>
        <w:tc>
          <w:tcPr/>
          <w:p>
            <w:pPr>
              <w:pStyle w:val="Compact"/>
              <w:jc w:val="left"/>
            </w:pPr>
            <w:r>
              <w:rPr>
                <w:sz w:val="19"/>
              </w:rPr>
              <w:t xml:space="preserve">F3</w:t>
            </w:r>
          </w:p>
        </w:tc>
        <w:tc>
          <w:tcPr/>
          <w:p>
            <w:pPr>
              <w:pStyle w:val="Compact"/>
              <w:jc w:val="left"/>
            </w:pPr>
            <w:r>
              <w:rPr>
                <w:sz w:val="19"/>
              </w:rPr>
              <w:t xml:space="preserve">Automated test</w:t>
            </w:r>
          </w:p>
        </w:tc>
      </w:tr>
      <w:tr>
        <w:tc>
          <w:tcPr/>
          <w:p>
            <w:pPr>
              <w:pStyle w:val="Compact"/>
              <w:jc w:val="left"/>
            </w:pPr>
            <w:r>
              <w:rPr>
                <w:sz w:val="19"/>
              </w:rPr>
              <w:t xml:space="preserve">AC-07</w:t>
            </w:r>
          </w:p>
        </w:tc>
        <w:tc>
          <w:tcPr/>
          <w:p>
            <w:pPr>
              <w:pStyle w:val="Compact"/>
              <w:jc w:val="left"/>
            </w:pPr>
            <w:r>
              <w:rPr>
                <w:sz w:val="19"/>
              </w:rPr>
              <w:t xml:space="preserve">An accepted finding is excluded from the score and shown as accepted; after expiry it is open and an alert is queued</w:t>
            </w:r>
          </w:p>
        </w:tc>
        <w:tc>
          <w:tcPr/>
          <w:p>
            <w:pPr>
              <w:pStyle w:val="Compact"/>
              <w:jc w:val="left"/>
            </w:pPr>
            <w:r>
              <w:rPr>
                <w:sz w:val="19"/>
              </w:rPr>
              <w:t xml:space="preserve">F4</w:t>
            </w:r>
          </w:p>
        </w:tc>
        <w:tc>
          <w:tcPr/>
          <w:p>
            <w:pPr>
              <w:pStyle w:val="Compact"/>
              <w:jc w:val="left"/>
            </w:pPr>
            <w:r>
              <w:rPr>
                <w:sz w:val="19"/>
              </w:rPr>
              <w:t xml:space="preserve">Automated test</w:t>
            </w:r>
          </w:p>
        </w:tc>
      </w:tr>
      <w:tr>
        <w:tc>
          <w:tcPr/>
          <w:p>
            <w:pPr>
              <w:pStyle w:val="Compact"/>
              <w:jc w:val="left"/>
            </w:pPr>
            <w:r>
              <w:rPr>
                <w:sz w:val="19"/>
              </w:rPr>
              <w:t xml:space="preserve">AC-08</w:t>
            </w:r>
          </w:p>
        </w:tc>
        <w:tc>
          <w:tcPr/>
          <w:p>
            <w:pPr>
              <w:pStyle w:val="Compact"/>
              <w:jc w:val="left"/>
            </w:pPr>
            <w:r>
              <w:rPr>
                <w:sz w:val="19"/>
              </w:rPr>
              <w:t xml:space="preserve">Owner, effort and target date persist across a backend restart</w:t>
            </w:r>
          </w:p>
        </w:tc>
        <w:tc>
          <w:tcPr/>
          <w:p>
            <w:pPr>
              <w:pStyle w:val="Compact"/>
              <w:jc w:val="left"/>
            </w:pPr>
            <w:r>
              <w:rPr>
                <w:sz w:val="19"/>
              </w:rPr>
              <w:t xml:space="preserve">F5</w:t>
            </w:r>
          </w:p>
        </w:tc>
        <w:tc>
          <w:tcPr/>
          <w:p>
            <w:pPr>
              <w:pStyle w:val="Compact"/>
              <w:jc w:val="left"/>
            </w:pPr>
            <w:r>
              <w:rPr>
                <w:sz w:val="19"/>
              </w:rPr>
              <w:t xml:space="preserve">Test against the store</w:t>
            </w:r>
          </w:p>
        </w:tc>
      </w:tr>
      <w:tr>
        <w:tc>
          <w:tcPr/>
          <w:p>
            <w:pPr>
              <w:pStyle w:val="Compact"/>
              <w:jc w:val="left"/>
            </w:pPr>
            <w:r>
              <w:rPr>
                <w:sz w:val="19"/>
              </w:rPr>
              <w:t xml:space="preserve">AC-09</w:t>
            </w:r>
          </w:p>
        </w:tc>
        <w:tc>
          <w:tcPr/>
          <w:p>
            <w:pPr>
              <w:pStyle w:val="Compact"/>
              <w:jc w:val="left"/>
            </w:pPr>
            <w:r>
              <w:rPr>
                <w:sz w:val="19"/>
              </w:rPr>
              <w:t xml:space="preserve">Weights that do not sum to 1 are rejected; a valid change alters the next scores</w:t>
            </w:r>
          </w:p>
        </w:tc>
        <w:tc>
          <w:tcPr/>
          <w:p>
            <w:pPr>
              <w:pStyle w:val="Compact"/>
              <w:jc w:val="left"/>
            </w:pPr>
            <w:r>
              <w:rPr>
                <w:sz w:val="19"/>
              </w:rPr>
              <w:t xml:space="preserve">F8</w:t>
            </w:r>
          </w:p>
        </w:tc>
        <w:tc>
          <w:tcPr/>
          <w:p>
            <w:pPr>
              <w:pStyle w:val="Compact"/>
              <w:jc w:val="left"/>
            </w:pPr>
            <w:r>
              <w:rPr>
                <w:sz w:val="19"/>
              </w:rPr>
              <w:t xml:space="preserve">Automated test</w:t>
            </w:r>
          </w:p>
        </w:tc>
      </w:tr>
      <w:tr>
        <w:tc>
          <w:tcPr/>
          <w:p>
            <w:pPr>
              <w:pStyle w:val="Compact"/>
              <w:jc w:val="left"/>
            </w:pPr>
            <w:r>
              <w:rPr>
                <w:sz w:val="19"/>
              </w:rPr>
              <w:t xml:space="preserve">AC-10</w:t>
            </w:r>
          </w:p>
        </w:tc>
        <w:tc>
          <w:tcPr/>
          <w:p>
            <w:pPr>
              <w:pStyle w:val="Compact"/>
              <w:jc w:val="left"/>
            </w:pPr>
            <w:r>
              <w:rPr>
                <w:sz w:val="19"/>
              </w:rPr>
              <w:t xml:space="preserve">Each of the six attack paths is detected when its conditions hold and absent when any one condition is removed</w:t>
            </w:r>
          </w:p>
        </w:tc>
        <w:tc>
          <w:tcPr/>
          <w:p>
            <w:pPr>
              <w:pStyle w:val="Compact"/>
              <w:jc w:val="left"/>
            </w:pPr>
            <w:r>
              <w:rPr>
                <w:sz w:val="19"/>
              </w:rPr>
              <w:t xml:space="preserve">F6</w:t>
            </w:r>
          </w:p>
        </w:tc>
        <w:tc>
          <w:tcPr/>
          <w:p>
            <w:pPr>
              <w:pStyle w:val="Compact"/>
              <w:jc w:val="left"/>
            </w:pPr>
            <w:r>
              <w:rPr>
                <w:sz w:val="19"/>
              </w:rPr>
              <w:t xml:space="preserve">Automated test per path</w:t>
            </w:r>
          </w:p>
        </w:tc>
      </w:tr>
      <w:tr>
        <w:tc>
          <w:tcPr/>
          <w:p>
            <w:pPr>
              <w:pStyle w:val="Compact"/>
              <w:jc w:val="left"/>
            </w:pPr>
            <w:r>
              <w:rPr>
                <w:sz w:val="19"/>
              </w:rPr>
              <w:t xml:space="preserve">AC-11</w:t>
            </w:r>
          </w:p>
        </w:tc>
        <w:tc>
          <w:tcPr/>
          <w:p>
            <w:pPr>
              <w:pStyle w:val="Compact"/>
              <w:jc w:val="left"/>
            </w:pPr>
            <w:r>
              <w:rPr>
                <w:sz w:val="19"/>
              </w:rPr>
              <w:t xml:space="preserve">Each fix template renders with no unresolved placeholder and carries the</w:t>
            </w:r>
            <w:r>
              <w:rPr>
                <w:sz w:val="19"/>
              </w:rPr>
              <w:t xml:space="preserve"> </w:t>
            </w:r>
            <w:r>
              <w:rPr>
                <w:sz w:val="19"/>
              </w:rPr>
              <w:t xml:space="preserve">“</w:t>
            </w:r>
            <w:r>
              <w:rPr>
                <w:sz w:val="19"/>
              </w:rPr>
              <w:t xml:space="preserve">review before applying</w:t>
            </w:r>
            <w:r>
              <w:rPr>
                <w:sz w:val="19"/>
              </w:rPr>
              <w:t xml:space="preserve">”</w:t>
            </w:r>
            <w:r>
              <w:rPr>
                <w:sz w:val="19"/>
              </w:rPr>
              <w:t xml:space="preserve"> </w:t>
            </w:r>
            <w:r>
              <w:rPr>
                <w:sz w:val="19"/>
              </w:rPr>
              <w:t xml:space="preserve">label</w:t>
            </w:r>
          </w:p>
        </w:tc>
        <w:tc>
          <w:tcPr/>
          <w:p>
            <w:pPr>
              <w:pStyle w:val="Compact"/>
              <w:jc w:val="left"/>
            </w:pPr>
            <w:r>
              <w:rPr>
                <w:sz w:val="19"/>
              </w:rPr>
              <w:t xml:space="preserve">F7</w:t>
            </w:r>
          </w:p>
        </w:tc>
        <w:tc>
          <w:tcPr/>
          <w:p>
            <w:pPr>
              <w:pStyle w:val="Compact"/>
              <w:jc w:val="left"/>
            </w:pPr>
            <w:r>
              <w:rPr>
                <w:sz w:val="19"/>
              </w:rPr>
              <w:t xml:space="preserve">Automated test over all templates</w:t>
            </w:r>
          </w:p>
        </w:tc>
      </w:tr>
      <w:tr>
        <w:tc>
          <w:tcPr/>
          <w:p>
            <w:pPr>
              <w:pStyle w:val="Compact"/>
              <w:jc w:val="left"/>
            </w:pPr>
            <w:r>
              <w:rPr>
                <w:sz w:val="19"/>
              </w:rPr>
              <w:t xml:space="preserve">AC-12</w:t>
            </w:r>
          </w:p>
        </w:tc>
        <w:tc>
          <w:tcPr/>
          <w:p>
            <w:pPr>
              <w:pStyle w:val="Compact"/>
              <w:jc w:val="left"/>
            </w:pPr>
            <w:r>
              <w:rPr>
                <w:sz w:val="19"/>
              </w:rPr>
              <w:t xml:space="preserve">The Word report opens in Word and in LibreOffice without a repair prompt, and has the same figures as the Markdown and HTML versions</w:t>
            </w:r>
          </w:p>
        </w:tc>
        <w:tc>
          <w:tcPr/>
          <w:p>
            <w:pPr>
              <w:pStyle w:val="Compact"/>
              <w:jc w:val="left"/>
            </w:pPr>
            <w:r>
              <w:rPr>
                <w:sz w:val="19"/>
              </w:rPr>
              <w:t xml:space="preserve">F9</w:t>
            </w:r>
          </w:p>
        </w:tc>
        <w:tc>
          <w:tcPr/>
          <w:p>
            <w:pPr>
              <w:pStyle w:val="Compact"/>
              <w:jc w:val="left"/>
            </w:pPr>
            <w:r>
              <w:rPr>
                <w:sz w:val="19"/>
              </w:rPr>
              <w:t xml:space="preserve">Automated structure test plus manual open</w:t>
            </w:r>
          </w:p>
        </w:tc>
      </w:tr>
      <w:tr>
        <w:tc>
          <w:tcPr/>
          <w:p>
            <w:pPr>
              <w:pStyle w:val="Compact"/>
              <w:jc w:val="left"/>
            </w:pPr>
            <w:r>
              <w:rPr>
                <w:sz w:val="19"/>
              </w:rPr>
              <w:t xml:space="preserve">AC-13</w:t>
            </w:r>
          </w:p>
        </w:tc>
        <w:tc>
          <w:tcPr/>
          <w:p>
            <w:pPr>
              <w:pStyle w:val="Compact"/>
              <w:jc w:val="left"/>
            </w:pPr>
            <w:r>
              <w:rPr>
                <w:sz w:val="19"/>
              </w:rPr>
              <w:t xml:space="preserve">Report status moves only along draft, in review, approved or rejected; an approved report cannot be edited and downloads identically</w:t>
            </w:r>
          </w:p>
        </w:tc>
        <w:tc>
          <w:tcPr/>
          <w:p>
            <w:pPr>
              <w:pStyle w:val="Compact"/>
              <w:jc w:val="left"/>
            </w:pPr>
            <w:r>
              <w:rPr>
                <w:sz w:val="19"/>
              </w:rPr>
              <w:t xml:space="preserve">F10</w:t>
            </w:r>
          </w:p>
        </w:tc>
        <w:tc>
          <w:tcPr/>
          <w:p>
            <w:pPr>
              <w:pStyle w:val="Compact"/>
              <w:jc w:val="left"/>
            </w:pPr>
            <w:r>
              <w:rPr>
                <w:sz w:val="19"/>
              </w:rPr>
              <w:t xml:space="preserve">Automated test</w:t>
            </w:r>
          </w:p>
        </w:tc>
      </w:tr>
      <w:tr>
        <w:tc>
          <w:tcPr/>
          <w:p>
            <w:pPr>
              <w:pStyle w:val="Compact"/>
              <w:jc w:val="left"/>
            </w:pPr>
            <w:r>
              <w:rPr>
                <w:sz w:val="19"/>
              </w:rPr>
              <w:t xml:space="preserve">AC-14</w:t>
            </w:r>
          </w:p>
        </w:tc>
        <w:tc>
          <w:tcPr/>
          <w:p>
            <w:pPr>
              <w:pStyle w:val="Compact"/>
              <w:jc w:val="left"/>
            </w:pPr>
            <w:r>
              <w:rPr>
                <w:sz w:val="19"/>
              </w:rPr>
              <w:t xml:space="preserve">Each listed action writes one audit entry; export to CSV and JSON works</w:t>
            </w:r>
          </w:p>
        </w:tc>
        <w:tc>
          <w:tcPr/>
          <w:p>
            <w:pPr>
              <w:pStyle w:val="Compact"/>
              <w:jc w:val="left"/>
            </w:pPr>
            <w:r>
              <w:rPr>
                <w:sz w:val="19"/>
              </w:rPr>
              <w:t xml:space="preserve">F11</w:t>
            </w:r>
          </w:p>
        </w:tc>
        <w:tc>
          <w:tcPr/>
          <w:p>
            <w:pPr>
              <w:pStyle w:val="Compact"/>
              <w:jc w:val="left"/>
            </w:pPr>
            <w:r>
              <w:rPr>
                <w:sz w:val="19"/>
              </w:rPr>
              <w:t xml:space="preserve">Automated test</w:t>
            </w:r>
          </w:p>
        </w:tc>
      </w:tr>
      <w:tr>
        <w:tc>
          <w:tcPr/>
          <w:p>
            <w:pPr>
              <w:pStyle w:val="Compact"/>
              <w:jc w:val="left"/>
            </w:pPr>
            <w:r>
              <w:rPr>
                <w:sz w:val="19"/>
              </w:rPr>
              <w:t xml:space="preserve">AC-15</w:t>
            </w:r>
          </w:p>
        </w:tc>
        <w:tc>
          <w:tcPr/>
          <w:p>
            <w:pPr>
              <w:pStyle w:val="Compact"/>
              <w:jc w:val="left"/>
            </w:pPr>
            <w:r>
              <w:rPr>
                <w:sz w:val="19"/>
              </w:rPr>
              <w:t xml:space="preserve">A new critical finding sends one Slack message; a repeat scan sends none; a non-Slack or non-HTTPS URL is rejected</w:t>
            </w:r>
          </w:p>
        </w:tc>
        <w:tc>
          <w:tcPr/>
          <w:p>
            <w:pPr>
              <w:pStyle w:val="Compact"/>
              <w:jc w:val="left"/>
            </w:pPr>
            <w:r>
              <w:rPr>
                <w:sz w:val="19"/>
              </w:rPr>
              <w:t xml:space="preserve">F12</w:t>
            </w:r>
          </w:p>
        </w:tc>
        <w:tc>
          <w:tcPr/>
          <w:p>
            <w:pPr>
              <w:pStyle w:val="Compact"/>
              <w:jc w:val="left"/>
            </w:pPr>
            <w:r>
              <w:rPr>
                <w:sz w:val="19"/>
              </w:rPr>
              <w:t xml:space="preserve">Automated test with a stub server</w:t>
            </w:r>
          </w:p>
        </w:tc>
      </w:tr>
      <w:tr>
        <w:tc>
          <w:tcPr/>
          <w:p>
            <w:pPr>
              <w:pStyle w:val="Compact"/>
              <w:jc w:val="left"/>
            </w:pPr>
            <w:r>
              <w:rPr>
                <w:sz w:val="19"/>
              </w:rPr>
              <w:t xml:space="preserve">AC-16</w:t>
            </w:r>
          </w:p>
        </w:tc>
        <w:tc>
          <w:tcPr/>
          <w:p>
            <w:pPr>
              <w:pStyle w:val="Compact"/>
              <w:jc w:val="left"/>
            </w:pPr>
            <w:r>
              <w:rPr>
                <w:sz w:val="19"/>
              </w:rPr>
              <w:t xml:space="preserve">Branding set in Settings appears in the portal header and on every report</w:t>
            </w:r>
          </w:p>
        </w:tc>
        <w:tc>
          <w:tcPr/>
          <w:p>
            <w:pPr>
              <w:pStyle w:val="Compact"/>
              <w:jc w:val="left"/>
            </w:pPr>
            <w:r>
              <w:rPr>
                <w:sz w:val="19"/>
              </w:rPr>
              <w:t xml:space="preserve">F13</w:t>
            </w:r>
          </w:p>
        </w:tc>
        <w:tc>
          <w:tcPr/>
          <w:p>
            <w:pPr>
              <w:pStyle w:val="Compact"/>
              <w:jc w:val="left"/>
            </w:pPr>
            <w:r>
              <w:rPr>
                <w:sz w:val="19"/>
              </w:rPr>
              <w:t xml:space="preserve">Manual check</w:t>
            </w:r>
          </w:p>
        </w:tc>
      </w:tr>
      <w:tr>
        <w:tc>
          <w:tcPr/>
          <w:p>
            <w:pPr>
              <w:pStyle w:val="Compact"/>
              <w:jc w:val="left"/>
            </w:pPr>
            <w:r>
              <w:rPr>
                <w:sz w:val="19"/>
              </w:rPr>
              <w:t xml:space="preserve">AC-17</w:t>
            </w:r>
          </w:p>
        </w:tc>
        <w:tc>
          <w:tcPr/>
          <w:p>
            <w:pPr>
              <w:pStyle w:val="Compact"/>
              <w:jc w:val="left"/>
            </w:pPr>
            <w:r>
              <w:rPr>
                <w:sz w:val="19"/>
              </w:rPr>
              <w:t xml:space="preserve">A session issued by one backend replica is accepted by another; a token in a URL is refused; repeated bad logins are throttled</w:t>
            </w:r>
          </w:p>
        </w:tc>
        <w:tc>
          <w:tcPr/>
          <w:p>
            <w:pPr>
              <w:pStyle w:val="Compact"/>
              <w:jc w:val="left"/>
            </w:pPr>
            <w:r>
              <w:rPr>
                <w:sz w:val="19"/>
              </w:rPr>
              <w:t xml:space="preserve">F14</w:t>
            </w:r>
          </w:p>
        </w:tc>
        <w:tc>
          <w:tcPr/>
          <w:p>
            <w:pPr>
              <w:pStyle w:val="Compact"/>
              <w:jc w:val="left"/>
            </w:pPr>
            <w:r>
              <w:rPr>
                <w:sz w:val="19"/>
              </w:rPr>
              <w:t xml:space="preserve">Automated test</w:t>
            </w:r>
          </w:p>
        </w:tc>
      </w:tr>
      <w:tr>
        <w:tc>
          <w:tcPr/>
          <w:p>
            <w:pPr>
              <w:pStyle w:val="Compact"/>
              <w:jc w:val="left"/>
            </w:pPr>
            <w:r>
              <w:rPr>
                <w:sz w:val="19"/>
              </w:rPr>
              <w:t xml:space="preserve">AC-18</w:t>
            </w:r>
          </w:p>
        </w:tc>
        <w:tc>
          <w:tcPr/>
          <w:p>
            <w:pPr>
              <w:pStyle w:val="Compact"/>
              <w:jc w:val="left"/>
            </w:pPr>
            <w:r>
              <w:rPr>
                <w:sz w:val="19"/>
              </w:rPr>
              <w:t xml:space="preserve">With a certificate configured the load balancer redirects HTTP to HTTPS; with an allow-list, other source addresses are refused</w:t>
            </w:r>
          </w:p>
        </w:tc>
        <w:tc>
          <w:tcPr/>
          <w:p>
            <w:pPr>
              <w:pStyle w:val="Compact"/>
              <w:jc w:val="left"/>
            </w:pPr>
            <w:r>
              <w:rPr>
                <w:sz w:val="19"/>
              </w:rPr>
              <w:t xml:space="preserve">F14</w:t>
            </w:r>
          </w:p>
        </w:tc>
        <w:tc>
          <w:tcPr/>
          <w:p>
            <w:pPr>
              <w:pStyle w:val="Compact"/>
              <w:jc w:val="left"/>
            </w:pPr>
            <w:r>
              <w:rPr>
                <w:sz w:val="19"/>
              </w:rPr>
              <w:t xml:space="preserve">Deployment check</w:t>
            </w:r>
          </w:p>
        </w:tc>
      </w:tr>
      <w:tr>
        <w:tc>
          <w:tcPr/>
          <w:p>
            <w:pPr>
              <w:pStyle w:val="Compact"/>
              <w:jc w:val="left"/>
            </w:pPr>
            <w:r>
              <w:rPr>
                <w:sz w:val="19"/>
              </w:rPr>
              <w:t xml:space="preserve">AC-19</w:t>
            </w:r>
          </w:p>
        </w:tc>
        <w:tc>
          <w:tcPr/>
          <w:p>
            <w:pPr>
              <w:pStyle w:val="Compact"/>
              <w:jc w:val="left"/>
            </w:pPr>
            <w:r>
              <w:rPr>
                <w:sz w:val="19"/>
              </w:rPr>
              <w:t xml:space="preserve">Quick audit of one resource completes without full discovery and returns only that resource’s findings</w:t>
            </w:r>
          </w:p>
        </w:tc>
        <w:tc>
          <w:tcPr/>
          <w:p>
            <w:pPr>
              <w:pStyle w:val="Compact"/>
              <w:jc w:val="left"/>
            </w:pPr>
            <w:r>
              <w:rPr>
                <w:sz w:val="19"/>
              </w:rPr>
              <w:t xml:space="preserve">F15</w:t>
            </w:r>
          </w:p>
        </w:tc>
        <w:tc>
          <w:tcPr/>
          <w:p>
            <w:pPr>
              <w:pStyle w:val="Compact"/>
              <w:jc w:val="left"/>
            </w:pPr>
            <w:r>
              <w:rPr>
                <w:sz w:val="19"/>
              </w:rPr>
              <w:t xml:space="preserve">Automated test with a stub AWS layer; timing check on a live account</w:t>
            </w:r>
          </w:p>
        </w:tc>
      </w:tr>
      <w:tr>
        <w:tc>
          <w:tcPr/>
          <w:p>
            <w:pPr>
              <w:pStyle w:val="Compact"/>
              <w:jc w:val="left"/>
            </w:pPr>
            <w:r>
              <w:rPr>
                <w:sz w:val="19"/>
              </w:rPr>
              <w:t xml:space="preserve">AC-20</w:t>
            </w:r>
          </w:p>
        </w:tc>
        <w:tc>
          <w:tcPr/>
          <w:p>
            <w:pPr>
              <w:pStyle w:val="Compact"/>
              <w:jc w:val="left"/>
            </w:pPr>
            <w:r>
              <w:rPr>
                <w:sz w:val="19"/>
              </w:rPr>
              <w:t xml:space="preserve">Deep scan reports queued, running, completed or failed, rejects a second concurrent request, and ingests the result</w:t>
            </w:r>
          </w:p>
        </w:tc>
        <w:tc>
          <w:tcPr/>
          <w:p>
            <w:pPr>
              <w:pStyle w:val="Compact"/>
              <w:jc w:val="left"/>
            </w:pPr>
            <w:r>
              <w:rPr>
                <w:sz w:val="19"/>
              </w:rPr>
              <w:t xml:space="preserve">F15</w:t>
            </w:r>
          </w:p>
        </w:tc>
        <w:tc>
          <w:tcPr/>
          <w:p>
            <w:pPr>
              <w:pStyle w:val="Compact"/>
              <w:jc w:val="left"/>
            </w:pPr>
            <w:r>
              <w:rPr>
                <w:sz w:val="19"/>
              </w:rPr>
              <w:t xml:space="preserve">Stub Kubernetes API test; one live run on the cluster</w:t>
            </w:r>
          </w:p>
        </w:tc>
      </w:tr>
      <w:tr>
        <w:tc>
          <w:tcPr/>
          <w:p>
            <w:pPr>
              <w:pStyle w:val="Compact"/>
              <w:jc w:val="left"/>
            </w:pPr>
            <w:r>
              <w:rPr>
                <w:sz w:val="19"/>
              </w:rPr>
              <w:t xml:space="preserve">AC-21</w:t>
            </w:r>
          </w:p>
        </w:tc>
        <w:tc>
          <w:tcPr/>
          <w:p>
            <w:pPr>
              <w:pStyle w:val="Compact"/>
              <w:jc w:val="left"/>
            </w:pPr>
            <w:r>
              <w:rPr>
                <w:sz w:val="19"/>
              </w:rPr>
              <w:t xml:space="preserve">The CloudTrail card shows the real trail count; the EC2 page can filter to instances only</w:t>
            </w:r>
          </w:p>
        </w:tc>
        <w:tc>
          <w:tcPr/>
          <w:p>
            <w:pPr>
              <w:pStyle w:val="Compact"/>
              <w:jc w:val="left"/>
            </w:pPr>
            <w:r>
              <w:rPr>
                <w:sz w:val="19"/>
              </w:rPr>
              <w:t xml:space="preserve">F16</w:t>
            </w:r>
          </w:p>
        </w:tc>
        <w:tc>
          <w:tcPr/>
          <w:p>
            <w:pPr>
              <w:pStyle w:val="Compact"/>
              <w:jc w:val="left"/>
            </w:pPr>
            <w:r>
              <w:rPr>
                <w:sz w:val="19"/>
              </w:rPr>
              <w:t xml:space="preserve">Live check</w:t>
            </w:r>
          </w:p>
        </w:tc>
      </w:tr>
      <w:tr>
        <w:tc>
          <w:tcPr/>
          <w:p>
            <w:pPr>
              <w:pStyle w:val="Compact"/>
              <w:jc w:val="left"/>
            </w:pPr>
            <w:r>
              <w:rPr>
                <w:sz w:val="19"/>
              </w:rPr>
              <w:t xml:space="preserve">AC-22</w:t>
            </w:r>
          </w:p>
        </w:tc>
        <w:tc>
          <w:tcPr/>
          <w:p>
            <w:pPr>
              <w:pStyle w:val="Compact"/>
              <w:jc w:val="left"/>
            </w:pPr>
            <w:r>
              <w:rPr>
                <w:sz w:val="19"/>
              </w:rPr>
              <w:t xml:space="preserve">The portal has the eight navigation sections; every screen works by keyboard; text contrast meets WCAG AA</w:t>
            </w:r>
          </w:p>
        </w:tc>
        <w:tc>
          <w:tcPr/>
          <w:p>
            <w:pPr>
              <w:pStyle w:val="Compact"/>
              <w:jc w:val="left"/>
            </w:pPr>
            <w:r>
              <w:rPr>
                <w:sz w:val="19"/>
              </w:rPr>
              <w:t xml:space="preserve">F17</w:t>
            </w:r>
          </w:p>
        </w:tc>
        <w:tc>
          <w:tcPr/>
          <w:p>
            <w:pPr>
              <w:pStyle w:val="Compact"/>
              <w:jc w:val="left"/>
            </w:pPr>
            <w:r>
              <w:rPr>
                <w:sz w:val="19"/>
              </w:rPr>
              <w:t xml:space="preserve">Automated accessibility scan plus manual check</w:t>
            </w:r>
          </w:p>
        </w:tc>
      </w:tr>
      <w:tr>
        <w:tc>
          <w:tcPr/>
          <w:p>
            <w:pPr>
              <w:pStyle w:val="Compact"/>
              <w:jc w:val="left"/>
            </w:pPr>
            <w:r>
              <w:rPr>
                <w:sz w:val="19"/>
              </w:rPr>
              <w:t xml:space="preserve">AC-23</w:t>
            </w:r>
          </w:p>
        </w:tc>
        <w:tc>
          <w:tcPr/>
          <w:p>
            <w:pPr>
              <w:pStyle w:val="Compact"/>
              <w:jc w:val="left"/>
            </w:pPr>
            <w:r>
              <w:rPr>
                <w:rStyle w:val="VerbatimChar"/>
                <w:sz w:val="19"/>
              </w:rPr>
              <w:t xml:space="preserve">docker compose up</w:t>
            </w:r>
            <w:r>
              <w:rPr>
                <w:sz w:val="19"/>
              </w:rPr>
              <w:t xml:space="preserve"> </w:t>
            </w:r>
            <w:r>
              <w:rPr>
                <w:sz w:val="19"/>
              </w:rPr>
              <w:t xml:space="preserve">starts the portal from a fresh checkout</w:t>
            </w:r>
          </w:p>
        </w:tc>
        <w:tc>
          <w:tcPr/>
          <w:p>
            <w:pPr>
              <w:pStyle w:val="Compact"/>
              <w:jc w:val="left"/>
            </w:pPr>
            <w:r>
              <w:rPr>
                <w:sz w:val="19"/>
              </w:rPr>
              <w:t xml:space="preserve">F18</w:t>
            </w:r>
          </w:p>
        </w:tc>
        <w:tc>
          <w:tcPr/>
          <w:p>
            <w:pPr>
              <w:pStyle w:val="Compact"/>
              <w:jc w:val="left"/>
            </w:pPr>
            <w:r>
              <w:rPr>
                <w:sz w:val="19"/>
              </w:rPr>
              <w:t xml:space="preserve">Manual check</w:t>
            </w:r>
          </w:p>
        </w:tc>
      </w:tr>
      <w:tr>
        <w:tc>
          <w:tcPr/>
          <w:p>
            <w:pPr>
              <w:pStyle w:val="Compact"/>
              <w:jc w:val="left"/>
            </w:pPr>
            <w:r>
              <w:rPr>
                <w:sz w:val="19"/>
              </w:rPr>
              <w:t xml:space="preserve">AC-24</w:t>
            </w:r>
          </w:p>
        </w:tc>
        <w:tc>
          <w:tcPr/>
          <w:p>
            <w:pPr>
              <w:pStyle w:val="Compact"/>
              <w:jc w:val="left"/>
            </w:pPr>
            <w:r>
              <w:rPr>
                <w:sz w:val="19"/>
              </w:rPr>
              <w:t xml:space="preserve">In demo mode every page shows the demo banner, no AWS call is made, and no credential is needed</w:t>
            </w:r>
          </w:p>
        </w:tc>
        <w:tc>
          <w:tcPr/>
          <w:p>
            <w:pPr>
              <w:pStyle w:val="Compact"/>
              <w:jc w:val="left"/>
            </w:pPr>
            <w:r>
              <w:rPr>
                <w:sz w:val="19"/>
              </w:rPr>
              <w:t xml:space="preserve">F19</w:t>
            </w:r>
          </w:p>
        </w:tc>
        <w:tc>
          <w:tcPr/>
          <w:p>
            <w:pPr>
              <w:pStyle w:val="Compact"/>
              <w:jc w:val="left"/>
            </w:pPr>
            <w:r>
              <w:rPr>
                <w:sz w:val="19"/>
              </w:rPr>
              <w:t xml:space="preserve">Automated test plus manual check</w:t>
            </w:r>
          </w:p>
        </w:tc>
      </w:tr>
      <w:tr>
        <w:tc>
          <w:tcPr/>
          <w:p>
            <w:pPr>
              <w:pStyle w:val="Compact"/>
              <w:jc w:val="left"/>
            </w:pPr>
            <w:r>
              <w:rPr>
                <w:sz w:val="19"/>
              </w:rPr>
              <w:t xml:space="preserve">AC-25</w:t>
            </w:r>
          </w:p>
        </w:tc>
        <w:tc>
          <w:tcPr/>
          <w:p>
            <w:pPr>
              <w:pStyle w:val="Compact"/>
              <w:jc w:val="left"/>
            </w:pPr>
            <w:r>
              <w:rPr>
                <w:sz w:val="19"/>
              </w:rPr>
              <w:t xml:space="preserve">A new engineer deploys from the documents alone</w:t>
            </w:r>
          </w:p>
        </w:tc>
        <w:tc>
          <w:tcPr/>
          <w:p>
            <w:pPr>
              <w:pStyle w:val="Compact"/>
              <w:jc w:val="left"/>
            </w:pPr>
            <w:r>
              <w:rPr>
                <w:sz w:val="19"/>
              </w:rPr>
              <w:t xml:space="preserve">F20</w:t>
            </w:r>
          </w:p>
        </w:tc>
        <w:tc>
          <w:tcPr/>
          <w:p>
            <w:pPr>
              <w:pStyle w:val="Compact"/>
              <w:jc w:val="left"/>
            </w:pPr>
            <w:r>
              <w:rPr>
                <w:sz w:val="19"/>
              </w:rPr>
              <w:t xml:space="preserve">Walkthrough</w:t>
            </w:r>
          </w:p>
        </w:tc>
      </w:tr>
      <w:tr>
        <w:tc>
          <w:tcPr/>
          <w:p>
            <w:pPr>
              <w:pStyle w:val="Compact"/>
              <w:jc w:val="left"/>
            </w:pPr>
            <w:r>
              <w:rPr>
                <w:sz w:val="19"/>
              </w:rPr>
              <w:t xml:space="preserve">AC-26</w:t>
            </w:r>
          </w:p>
        </w:tc>
        <w:tc>
          <w:tcPr/>
          <w:p>
            <w:pPr>
              <w:pStyle w:val="Compact"/>
              <w:jc w:val="left"/>
            </w:pPr>
            <w:r>
              <w:rPr>
                <w:sz w:val="19"/>
              </w:rPr>
              <w:t xml:space="preserve">No API write or modify call is made to any client resource; the IAM policy has no write action except on the Nexogent table</w:t>
            </w:r>
          </w:p>
        </w:tc>
        <w:tc>
          <w:tcPr/>
          <w:p>
            <w:pPr>
              <w:pStyle w:val="Compact"/>
              <w:jc w:val="left"/>
            </w:pPr>
            <w:r>
              <w:rPr>
                <w:sz w:val="19"/>
              </w:rPr>
              <w:t xml:space="preserve">Safety</w:t>
            </w:r>
          </w:p>
        </w:tc>
        <w:tc>
          <w:tcPr/>
          <w:p>
            <w:pPr>
              <w:pStyle w:val="Compact"/>
              <w:jc w:val="left"/>
            </w:pPr>
            <w:r>
              <w:rPr>
                <w:sz w:val="19"/>
              </w:rPr>
              <w:t xml:space="preserve">Policy review and a search of the code</w:t>
            </w:r>
          </w:p>
        </w:tc>
      </w:tr>
      <w:tr>
        <w:tc>
          <w:tcPr/>
          <w:p>
            <w:pPr>
              <w:pStyle w:val="Compact"/>
              <w:jc w:val="left"/>
            </w:pPr>
            <w:r>
              <w:rPr>
                <w:sz w:val="19"/>
              </w:rPr>
              <w:t xml:space="preserve">AC-27</w:t>
            </w:r>
          </w:p>
        </w:tc>
        <w:tc>
          <w:tcPr/>
          <w:p>
            <w:pPr>
              <w:pStyle w:val="Compact"/>
              <w:jc w:val="left"/>
            </w:pPr>
            <w:r>
              <w:rPr>
                <w:sz w:val="19"/>
              </w:rPr>
              <w:t xml:space="preserve">The word</w:t>
            </w:r>
            <w:r>
              <w:rPr>
                <w:sz w:val="19"/>
              </w:rPr>
              <w:t xml:space="preserve"> </w:t>
            </w:r>
            <w:r>
              <w:rPr>
                <w:sz w:val="19"/>
              </w:rPr>
              <w:t xml:space="preserve">“</w:t>
            </w:r>
            <w:r>
              <w:rPr>
                <w:sz w:val="19"/>
              </w:rPr>
              <w:t xml:space="preserve">Bedrock</w:t>
            </w:r>
            <w:r>
              <w:rPr>
                <w:sz w:val="19"/>
              </w:rPr>
              <w:t xml:space="preserve">”</w:t>
            </w:r>
            <w:r>
              <w:rPr>
                <w:sz w:val="19"/>
              </w:rPr>
              <w:t xml:space="preserve"> </w:t>
            </w:r>
            <w:r>
              <w:rPr>
                <w:sz w:val="19"/>
              </w:rPr>
              <w:t xml:space="preserve">never appears as a source on any finding; every report number matches the underlying data</w:t>
            </w:r>
          </w:p>
        </w:tc>
        <w:tc>
          <w:tcPr/>
          <w:p>
            <w:pPr>
              <w:pStyle w:val="Compact"/>
              <w:jc w:val="left"/>
            </w:pPr>
            <w:r>
              <w:rPr>
                <w:sz w:val="19"/>
              </w:rPr>
              <w:t xml:space="preserve">Detection model</w:t>
            </w:r>
          </w:p>
        </w:tc>
        <w:tc>
          <w:tcPr/>
          <w:p>
            <w:pPr>
              <w:pStyle w:val="Compact"/>
              <w:jc w:val="left"/>
            </w:pPr>
            <w:r>
              <w:rPr>
                <w:sz w:val="19"/>
              </w:rPr>
              <w:t xml:space="preserve">Automated test</w:t>
            </w:r>
          </w:p>
        </w:tc>
      </w:tr>
      <w:tr>
        <w:tc>
          <w:tcPr/>
          <w:p>
            <w:pPr>
              <w:pStyle w:val="Compact"/>
              <w:jc w:val="left"/>
            </w:pPr>
            <w:r>
              <w:rPr>
                <w:sz w:val="19"/>
              </w:rPr>
              <w:t xml:space="preserve">AC-28</w:t>
            </w:r>
          </w:p>
        </w:tc>
        <w:tc>
          <w:tcPr/>
          <w:p>
            <w:pPr>
              <w:pStyle w:val="Compact"/>
              <w:jc w:val="left"/>
            </w:pPr>
            <w:r>
              <w:rPr>
                <w:sz w:val="19"/>
              </w:rPr>
              <w:t xml:space="preserve">All features work with Bedrock unavailable</w:t>
            </w:r>
          </w:p>
        </w:tc>
        <w:tc>
          <w:tcPr/>
          <w:p>
            <w:pPr>
              <w:pStyle w:val="Compact"/>
              <w:jc w:val="left"/>
            </w:pPr>
            <w:r>
              <w:rPr>
                <w:sz w:val="19"/>
              </w:rPr>
              <w:t xml:space="preserve">Detection model</w:t>
            </w:r>
          </w:p>
        </w:tc>
        <w:tc>
          <w:tcPr/>
          <w:p>
            <w:pPr>
              <w:pStyle w:val="Compact"/>
              <w:jc w:val="left"/>
            </w:pPr>
            <w:r>
              <w:rPr>
                <w:sz w:val="19"/>
              </w:rPr>
              <w:t xml:space="preserve">Run the test suite and a manual walkthrough with Bedrock off</w:t>
            </w:r>
          </w:p>
        </w:tc>
      </w:tr>
      <w:tr>
        <w:tc>
          <w:tcPr/>
          <w:p>
            <w:pPr>
              <w:pStyle w:val="Compact"/>
              <w:jc w:val="left"/>
            </w:pPr>
            <w:r>
              <w:rPr>
                <w:sz w:val="19"/>
              </w:rPr>
              <w:t xml:space="preserve">AC-29</w:t>
            </w:r>
          </w:p>
        </w:tc>
        <w:tc>
          <w:tcPr/>
          <w:p>
            <w:pPr>
              <w:pStyle w:val="Compact"/>
              <w:jc w:val="left"/>
            </w:pPr>
            <w:r>
              <w:rPr>
                <w:sz w:val="19"/>
              </w:rPr>
              <w:t xml:space="preserve">The build compiles, passes</w:t>
            </w:r>
            <w:r>
              <w:rPr>
                <w:sz w:val="19"/>
              </w:rPr>
              <w:t xml:space="preserve"> </w:t>
            </w:r>
            <w:r>
              <w:rPr>
                <w:rStyle w:val="VerbatimChar"/>
                <w:sz w:val="19"/>
              </w:rPr>
              <w:t xml:space="preserve">go vet</w:t>
            </w:r>
            <w:r>
              <w:rPr>
                <w:sz w:val="19"/>
              </w:rPr>
              <w:t xml:space="preserve"> </w:t>
            </w:r>
            <w:r>
              <w:rPr>
                <w:sz w:val="19"/>
              </w:rPr>
              <w:t xml:space="preserve">and all tests, and the portal builds without warnings</w:t>
            </w:r>
          </w:p>
        </w:tc>
        <w:tc>
          <w:tcPr/>
          <w:p>
            <w:pPr>
              <w:pStyle w:val="Compact"/>
              <w:jc w:val="left"/>
            </w:pPr>
            <w:r>
              <w:rPr>
                <w:sz w:val="19"/>
              </w:rPr>
              <w:t xml:space="preserve">All</w:t>
            </w:r>
          </w:p>
        </w:tc>
        <w:tc>
          <w:tcPr/>
          <w:p>
            <w:pPr>
              <w:pStyle w:val="Compact"/>
              <w:jc w:val="left"/>
            </w:pPr>
            <w:r>
              <w:rPr>
                <w:sz w:val="19"/>
              </w:rPr>
              <w:t xml:space="preserve">CI run</w:t>
            </w:r>
          </w:p>
        </w:tc>
      </w:tr>
      <w:tr>
        <w:tc>
          <w:tcPr/>
          <w:p>
            <w:pPr>
              <w:pStyle w:val="Compact"/>
              <w:jc w:val="left"/>
            </w:pPr>
            <w:r>
              <w:rPr>
                <w:sz w:val="19"/>
              </w:rPr>
              <w:t xml:space="preserve">AC-P1</w:t>
            </w:r>
          </w:p>
        </w:tc>
        <w:tc>
          <w:tcPr/>
          <w:p>
            <w:pPr>
              <w:pStyle w:val="Compact"/>
              <w:jc w:val="left"/>
            </w:pPr>
            <w:r>
              <w:rPr>
                <w:sz w:val="19"/>
              </w:rPr>
              <w:t xml:space="preserve">Recorded Security Hub findings normalise to the correct service, severity, control ID and product; suppressed and resolved findings are skipped</w:t>
            </w:r>
          </w:p>
        </w:tc>
        <w:tc>
          <w:tcPr/>
          <w:p>
            <w:pPr>
              <w:pStyle w:val="Compact"/>
              <w:jc w:val="left"/>
            </w:pPr>
            <w:r>
              <w:rPr>
                <w:sz w:val="19"/>
              </w:rPr>
              <w:t xml:space="preserve">P1</w:t>
            </w:r>
          </w:p>
        </w:tc>
        <w:tc>
          <w:tcPr/>
          <w:p>
            <w:pPr>
              <w:pStyle w:val="Compact"/>
              <w:jc w:val="left"/>
            </w:pPr>
            <w:r>
              <w:rPr>
                <w:sz w:val="19"/>
              </w:rPr>
              <w:t xml:space="preserve">Automated test on samples</w:t>
            </w:r>
          </w:p>
        </w:tc>
      </w:tr>
      <w:tr>
        <w:tc>
          <w:tcPr/>
          <w:p>
            <w:pPr>
              <w:pStyle w:val="Compact"/>
              <w:jc w:val="left"/>
            </w:pPr>
            <w:r>
              <w:rPr>
                <w:sz w:val="19"/>
              </w:rPr>
              <w:t xml:space="preserve">AC-P2</w:t>
            </w:r>
          </w:p>
        </w:tc>
        <w:tc>
          <w:tcPr/>
          <w:p>
            <w:pPr>
              <w:pStyle w:val="Compact"/>
              <w:jc w:val="left"/>
            </w:pPr>
            <w:r>
              <w:rPr>
                <w:sz w:val="19"/>
              </w:rPr>
              <w:t xml:space="preserve">Recorded GuardDuty findings map to severity bands and fill the Active threats panel; archived findings are skipped</w:t>
            </w:r>
          </w:p>
        </w:tc>
        <w:tc>
          <w:tcPr/>
          <w:p>
            <w:pPr>
              <w:pStyle w:val="Compact"/>
              <w:jc w:val="left"/>
            </w:pPr>
            <w:r>
              <w:rPr>
                <w:sz w:val="19"/>
              </w:rPr>
              <w:t xml:space="preserve">P2</w:t>
            </w:r>
          </w:p>
        </w:tc>
        <w:tc>
          <w:tcPr/>
          <w:p>
            <w:pPr>
              <w:pStyle w:val="Compact"/>
              <w:jc w:val="left"/>
            </w:pPr>
            <w:r>
              <w:rPr>
                <w:sz w:val="19"/>
              </w:rPr>
              <w:t xml:space="preserve">Automated test on samples</w:t>
            </w:r>
          </w:p>
        </w:tc>
      </w:tr>
      <w:tr>
        <w:tc>
          <w:tcPr/>
          <w:p>
            <w:pPr>
              <w:pStyle w:val="Compact"/>
              <w:jc w:val="left"/>
            </w:pPr>
            <w:r>
              <w:rPr>
                <w:sz w:val="19"/>
              </w:rPr>
              <w:t xml:space="preserve">AC-P3</w:t>
            </w:r>
          </w:p>
        </w:tc>
        <w:tc>
          <w:tcPr/>
          <w:p>
            <w:pPr>
              <w:pStyle w:val="Compact"/>
              <w:jc w:val="left"/>
            </w:pPr>
            <w:r>
              <w:rPr>
                <w:sz w:val="19"/>
              </w:rPr>
              <w:t xml:space="preserve">Recorded Inspector findings show CVE ID, package and fix version on the right resource; a known exploit raises reachability</w:t>
            </w:r>
          </w:p>
        </w:tc>
        <w:tc>
          <w:tcPr/>
          <w:p>
            <w:pPr>
              <w:pStyle w:val="Compact"/>
              <w:jc w:val="left"/>
            </w:pPr>
            <w:r>
              <w:rPr>
                <w:sz w:val="19"/>
              </w:rPr>
              <w:t xml:space="preserve">P3</w:t>
            </w:r>
          </w:p>
        </w:tc>
        <w:tc>
          <w:tcPr/>
          <w:p>
            <w:pPr>
              <w:pStyle w:val="Compact"/>
              <w:jc w:val="left"/>
            </w:pPr>
            <w:r>
              <w:rPr>
                <w:sz w:val="19"/>
              </w:rPr>
              <w:t xml:space="preserve">Automated test on samples</w:t>
            </w:r>
          </w:p>
        </w:tc>
      </w:tr>
      <w:tr>
        <w:tc>
          <w:tcPr/>
          <w:p>
            <w:pPr>
              <w:pStyle w:val="Compact"/>
              <w:jc w:val="left"/>
            </w:pPr>
            <w:r>
              <w:rPr>
                <w:sz w:val="19"/>
              </w:rPr>
              <w:t xml:space="preserve">AC-P4</w:t>
            </w:r>
          </w:p>
        </w:tc>
        <w:tc>
          <w:tcPr/>
          <w:p>
            <w:pPr>
              <w:pStyle w:val="Compact"/>
              <w:jc w:val="left"/>
            </w:pPr>
            <w:r>
              <w:rPr>
                <w:sz w:val="19"/>
              </w:rPr>
              <w:t xml:space="preserve">Recorded Access Analyzer findings map to the right service and a public finding gets exposure 1.0</w:t>
            </w:r>
          </w:p>
        </w:tc>
        <w:tc>
          <w:tcPr/>
          <w:p>
            <w:pPr>
              <w:pStyle w:val="Compact"/>
              <w:jc w:val="left"/>
            </w:pPr>
            <w:r>
              <w:rPr>
                <w:sz w:val="19"/>
              </w:rPr>
              <w:t xml:space="preserve">P4</w:t>
            </w:r>
          </w:p>
        </w:tc>
        <w:tc>
          <w:tcPr/>
          <w:p>
            <w:pPr>
              <w:pStyle w:val="Compact"/>
              <w:jc w:val="left"/>
            </w:pPr>
            <w:r>
              <w:rPr>
                <w:sz w:val="19"/>
              </w:rPr>
              <w:t xml:space="preserve">Automated test on samples</w:t>
            </w:r>
          </w:p>
        </w:tc>
      </w:tr>
      <w:tr>
        <w:tc>
          <w:tcPr/>
          <w:p>
            <w:pPr>
              <w:pStyle w:val="Compact"/>
              <w:jc w:val="left"/>
            </w:pPr>
            <w:r>
              <w:rPr>
                <w:sz w:val="19"/>
              </w:rPr>
              <w:t xml:space="preserve">AC-P5</w:t>
            </w:r>
          </w:p>
        </w:tc>
        <w:tc>
          <w:tcPr/>
          <w:p>
            <w:pPr>
              <w:pStyle w:val="Compact"/>
              <w:jc w:val="left"/>
            </w:pPr>
            <w:r>
              <w:rPr>
                <w:sz w:val="19"/>
              </w:rPr>
              <w:t xml:space="preserve">The same problem reported by own check, Prowler and Security Hub is one finding with three sources</w:t>
            </w:r>
          </w:p>
        </w:tc>
        <w:tc>
          <w:tcPr/>
          <w:p>
            <w:pPr>
              <w:pStyle w:val="Compact"/>
              <w:jc w:val="left"/>
            </w:pPr>
            <w:r>
              <w:rPr>
                <w:sz w:val="19"/>
              </w:rPr>
              <w:t xml:space="preserve">P5</w:t>
            </w:r>
          </w:p>
        </w:tc>
        <w:tc>
          <w:tcPr/>
          <w:p>
            <w:pPr>
              <w:pStyle w:val="Compact"/>
              <w:jc w:val="left"/>
            </w:pPr>
            <w:r>
              <w:rPr>
                <w:sz w:val="19"/>
              </w:rPr>
              <w:t xml:space="preserve">Automated test</w:t>
            </w:r>
          </w:p>
        </w:tc>
      </w:tr>
      <w:tr>
        <w:tc>
          <w:tcPr/>
          <w:p>
            <w:pPr>
              <w:pStyle w:val="Compact"/>
              <w:jc w:val="left"/>
            </w:pPr>
            <w:r>
              <w:rPr>
                <w:sz w:val="19"/>
              </w:rPr>
              <w:t xml:space="preserve">AC-P6</w:t>
            </w:r>
          </w:p>
        </w:tc>
        <w:tc>
          <w:tcPr/>
          <w:p>
            <w:pPr>
              <w:pStyle w:val="Compact"/>
              <w:jc w:val="left"/>
            </w:pPr>
            <w:r>
              <w:rPr>
                <w:sz w:val="19"/>
              </w:rPr>
              <w:t xml:space="preserve">A path with a known-exploit CVE or an active threat is labelled and ranked higher than the same path without it</w:t>
            </w:r>
          </w:p>
        </w:tc>
        <w:tc>
          <w:tcPr/>
          <w:p>
            <w:pPr>
              <w:pStyle w:val="Compact"/>
              <w:jc w:val="left"/>
            </w:pPr>
            <w:r>
              <w:rPr>
                <w:sz w:val="19"/>
              </w:rPr>
              <w:t xml:space="preserve">P6</w:t>
            </w:r>
          </w:p>
        </w:tc>
        <w:tc>
          <w:tcPr/>
          <w:p>
            <w:pPr>
              <w:pStyle w:val="Compact"/>
              <w:jc w:val="left"/>
            </w:pPr>
            <w:r>
              <w:rPr>
                <w:sz w:val="19"/>
              </w:rPr>
              <w:t xml:space="preserve">Automated test</w:t>
            </w:r>
          </w:p>
        </w:tc>
      </w:tr>
      <w:tr>
        <w:tc>
          <w:tcPr/>
          <w:p>
            <w:pPr>
              <w:pStyle w:val="Compact"/>
              <w:jc w:val="left"/>
            </w:pPr>
            <w:r>
              <w:rPr>
                <w:sz w:val="19"/>
              </w:rPr>
              <w:t xml:space="preserve">AC-P7</w:t>
            </w:r>
          </w:p>
        </w:tc>
        <w:tc>
          <w:tcPr/>
          <w:p>
            <w:pPr>
              <w:pStyle w:val="Compact"/>
              <w:jc w:val="left"/>
            </w:pPr>
            <w:r>
              <w:rPr>
                <w:sz w:val="19"/>
              </w:rPr>
              <w:t xml:space="preserve">The integration page shows the correct state for each service in a test account, and no toggle calls an AWS write action</w:t>
            </w:r>
          </w:p>
        </w:tc>
        <w:tc>
          <w:tcPr/>
          <w:p>
            <w:pPr>
              <w:pStyle w:val="Compact"/>
              <w:jc w:val="left"/>
            </w:pPr>
            <w:r>
              <w:rPr>
                <w:sz w:val="19"/>
              </w:rPr>
              <w:t xml:space="preserve">P7</w:t>
            </w:r>
          </w:p>
        </w:tc>
        <w:tc>
          <w:tcPr/>
          <w:p>
            <w:pPr>
              <w:pStyle w:val="Compact"/>
              <w:jc w:val="left"/>
            </w:pPr>
            <w:r>
              <w:rPr>
                <w:sz w:val="19"/>
              </w:rPr>
              <w:t xml:space="preserve">Live check; code search</w:t>
            </w:r>
          </w:p>
        </w:tc>
      </w:tr>
      <w:tr>
        <w:tc>
          <w:tcPr/>
          <w:p>
            <w:pPr>
              <w:pStyle w:val="Compact"/>
              <w:jc w:val="left"/>
            </w:pPr>
            <w:r>
              <w:rPr>
                <w:sz w:val="19"/>
              </w:rPr>
              <w:t xml:space="preserve">AC-P8</w:t>
            </w:r>
          </w:p>
        </w:tc>
        <w:tc>
          <w:tcPr/>
          <w:p>
            <w:pPr>
              <w:pStyle w:val="Compact"/>
              <w:jc w:val="left"/>
            </w:pPr>
            <w:r>
              <w:rPr>
                <w:sz w:val="19"/>
              </w:rPr>
              <w:t xml:space="preserve">A native reader that errors reports a source error and does not mark any of its findings fixed</w:t>
            </w:r>
          </w:p>
        </w:tc>
        <w:tc>
          <w:tcPr/>
          <w:p>
            <w:pPr>
              <w:pStyle w:val="Compact"/>
              <w:jc w:val="left"/>
            </w:pPr>
            <w:r>
              <w:rPr>
                <w:sz w:val="19"/>
              </w:rPr>
              <w:t xml:space="preserve">P1 to P4</w:t>
            </w:r>
          </w:p>
        </w:tc>
        <w:tc>
          <w:tcPr/>
          <w:p>
            <w:pPr>
              <w:pStyle w:val="Compact"/>
              <w:jc w:val="left"/>
            </w:pPr>
            <w:r>
              <w:rPr>
                <w:sz w:val="19"/>
              </w:rPr>
              <w:t xml:space="preserve">Automated test</w:t>
            </w:r>
          </w:p>
        </w:tc>
      </w:tr>
      <w:tr>
        <w:tc>
          <w:tcPr/>
          <w:p>
            <w:pPr>
              <w:pStyle w:val="Compact"/>
              <w:jc w:val="left"/>
            </w:pPr>
            <w:r>
              <w:rPr>
                <w:sz w:val="19"/>
              </w:rPr>
              <w:t xml:space="preserve">AC-P9</w:t>
            </w:r>
          </w:p>
        </w:tc>
        <w:tc>
          <w:tcPr/>
          <w:p>
            <w:pPr>
              <w:pStyle w:val="Compact"/>
              <w:jc w:val="left"/>
            </w:pPr>
            <w:r>
              <w:rPr>
                <w:sz w:val="19"/>
              </w:rPr>
              <w:t xml:space="preserve">With every native reader switched off, results are identical to the free build</w:t>
            </w:r>
          </w:p>
        </w:tc>
        <w:tc>
          <w:tcPr/>
          <w:p>
            <w:pPr>
              <w:pStyle w:val="Compact"/>
              <w:jc w:val="left"/>
            </w:pPr>
            <w:r>
              <w:rPr>
                <w:sz w:val="19"/>
              </w:rPr>
              <w:t xml:space="preserve">P1 to P7</w:t>
            </w:r>
          </w:p>
        </w:tc>
        <w:tc>
          <w:tcPr/>
          <w:p>
            <w:pPr>
              <w:pStyle w:val="Compact"/>
              <w:jc w:val="left"/>
            </w:pPr>
            <w:r>
              <w:rPr>
                <w:sz w:val="19"/>
              </w:rPr>
              <w:t xml:space="preserve">Automated test</w:t>
            </w:r>
          </w:p>
        </w:tc>
      </w:tr>
      <w:tr>
        <w:tc>
          <w:tcPr/>
          <w:p>
            <w:pPr>
              <w:pStyle w:val="Compact"/>
              <w:jc w:val="left"/>
            </w:pPr>
            <w:r>
              <w:rPr>
                <w:sz w:val="19"/>
              </w:rPr>
              <w:t xml:space="preserve">AC-P10</w:t>
            </w:r>
          </w:p>
        </w:tc>
        <w:tc>
          <w:tcPr/>
          <w:p>
            <w:pPr>
              <w:pStyle w:val="Compact"/>
              <w:jc w:val="left"/>
            </w:pPr>
            <w:r>
              <w:rPr>
                <w:sz w:val="19"/>
              </w:rPr>
              <w:t xml:space="preserve">Live: in an account with the native services enabled, the number of findings Nexogent shows for each service equals the number the service reports as active, within the recorded read time</w:t>
            </w:r>
          </w:p>
        </w:tc>
        <w:tc>
          <w:tcPr/>
          <w:p>
            <w:pPr>
              <w:pStyle w:val="Compact"/>
              <w:jc w:val="left"/>
            </w:pPr>
            <w:r>
              <w:rPr>
                <w:sz w:val="19"/>
              </w:rPr>
              <w:t xml:space="preserve">P1 to P4</w:t>
            </w:r>
          </w:p>
        </w:tc>
        <w:tc>
          <w:tcPr/>
          <w:p>
            <w:pPr>
              <w:pStyle w:val="Compact"/>
              <w:jc w:val="left"/>
            </w:pPr>
            <w:r>
              <w:rPr>
                <w:sz w:val="19"/>
              </w:rPr>
              <w:t xml:space="preserve">Live check</w:t>
            </w:r>
          </w:p>
        </w:tc>
      </w:tr>
    </w:tbl>
    <w:bookmarkEnd w:id="48"/>
    <w:bookmarkStart w:id="52" w:name="assumptions-dependencies-and-risks"/>
    <w:p>
      <w:pPr>
        <w:pStyle w:val="Heading2"/>
      </w:pPr>
      <w:r>
        <w:t xml:space="preserve">11. Assumptions, dependencies and risks</w:t>
      </w:r>
    </w:p>
    <w:bookmarkStart w:id="49" w:name="assumptions"/>
    <w:p>
      <w:pPr>
        <w:pStyle w:val="Heading3"/>
      </w:pPr>
      <w:r>
        <w:t xml:space="preserve">11.1 Assumptions</w:t>
      </w:r>
    </w:p>
    <w:p>
      <w:pPr>
        <w:numPr>
          <w:ilvl w:val="0"/>
          <w:numId w:val="1007"/>
        </w:numPr>
        <w:pStyle w:val="Compact"/>
      </w:pPr>
      <w:r>
        <w:t xml:space="preserve">One AWS account per deployment, with an existing EKS cluster, an OIDC provider, the EBS CSI driver and the AWS Load Balancer Controller (see</w:t>
      </w:r>
      <w:r>
        <w:t xml:space="preserve"> </w:t>
      </w:r>
      <w:r>
        <w:rPr>
          <w:rStyle w:val="VerbatimChar"/>
        </w:rPr>
        <w:t xml:space="preserve">PREREQUISITES.md</w:t>
      </w:r>
      <w:r>
        <w:t xml:space="preserve">).</w:t>
      </w:r>
    </w:p>
    <w:p>
      <w:pPr>
        <w:numPr>
          <w:ilvl w:val="0"/>
          <w:numId w:val="1007"/>
        </w:numPr>
        <w:pStyle w:val="Compact"/>
      </w:pPr>
      <w:r>
        <w:t xml:space="preserve">The client provides temporary deploy access (an assumable role or short-lived credentials) and removes it after handover.</w:t>
      </w:r>
    </w:p>
    <w:p>
      <w:pPr>
        <w:numPr>
          <w:ilvl w:val="0"/>
          <w:numId w:val="1007"/>
        </w:numPr>
        <w:pStyle w:val="Compact"/>
      </w:pPr>
      <w:r>
        <w:t xml:space="preserve">A domain name and an ACM certificate are needed for HTTPS. Without them the portal runs over HTTP and shows a warning, and the IP allow-list is strongly advised.</w:t>
      </w:r>
    </w:p>
    <w:p>
      <w:pPr>
        <w:numPr>
          <w:ilvl w:val="0"/>
          <w:numId w:val="1007"/>
        </w:numPr>
        <w:pStyle w:val="Compact"/>
      </w:pPr>
      <w:r>
        <w:t xml:space="preserve">Amazon Bedrock is optional. It needs model access and a valid payment method on the account. Without it every feature still works with built-in text.</w:t>
      </w:r>
    </w:p>
    <w:p>
      <w:pPr>
        <w:numPr>
          <w:ilvl w:val="0"/>
          <w:numId w:val="1007"/>
        </w:numPr>
        <w:pStyle w:val="Compact"/>
      </w:pPr>
      <w:r>
        <w:t xml:space="preserve">A Slack incoming webhook is supplied by the MSP if alerts are wanted.</w:t>
      </w:r>
    </w:p>
    <w:p>
      <w:pPr>
        <w:numPr>
          <w:ilvl w:val="0"/>
          <w:numId w:val="1007"/>
        </w:numPr>
        <w:pStyle w:val="Compact"/>
      </w:pPr>
      <w:r>
        <w:t xml:space="preserve">Engineering estimates assume one engineer and access to a test AWS account with real resources.</w:t>
      </w:r>
    </w:p>
    <w:p>
      <w:pPr>
        <w:numPr>
          <w:ilvl w:val="0"/>
          <w:numId w:val="1007"/>
        </w:numPr>
        <w:pStyle w:val="Compact"/>
      </w:pPr>
      <w:r>
        <w:rPr>
          <w:bCs/>
          <w:b/>
        </w:rPr>
        <w:t xml:space="preserve">For the native readers:</w:t>
      </w:r>
      <w:r>
        <w:t xml:space="preserve"> </w:t>
      </w:r>
      <w:r>
        <w:t xml:space="preserve">the client enables each service they want read. Security Hub, GuardDuty and Inspector are paid AWS services; any free trial is set by AWS and may change, so the client confirms current pricing before enabling. Nexogent never enables them.</w:t>
      </w:r>
    </w:p>
    <w:p>
      <w:pPr>
        <w:numPr>
          <w:ilvl w:val="0"/>
          <w:numId w:val="1007"/>
        </w:numPr>
        <w:pStyle w:val="Compact"/>
      </w:pPr>
      <w:r>
        <w:rPr>
          <w:bCs/>
          <w:b/>
        </w:rPr>
        <w:t xml:space="preserve">Acceptance of the native readers needs an AWS account where those services are enabled.</w:t>
      </w:r>
      <w:r>
        <w:t xml:space="preserve"> </w:t>
      </w:r>
      <w:r>
        <w:t xml:space="preserve">A free-tier account that cannot enable them can accept AC-01 to AC-29 and AC-P1 to AC-P9, but not AC-P10 (live) or the live part of AC-P7.</w:t>
      </w:r>
    </w:p>
    <w:bookmarkEnd w:id="49"/>
    <w:bookmarkStart w:id="50" w:name="dependencies"/>
    <w:p>
      <w:pPr>
        <w:pStyle w:val="Heading3"/>
      </w:pPr>
      <w:r>
        <w:t xml:space="preserve">11.2 Dependencies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3168"/>
        <w:gridCol w:w="4752"/>
      </w:tblGrid>
      <w:tr>
        <w:trPr>
          <w:tblHeader w:val="true"/>
        </w:trPr>
        <w:tc>
          <w:tcPr>
            <w:shd w:val="clear" w:color="auto" w:fill="DCE6F2"/>
          </w:tcPr>
          <w:p>
            <w:pPr>
              <w:pStyle w:val="Compact"/>
              <w:jc w:val="left"/>
            </w:pPr>
            <w:r>
              <w:rPr>
                <w:b/>
                <w:sz w:val="19"/>
              </w:rPr>
              <w:t xml:space="preserve">Dependency</w:t>
            </w:r>
          </w:p>
        </w:tc>
        <w:tc>
          <w:tcPr>
            <w:shd w:val="clear" w:color="auto" w:fill="DCE6F2"/>
          </w:tcPr>
          <w:p>
            <w:pPr>
              <w:pStyle w:val="Compact"/>
              <w:jc w:val="left"/>
            </w:pPr>
            <w:r>
              <w:rPr>
                <w:b/>
                <w:sz w:val="19"/>
              </w:rPr>
              <w:t xml:space="preserve">Needed for</w:t>
            </w:r>
          </w:p>
        </w:tc>
      </w:tr>
      <w:tr>
        <w:tc>
          <w:tcPr/>
          <w:p>
            <w:pPr>
              <w:pStyle w:val="Compact"/>
              <w:jc w:val="left"/>
            </w:pPr>
            <w:r>
              <w:rPr>
                <w:sz w:val="19"/>
              </w:rPr>
              <w:t xml:space="preserve">Prowler container image</w:t>
            </w:r>
          </w:p>
        </w:tc>
        <w:tc>
          <w:tcPr/>
          <w:p>
            <w:pPr>
              <w:pStyle w:val="Compact"/>
              <w:jc w:val="left"/>
            </w:pPr>
            <w:r>
              <w:rPr>
                <w:sz w:val="19"/>
              </w:rPr>
              <w:t xml:space="preserve">Deep scans and the broad CIS and AWS best-practice coverage</w:t>
            </w:r>
          </w:p>
        </w:tc>
      </w:tr>
      <w:tr>
        <w:tc>
          <w:tcPr/>
          <w:p>
            <w:pPr>
              <w:pStyle w:val="Compact"/>
              <w:jc w:val="left"/>
            </w:pPr>
            <w:r>
              <w:rPr>
                <w:sz w:val="19"/>
              </w:rPr>
              <w:t xml:space="preserve">Kubernetes API in the cluster</w:t>
            </w:r>
          </w:p>
        </w:tc>
        <w:tc>
          <w:tcPr/>
          <w:p>
            <w:pPr>
              <w:pStyle w:val="Compact"/>
              <w:jc w:val="left"/>
            </w:pPr>
            <w:r>
              <w:rPr>
                <w:sz w:val="19"/>
              </w:rPr>
              <w:t xml:space="preserve">On-demand deep scans</w:t>
            </w:r>
          </w:p>
        </w:tc>
      </w:tr>
      <w:tr>
        <w:tc>
          <w:tcPr/>
          <w:p>
            <w:pPr>
              <w:pStyle w:val="Compact"/>
              <w:jc w:val="left"/>
            </w:pPr>
            <w:r>
              <w:rPr>
                <w:sz w:val="19"/>
              </w:rPr>
              <w:t xml:space="preserve">DynamoDB</w:t>
            </w:r>
          </w:p>
        </w:tc>
        <w:tc>
          <w:tcPr/>
          <w:p>
            <w:pPr>
              <w:pStyle w:val="Compact"/>
              <w:jc w:val="left"/>
            </w:pPr>
            <w:r>
              <w:rPr>
                <w:sz w:val="19"/>
              </w:rPr>
              <w:t xml:space="preserve">History, register, reports, audit log, settings</w:t>
            </w:r>
          </w:p>
        </w:tc>
      </w:tr>
      <w:tr>
        <w:tc>
          <w:tcPr/>
          <w:p>
            <w:pPr>
              <w:pStyle w:val="Compact"/>
              <w:jc w:val="left"/>
            </w:pPr>
            <w:r>
              <w:rPr>
                <w:sz w:val="19"/>
              </w:rPr>
              <w:t xml:space="preserve">ACM certificate and a domain</w:t>
            </w:r>
          </w:p>
        </w:tc>
        <w:tc>
          <w:tcPr/>
          <w:p>
            <w:pPr>
              <w:pStyle w:val="Compact"/>
              <w:jc w:val="left"/>
            </w:pPr>
            <w:r>
              <w:rPr>
                <w:sz w:val="19"/>
              </w:rPr>
              <w:t xml:space="preserve">HTTPS on the portal</w:t>
            </w:r>
          </w:p>
        </w:tc>
      </w:tr>
      <w:tr>
        <w:tc>
          <w:tcPr/>
          <w:p>
            <w:pPr>
              <w:pStyle w:val="Compact"/>
              <w:jc w:val="left"/>
            </w:pPr>
            <w:r>
              <w:rPr>
                <w:sz w:val="19"/>
              </w:rPr>
              <w:t xml:space="preserve">Security Hub, GuardDuty, Inspector, Access Analyzer enabled by the client</w:t>
            </w:r>
          </w:p>
        </w:tc>
        <w:tc>
          <w:tcPr/>
          <w:p>
            <w:pPr>
              <w:pStyle w:val="Compact"/>
              <w:jc w:val="left"/>
            </w:pPr>
            <w:r>
              <w:rPr>
                <w:sz w:val="19"/>
              </w:rPr>
              <w:t xml:space="preserve">The matching native reader</w:t>
            </w:r>
          </w:p>
        </w:tc>
      </w:tr>
      <w:tr>
        <w:tc>
          <w:tcPr/>
          <w:p>
            <w:pPr>
              <w:pStyle w:val="Compact"/>
              <w:jc w:val="left"/>
            </w:pPr>
            <w:r>
              <w:rPr>
                <w:sz w:val="19"/>
              </w:rPr>
              <w:t xml:space="preserve">Current AWS documentation for each service’s findings API</w:t>
            </w:r>
          </w:p>
        </w:tc>
        <w:tc>
          <w:tcPr/>
          <w:p>
            <w:pPr>
              <w:pStyle w:val="Compact"/>
              <w:jc w:val="left"/>
            </w:pPr>
            <w:r>
              <w:rPr>
                <w:sz w:val="19"/>
              </w:rPr>
              <w:t xml:space="preserve">Confirming field names; the newer Security Hub format may differ from the classic one</w:t>
            </w:r>
          </w:p>
        </w:tc>
      </w:tr>
    </w:tbl>
    <w:bookmarkEnd w:id="50"/>
    <w:bookmarkStart w:id="51" w:name="risks"/>
    <w:p>
      <w:pPr>
        <w:pStyle w:val="Heading3"/>
      </w:pPr>
      <w:r>
        <w:t xml:space="preserve">11.3 Risks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2692"/>
        <w:gridCol w:w="1900"/>
        <w:gridCol w:w="3326"/>
      </w:tblGrid>
      <w:tr>
        <w:trPr>
          <w:tblHeader w:val="true"/>
        </w:trPr>
        <w:tc>
          <w:tcPr>
            <w:shd w:val="clear" w:color="auto" w:fill="DCE6F2"/>
          </w:tcPr>
          <w:p>
            <w:pPr>
              <w:pStyle w:val="Compact"/>
              <w:jc w:val="left"/>
            </w:pPr>
            <w:r>
              <w:rPr>
                <w:b/>
                <w:sz w:val="19"/>
              </w:rPr>
              <w:t xml:space="preserve">Risk</w:t>
            </w:r>
          </w:p>
        </w:tc>
        <w:tc>
          <w:tcPr>
            <w:shd w:val="clear" w:color="auto" w:fill="DCE6F2"/>
          </w:tcPr>
          <w:p>
            <w:pPr>
              <w:pStyle w:val="Compact"/>
              <w:jc w:val="left"/>
            </w:pPr>
            <w:r>
              <w:rPr>
                <w:b/>
                <w:sz w:val="19"/>
              </w:rPr>
              <w:t xml:space="preserve">Impact</w:t>
            </w:r>
          </w:p>
        </w:tc>
        <w:tc>
          <w:tcPr>
            <w:shd w:val="clear" w:color="auto" w:fill="DCE6F2"/>
          </w:tcPr>
          <w:p>
            <w:pPr>
              <w:pStyle w:val="Compact"/>
              <w:jc w:val="left"/>
            </w:pPr>
            <w:r>
              <w:rPr>
                <w:b/>
                <w:sz w:val="19"/>
              </w:rPr>
              <w:t xml:space="preserve">Mitigation</w:t>
            </w:r>
          </w:p>
        </w:tc>
      </w:tr>
      <w:tr>
        <w:tc>
          <w:tcPr/>
          <w:p>
            <w:pPr>
              <w:pStyle w:val="Compact"/>
              <w:jc w:val="left"/>
            </w:pPr>
            <w:r>
              <w:rPr>
                <w:sz w:val="19"/>
              </w:rPr>
              <w:t xml:space="preserve">EKS and the load balancer bill hourly even when idle</w:t>
            </w:r>
          </w:p>
        </w:tc>
        <w:tc>
          <w:tcPr/>
          <w:p>
            <w:pPr>
              <w:pStyle w:val="Compact"/>
              <w:jc w:val="left"/>
            </w:pPr>
            <w:r>
              <w:rPr>
                <w:sz w:val="19"/>
              </w:rPr>
              <w:t xml:space="preserve">Cost on a free-tier account</w:t>
            </w:r>
          </w:p>
        </w:tc>
        <w:tc>
          <w:tcPr/>
          <w:p>
            <w:pPr>
              <w:pStyle w:val="Compact"/>
              <w:jc w:val="left"/>
            </w:pPr>
            <w:r>
              <w:rPr>
                <w:sz w:val="19"/>
              </w:rPr>
              <w:t xml:space="preserve">Local mode and demo mode for development and sales; scale down with</w:t>
            </w:r>
            <w:r>
              <w:rPr>
                <w:sz w:val="19"/>
              </w:rPr>
              <w:t xml:space="preserve"> </w:t>
            </w:r>
            <w:r>
              <w:rPr>
                <w:rStyle w:val="VerbatimChar"/>
                <w:sz w:val="19"/>
              </w:rPr>
              <w:t xml:space="preserve">stop.sh</w:t>
            </w:r>
          </w:p>
        </w:tc>
      </w:tr>
      <w:tr>
        <w:tc>
          <w:tcPr/>
          <w:p>
            <w:pPr>
              <w:pStyle w:val="Compact"/>
              <w:jc w:val="left"/>
            </w:pPr>
            <w:r>
              <w:rPr>
                <w:sz w:val="19"/>
              </w:rPr>
              <w:t xml:space="preserve">Prowler output format changes between versions</w:t>
            </w:r>
          </w:p>
        </w:tc>
        <w:tc>
          <w:tcPr/>
          <w:p>
            <w:pPr>
              <w:pStyle w:val="Compact"/>
              <w:jc w:val="left"/>
            </w:pPr>
            <w:r>
              <w:rPr>
                <w:sz w:val="19"/>
              </w:rPr>
              <w:t xml:space="preserve">Ingestion breaks</w:t>
            </w:r>
          </w:p>
        </w:tc>
        <w:tc>
          <w:tcPr/>
          <w:p>
            <w:pPr>
              <w:pStyle w:val="Compact"/>
              <w:jc w:val="left"/>
            </w:pPr>
            <w:r>
              <w:rPr>
                <w:sz w:val="19"/>
              </w:rPr>
              <w:t xml:space="preserve">Pin the Prowler version; keep recorded sample files in the tests</w:t>
            </w:r>
          </w:p>
        </w:tc>
      </w:tr>
      <w:tr>
        <w:tc>
          <w:tcPr/>
          <w:p>
            <w:pPr>
              <w:pStyle w:val="Compact"/>
              <w:jc w:val="left"/>
            </w:pPr>
            <w:r>
              <w:rPr>
                <w:sz w:val="19"/>
              </w:rPr>
              <w:t xml:space="preserve">Equivalence mapping between check sources is incomplete</w:t>
            </w:r>
          </w:p>
        </w:tc>
        <w:tc>
          <w:tcPr/>
          <w:p>
            <w:pPr>
              <w:pStyle w:val="Compact"/>
              <w:jc w:val="left"/>
            </w:pPr>
            <w:r>
              <w:rPr>
                <w:sz w:val="19"/>
              </w:rPr>
              <w:t xml:space="preserve">Some duplicates remain</w:t>
            </w:r>
          </w:p>
        </w:tc>
        <w:tc>
          <w:tcPr/>
          <w:p>
            <w:pPr>
              <w:pStyle w:val="Compact"/>
              <w:jc w:val="left"/>
            </w:pPr>
            <w:r>
              <w:rPr>
                <w:sz w:val="19"/>
              </w:rPr>
              <w:t xml:space="preserve">Mapping lives in an editable data file; unmapped checks are shown as separate findings, never dropped</w:t>
            </w:r>
          </w:p>
        </w:tc>
      </w:tr>
      <w:tr>
        <w:tc>
          <w:tcPr/>
          <w:p>
            <w:pPr>
              <w:pStyle w:val="Compact"/>
              <w:jc w:val="left"/>
            </w:pPr>
            <w:r>
              <w:rPr>
                <w:sz w:val="19"/>
              </w:rPr>
              <w:t xml:space="preserve">Large accounts exceed the DynamoDB item size</w:t>
            </w:r>
          </w:p>
        </w:tc>
        <w:tc>
          <w:tcPr/>
          <w:p>
            <w:pPr>
              <w:pStyle w:val="Compact"/>
              <w:jc w:val="left"/>
            </w:pPr>
            <w:r>
              <w:rPr>
                <w:sz w:val="19"/>
              </w:rPr>
              <w:t xml:space="preserve">Writes fail</w:t>
            </w:r>
          </w:p>
        </w:tc>
        <w:tc>
          <w:tcPr/>
          <w:p>
            <w:pPr>
              <w:pStyle w:val="Compact"/>
              <w:jc w:val="left"/>
            </w:pPr>
            <w:r>
              <w:rPr>
                <w:sz w:val="19"/>
              </w:rPr>
              <w:t xml:space="preserve">Chunk reviews across items; a test with a large fixture</w:t>
            </w:r>
          </w:p>
        </w:tc>
      </w:tr>
      <w:tr>
        <w:tc>
          <w:tcPr/>
          <w:p>
            <w:pPr>
              <w:pStyle w:val="Compact"/>
              <w:jc w:val="left"/>
            </w:pPr>
            <w:r>
              <w:rPr>
                <w:sz w:val="19"/>
              </w:rPr>
              <w:t xml:space="preserve">AWS SDK code cannot be exercised without an account</w:t>
            </w:r>
          </w:p>
        </w:tc>
        <w:tc>
          <w:tcPr/>
          <w:p>
            <w:pPr>
              <w:pStyle w:val="Compact"/>
              <w:jc w:val="left"/>
            </w:pPr>
            <w:r>
              <w:rPr>
                <w:sz w:val="19"/>
              </w:rPr>
              <w:t xml:space="preserve">Defects found late</w:t>
            </w:r>
          </w:p>
        </w:tc>
        <w:tc>
          <w:tcPr/>
          <w:p>
            <w:pPr>
              <w:pStyle w:val="Compact"/>
              <w:jc w:val="left"/>
            </w:pPr>
            <w:r>
              <w:rPr>
                <w:sz w:val="19"/>
              </w:rPr>
              <w:t xml:space="preserve">Keep AWS calls in thin, interface-based code; keep logic in pure packages with tests; run the verification checklist on a real account in phases 7 and 10</w:t>
            </w:r>
          </w:p>
        </w:tc>
      </w:tr>
      <w:tr>
        <w:tc>
          <w:tcPr/>
          <w:p>
            <w:pPr>
              <w:pStyle w:val="Compact"/>
              <w:jc w:val="left"/>
            </w:pPr>
            <w:r>
              <w:rPr>
                <w:sz w:val="19"/>
              </w:rPr>
              <w:t xml:space="preserve">Attack-path rules produce false positives</w:t>
            </w:r>
          </w:p>
        </w:tc>
        <w:tc>
          <w:tcPr/>
          <w:p>
            <w:pPr>
              <w:pStyle w:val="Compact"/>
              <w:jc w:val="left"/>
            </w:pPr>
            <w:r>
              <w:rPr>
                <w:sz w:val="19"/>
              </w:rPr>
              <w:t xml:space="preserve">Loss of trust</w:t>
            </w:r>
          </w:p>
        </w:tc>
        <w:tc>
          <w:tcPr/>
          <w:p>
            <w:pPr>
              <w:pStyle w:val="Compact"/>
              <w:jc w:val="left"/>
            </w:pPr>
            <w:r>
              <w:rPr>
                <w:sz w:val="19"/>
              </w:rPr>
              <w:t xml:space="preserve">Six conservative rules, each showing its evidence; each can be switched off in Settings</w:t>
            </w:r>
          </w:p>
        </w:tc>
      </w:tr>
      <w:tr>
        <w:tc>
          <w:tcPr/>
          <w:p>
            <w:pPr>
              <w:pStyle w:val="Compact"/>
              <w:jc w:val="left"/>
            </w:pPr>
            <w:r>
              <w:rPr>
                <w:sz w:val="19"/>
              </w:rPr>
              <w:t xml:space="preserve">Fix snippets applied without review</w:t>
            </w:r>
          </w:p>
        </w:tc>
        <w:tc>
          <w:tcPr/>
          <w:p>
            <w:pPr>
              <w:pStyle w:val="Compact"/>
              <w:jc w:val="left"/>
            </w:pPr>
            <w:r>
              <w:rPr>
                <w:sz w:val="19"/>
              </w:rPr>
              <w:t xml:space="preserve">Outage</w:t>
            </w:r>
          </w:p>
        </w:tc>
        <w:tc>
          <w:tcPr/>
          <w:p>
            <w:pPr>
              <w:pStyle w:val="Compact"/>
              <w:jc w:val="left"/>
            </w:pPr>
            <w:r>
              <w:rPr>
                <w:sz w:val="19"/>
              </w:rPr>
              <w:t xml:space="preserve">Every snippet states what could break and is labelled for review</w:t>
            </w:r>
          </w:p>
        </w:tc>
      </w:tr>
      <w:tr>
        <w:tc>
          <w:tcPr/>
          <w:p>
            <w:pPr>
              <w:pStyle w:val="Compact"/>
              <w:jc w:val="left"/>
            </w:pPr>
            <w:r>
              <w:rPr>
                <w:sz w:val="19"/>
              </w:rPr>
              <w:t xml:space="preserve">Several backend replicas run scheduled scans at once</w:t>
            </w:r>
          </w:p>
        </w:tc>
        <w:tc>
          <w:tcPr/>
          <w:p>
            <w:pPr>
              <w:pStyle w:val="Compact"/>
              <w:jc w:val="left"/>
            </w:pPr>
            <w:r>
              <w:rPr>
                <w:sz w:val="19"/>
              </w:rPr>
              <w:t xml:space="preserve">Duplicate scans and alerts</w:t>
            </w:r>
          </w:p>
        </w:tc>
        <w:tc>
          <w:tcPr/>
          <w:p>
            <w:pPr>
              <w:pStyle w:val="Compact"/>
              <w:jc w:val="left"/>
            </w:pPr>
            <w:r>
              <w:rPr>
                <w:sz w:val="19"/>
              </w:rPr>
              <w:t xml:space="preserve">Scheduler lease in DynamoDB</w:t>
            </w:r>
          </w:p>
        </w:tc>
      </w:tr>
      <w:tr>
        <w:tc>
          <w:tcPr/>
          <w:p>
            <w:pPr>
              <w:pStyle w:val="Compact"/>
              <w:jc w:val="left"/>
            </w:pPr>
            <w:r>
              <w:rPr>
                <w:bCs/>
                <w:b/>
                <w:sz w:val="19"/>
              </w:rPr>
              <w:t xml:space="preserve">Native finding formats change</w:t>
            </w:r>
            <w:r>
              <w:rPr>
                <w:sz w:val="19"/>
              </w:rPr>
              <w:t xml:space="preserve"> </w:t>
            </w:r>
            <w:r>
              <w:rPr>
                <w:sz w:val="19"/>
              </w:rPr>
              <w:t xml:space="preserve">(Security Hub now has more than one finding format)</w:t>
            </w:r>
          </w:p>
        </w:tc>
        <w:tc>
          <w:tcPr/>
          <w:p>
            <w:pPr>
              <w:pStyle w:val="Compact"/>
              <w:jc w:val="left"/>
            </w:pPr>
            <w:r>
              <w:rPr>
                <w:sz w:val="19"/>
              </w:rPr>
              <w:t xml:space="preserve">A reader returns wrong or empty data</w:t>
            </w:r>
          </w:p>
        </w:tc>
        <w:tc>
          <w:tcPr/>
          <w:p>
            <w:pPr>
              <w:pStyle w:val="Compact"/>
              <w:jc w:val="left"/>
            </w:pPr>
            <w:r>
              <w:rPr>
                <w:sz w:val="19"/>
              </w:rPr>
              <w:t xml:space="preserve">Put each reader behind an interface; keep recorded samples; confirm against current AWS documentation in phase 8; add a second reader if needed</w:t>
            </w:r>
          </w:p>
        </w:tc>
      </w:tr>
      <w:tr>
        <w:tc>
          <w:tcPr/>
          <w:p>
            <w:pPr>
              <w:pStyle w:val="Compact"/>
              <w:jc w:val="left"/>
            </w:pPr>
            <w:r>
              <w:rPr>
                <w:bCs/>
                <w:b/>
                <w:sz w:val="19"/>
              </w:rPr>
              <w:t xml:space="preserve">Client enables a paid service and is surprised by the bill</w:t>
            </w:r>
          </w:p>
        </w:tc>
        <w:tc>
          <w:tcPr/>
          <w:p>
            <w:pPr>
              <w:pStyle w:val="Compact"/>
              <w:jc w:val="left"/>
            </w:pPr>
            <w:r>
              <w:rPr>
                <w:sz w:val="19"/>
              </w:rPr>
              <w:t xml:space="preserve">Client dissatisfaction</w:t>
            </w:r>
          </w:p>
        </w:tc>
        <w:tc>
          <w:tcPr/>
          <w:p>
            <w:pPr>
              <w:pStyle w:val="Compact"/>
              <w:jc w:val="left"/>
            </w:pPr>
            <w:r>
              <w:rPr>
                <w:sz w:val="19"/>
              </w:rPr>
              <w:t xml:space="preserve">Cost notice beside every toggle; recommend a billing alarm; Nexogent never enables a service</w:t>
            </w:r>
          </w:p>
        </w:tc>
      </w:tr>
      <w:tr>
        <w:tc>
          <w:tcPr/>
          <w:p>
            <w:pPr>
              <w:pStyle w:val="Compact"/>
              <w:jc w:val="left"/>
            </w:pPr>
            <w:r>
              <w:rPr>
                <w:bCs/>
                <w:b/>
                <w:sz w:val="19"/>
              </w:rPr>
              <w:t xml:space="preserve">Large numbers of native findings</w:t>
            </w:r>
          </w:p>
        </w:tc>
        <w:tc>
          <w:tcPr/>
          <w:p>
            <w:pPr>
              <w:pStyle w:val="Compact"/>
              <w:jc w:val="left"/>
            </w:pPr>
            <w:r>
              <w:rPr>
                <w:sz w:val="19"/>
              </w:rPr>
              <w:t xml:space="preserve">Slow scans, large reviews</w:t>
            </w:r>
          </w:p>
        </w:tc>
        <w:tc>
          <w:tcPr/>
          <w:p>
            <w:pPr>
              <w:pStyle w:val="Compact"/>
              <w:jc w:val="left"/>
            </w:pPr>
            <w:r>
              <w:rPr>
                <w:sz w:val="19"/>
              </w:rPr>
              <w:t xml:space="preserve">Page through results with a cap and a warning; chunked storage</w:t>
            </w:r>
          </w:p>
        </w:tc>
      </w:tr>
      <w:tr>
        <w:tc>
          <w:tcPr/>
          <w:p>
            <w:pPr>
              <w:pStyle w:val="Compact"/>
              <w:jc w:val="left"/>
            </w:pPr>
            <w:r>
              <w:rPr>
                <w:bCs/>
                <w:b/>
                <w:sz w:val="19"/>
              </w:rPr>
              <w:t xml:space="preserve">Native readers cannot be tested on a free-tier account</w:t>
            </w:r>
          </w:p>
        </w:tc>
        <w:tc>
          <w:tcPr/>
          <w:p>
            <w:pPr>
              <w:pStyle w:val="Compact"/>
              <w:jc w:val="left"/>
            </w:pPr>
            <w:r>
              <w:rPr>
                <w:sz w:val="19"/>
              </w:rPr>
              <w:t xml:space="preserve">Defects found late</w:t>
            </w:r>
          </w:p>
        </w:tc>
        <w:tc>
          <w:tcPr/>
          <w:p>
            <w:pPr>
              <w:pStyle w:val="Compact"/>
              <w:jc w:val="left"/>
            </w:pPr>
            <w:r>
              <w:rPr>
                <w:sz w:val="19"/>
              </w:rPr>
              <w:t xml:space="preserve">Recorded samples for every finding type; AC-P10 run in an account with the services enabled</w:t>
            </w:r>
          </w:p>
        </w:tc>
      </w:tr>
    </w:tbl>
    <w:bookmarkEnd w:id="51"/>
    <w:bookmarkEnd w:id="52"/>
    <w:bookmarkStart w:id="53" w:name="responsibilities"/>
    <w:p>
      <w:pPr>
        <w:pStyle w:val="Heading2"/>
      </w:pPr>
      <w:r>
        <w:t xml:space="preserve">12. Responsibilities</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584"/>
        <w:gridCol w:w="6336"/>
      </w:tblGrid>
      <w:tr>
        <w:trPr>
          <w:tblHeader w:val="true"/>
        </w:trPr>
        <w:tc>
          <w:tcPr>
            <w:shd w:val="clear" w:color="auto" w:fill="DCE6F2"/>
          </w:tcPr>
          <w:p>
            <w:pPr>
              <w:pStyle w:val="Compact"/>
              <w:jc w:val="left"/>
            </w:pPr>
            <w:r>
              <w:rPr>
                <w:b/>
                <w:sz w:val="19"/>
              </w:rPr>
              <w:t xml:space="preserve">Party</w:t>
            </w:r>
          </w:p>
        </w:tc>
        <w:tc>
          <w:tcPr>
            <w:shd w:val="clear" w:color="auto" w:fill="DCE6F2"/>
          </w:tcPr>
          <w:p>
            <w:pPr>
              <w:pStyle w:val="Compact"/>
              <w:jc w:val="left"/>
            </w:pPr>
            <w:r>
              <w:rPr>
                <w:b/>
                <w:sz w:val="19"/>
              </w:rPr>
              <w:t xml:space="preserve">Responsibilities</w:t>
            </w:r>
          </w:p>
        </w:tc>
      </w:tr>
      <w:tr>
        <w:tc>
          <w:tcPr/>
          <w:p>
            <w:pPr>
              <w:pStyle w:val="Compact"/>
              <w:jc w:val="left"/>
            </w:pPr>
            <w:r>
              <w:rPr>
                <w:bCs/>
                <w:b/>
                <w:sz w:val="19"/>
              </w:rPr>
              <w:t xml:space="preserve">Supplier</w:t>
            </w:r>
          </w:p>
        </w:tc>
        <w:tc>
          <w:tcPr/>
          <w:p>
            <w:pPr>
              <w:pStyle w:val="Compact"/>
              <w:jc w:val="left"/>
            </w:pPr>
            <w:r>
              <w:rPr>
                <w:sz w:val="19"/>
              </w:rPr>
              <w:t xml:space="preserve">Build and test the features in section 4; provide the documents and sample data; deploy and verify in the agreed account; hand over and remove its access</w:t>
            </w:r>
          </w:p>
        </w:tc>
      </w:tr>
      <w:tr>
        <w:tc>
          <w:tcPr/>
          <w:p>
            <w:pPr>
              <w:pStyle w:val="Compact"/>
              <w:jc w:val="left"/>
            </w:pPr>
            <w:r>
              <w:rPr>
                <w:bCs/>
                <w:b/>
                <w:sz w:val="19"/>
              </w:rPr>
              <w:t xml:space="preserve">MSP (Customer)</w:t>
            </w:r>
          </w:p>
        </w:tc>
        <w:tc>
          <w:tcPr/>
          <w:p>
            <w:pPr>
              <w:pStyle w:val="Compact"/>
              <w:jc w:val="left"/>
            </w:pPr>
            <w:r>
              <w:rPr>
                <w:sz w:val="19"/>
              </w:rPr>
              <w:t xml:space="preserve">Provide a test account and, for deployment, temporary access; supply branding, report template wording and the Slack webhook; review and approve the sample report; designate the reviewer</w:t>
            </w:r>
          </w:p>
        </w:tc>
      </w:tr>
      <w:tr>
        <w:tc>
          <w:tcPr/>
          <w:p>
            <w:pPr>
              <w:pStyle w:val="Compact"/>
              <w:jc w:val="left"/>
            </w:pPr>
            <w:r>
              <w:rPr>
                <w:bCs/>
                <w:b/>
                <w:sz w:val="19"/>
              </w:rPr>
              <w:t xml:space="preserve">Client of the MSP</w:t>
            </w:r>
          </w:p>
        </w:tc>
        <w:tc>
          <w:tcPr/>
          <w:p>
            <w:pPr>
              <w:pStyle w:val="Compact"/>
              <w:jc w:val="left"/>
            </w:pPr>
            <w:r>
              <w:rPr>
                <w:sz w:val="19"/>
              </w:rPr>
              <w:t xml:space="preserve">Provide the prerequisites in</w:t>
            </w:r>
            <w:r>
              <w:rPr>
                <w:sz w:val="19"/>
              </w:rPr>
              <w:t xml:space="preserve"> </w:t>
            </w:r>
            <w:r>
              <w:rPr>
                <w:rStyle w:val="VerbatimChar"/>
                <w:sz w:val="19"/>
              </w:rPr>
              <w:t xml:space="preserve">PREREQUISITES.md</w:t>
            </w:r>
            <w:r>
              <w:rPr>
                <w:sz w:val="19"/>
              </w:rPr>
              <w:t xml:space="preserve">; keep full administrator control of their account; confirm cost awareness for any paid AWS service they choose to enable</w:t>
            </w:r>
          </w:p>
        </w:tc>
      </w:tr>
    </w:tbl>
    <w:bookmarkEnd w:id="53"/>
    <w:bookmarkStart w:id="54" w:name="change-control-and-sign-off"/>
    <w:p>
      <w:pPr>
        <w:pStyle w:val="Heading2"/>
      </w:pPr>
      <w:r>
        <w:t xml:space="preserve">13. Change control and sign-off</w:t>
      </w:r>
    </w:p>
    <w:p>
      <w:pPr>
        <w:numPr>
          <w:ilvl w:val="0"/>
          <w:numId w:val="1008"/>
        </w:numPr>
        <w:pStyle w:val="Compact"/>
      </w:pPr>
      <w:r>
        <w:t xml:space="preserve">A change to scope, a feature or an acceptance criterion is agreed in writing before work on it starts, with its effect on effort.</w:t>
      </w:r>
    </w:p>
    <w:p>
      <w:pPr>
        <w:numPr>
          <w:ilvl w:val="0"/>
          <w:numId w:val="1008"/>
        </w:numPr>
        <w:pStyle w:val="Compact"/>
      </w:pPr>
      <w:r>
        <w:t xml:space="preserve">Items listed as out of scope in section 5 are handled as separate change requests.</w:t>
      </w:r>
    </w:p>
    <w:p>
      <w:pPr>
        <w:numPr>
          <w:ilvl w:val="0"/>
          <w:numId w:val="1008"/>
        </w:numPr>
        <w:pStyle w:val="Compact"/>
      </w:pPr>
      <w:r>
        <w:t xml:space="preserve">Commercial terms (fees, payment schedule, warranty period, liability) are set out in a separate commercial schedule:</w:t>
      </w:r>
      <w:r>
        <w:t xml:space="preserve"> </w:t>
      </w:r>
      <w:r>
        <w:rPr>
          <w:bCs/>
          <w:b/>
        </w:rPr>
        <w:t xml:space="preserve">[to be completed by the parties]</w:t>
      </w:r>
      <w:r>
        <w:t xml:space="preserve">.</w:t>
      </w:r>
    </w:p>
    <w:tbl>
      <w:tblPr>
        <w:tblStyle w:val="Table"/>
        <w:tblW w:type="auto" w:w="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2640"/>
        <w:gridCol w:w="2640"/>
        <w:gridCol w:w="2640"/>
      </w:tblGrid>
      <w:tr>
        <w:trPr>
          <w:tblHeader w:val="true"/>
        </w:trPr>
        <w:tc>
          <w:tcPr>
            <w:shd w:val="clear" w:color="auto" w:fill="DCE6F2"/>
          </w:tcPr>
          <w:p>
            <w:pPr>
              <w:pStyle w:val="Compact"/>
            </w:pPr>
          </w:p>
        </w:tc>
        <w:tc>
          <w:tcPr>
            <w:shd w:val="clear" w:color="auto" w:fill="DCE6F2"/>
          </w:tcPr>
          <w:p>
            <w:pPr>
              <w:pStyle w:val="Compact"/>
              <w:jc w:val="left"/>
            </w:pPr>
            <w:r>
              <w:rPr>
                <w:b/>
                <w:sz w:val="19"/>
              </w:rPr>
              <w:t xml:space="preserve">Supplier</w:t>
            </w:r>
          </w:p>
        </w:tc>
        <w:tc>
          <w:tcPr>
            <w:shd w:val="clear" w:color="auto" w:fill="DCE6F2"/>
          </w:tcPr>
          <w:p>
            <w:pPr>
              <w:pStyle w:val="Compact"/>
              <w:jc w:val="left"/>
            </w:pPr>
            <w:r>
              <w:rPr>
                <w:b/>
                <w:sz w:val="19"/>
              </w:rPr>
              <w:t xml:space="preserve">Customer</w:t>
            </w:r>
          </w:p>
        </w:tc>
      </w:tr>
      <w:tr>
        <w:tc>
          <w:tcPr/>
          <w:p>
            <w:pPr>
              <w:pStyle w:val="Compact"/>
              <w:jc w:val="left"/>
            </w:pPr>
            <w:r>
              <w:rPr>
                <w:sz w:val="19"/>
              </w:rPr>
              <w:t xml:space="preserve">Name</w:t>
            </w:r>
          </w:p>
        </w:tc>
        <w:tc>
          <w:tcPr/>
          <w:p>
            <w:pPr>
              <w:pStyle w:val="Compact"/>
              <w:jc w:val="left"/>
            </w:pPr>
            <w:r>
              <w:rPr>
                <w:sz w:val="19"/>
              </w:rPr>
              <w:t xml:space="preserve">[Name]</w:t>
            </w:r>
          </w:p>
        </w:tc>
        <w:tc>
          <w:tcPr/>
          <w:p>
            <w:pPr>
              <w:pStyle w:val="Compact"/>
              <w:jc w:val="left"/>
            </w:pPr>
            <w:r>
              <w:rPr>
                <w:sz w:val="19"/>
              </w:rPr>
              <w:t xml:space="preserve">[Name]</w:t>
            </w:r>
          </w:p>
        </w:tc>
      </w:tr>
      <w:tr>
        <w:tc>
          <w:tcPr/>
          <w:p>
            <w:pPr>
              <w:pStyle w:val="Compact"/>
              <w:jc w:val="left"/>
            </w:pPr>
            <w:r>
              <w:rPr>
                <w:sz w:val="19"/>
              </w:rPr>
              <w:t xml:space="preserve">Title</w:t>
            </w:r>
          </w:p>
        </w:tc>
        <w:tc>
          <w:tcPr/>
          <w:p>
            <w:pPr>
              <w:pStyle w:val="Compact"/>
              <w:jc w:val="left"/>
            </w:pPr>
            <w:r>
              <w:rPr>
                <w:sz w:val="19"/>
              </w:rPr>
              <w:t xml:space="preserve">[Title]</w:t>
            </w:r>
          </w:p>
        </w:tc>
        <w:tc>
          <w:tcPr/>
          <w:p>
            <w:pPr>
              <w:pStyle w:val="Compact"/>
              <w:jc w:val="left"/>
            </w:pPr>
            <w:r>
              <w:rPr>
                <w:sz w:val="19"/>
              </w:rPr>
              <w:t xml:space="preserve">[Title]</w:t>
            </w:r>
          </w:p>
        </w:tc>
      </w:tr>
      <w:tr>
        <w:tc>
          <w:tcPr/>
          <w:p>
            <w:pPr>
              <w:pStyle w:val="Compact"/>
              <w:jc w:val="left"/>
            </w:pPr>
            <w:r>
              <w:rPr>
                <w:sz w:val="19"/>
              </w:rPr>
              <w:t xml:space="preserve">Signature</w:t>
            </w:r>
          </w:p>
        </w:tc>
        <w:tc>
          <w:tcPr/>
          <w:p>
            <w:pPr>
              <w:pStyle w:val="Compact"/>
            </w:pPr>
          </w:p>
        </w:tc>
        <w:tc>
          <w:tcPr/>
          <w:p>
            <w:pPr>
              <w:pStyle w:val="Compact"/>
            </w:pPr>
          </w:p>
        </w:tc>
      </w:tr>
      <w:tr>
        <w:tc>
          <w:tcPr/>
          <w:p>
            <w:pPr>
              <w:pStyle w:val="Compact"/>
              <w:jc w:val="left"/>
            </w:pPr>
            <w:r>
              <w:rPr>
                <w:sz w:val="19"/>
              </w:rPr>
              <w:t xml:space="preserve">Date</w:t>
            </w:r>
          </w:p>
        </w:tc>
        <w:tc>
          <w:tcPr/>
          <w:p>
            <w:pPr>
              <w:pStyle w:val="Compact"/>
            </w:pPr>
          </w:p>
        </w:tc>
        <w:tc>
          <w:tcPr/>
          <w:p>
            <w:pPr>
              <w:pStyle w:val="Compact"/>
            </w:pPr>
          </w:p>
        </w:tc>
      </w:tr>
    </w:tbl>
    <w:bookmarkEnd w:id="54"/>
    <w:bookmarkStart w:id="55" w:name="appendix-a.-finding-lifecycle"/>
    <w:p>
      <w:pPr>
        <w:pStyle w:val="Heading2"/>
      </w:pPr>
      <w:r>
        <w:t xml:space="preserve">Appendix A. Finding lifecycle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950"/>
        <w:gridCol w:w="2376"/>
        <w:gridCol w:w="3168"/>
        <w:gridCol w:w="1425"/>
      </w:tblGrid>
      <w:tr>
        <w:trPr>
          <w:tblHeader w:val="true"/>
        </w:trPr>
        <w:tc>
          <w:tcPr>
            <w:shd w:val="clear" w:color="auto" w:fill="DCE6F2"/>
          </w:tcPr>
          <w:p>
            <w:pPr>
              <w:pStyle w:val="Compact"/>
              <w:jc w:val="left"/>
            </w:pPr>
            <w:r>
              <w:rPr>
                <w:b/>
                <w:sz w:val="19"/>
              </w:rPr>
              <w:t xml:space="preserve">Status</w:t>
            </w:r>
          </w:p>
        </w:tc>
        <w:tc>
          <w:tcPr>
            <w:shd w:val="clear" w:color="auto" w:fill="DCE6F2"/>
          </w:tcPr>
          <w:p>
            <w:pPr>
              <w:pStyle w:val="Compact"/>
              <w:jc w:val="left"/>
            </w:pPr>
            <w:r>
              <w:rPr>
                <w:b/>
                <w:sz w:val="19"/>
              </w:rPr>
              <w:t xml:space="preserve">Meaning</w:t>
            </w:r>
          </w:p>
        </w:tc>
        <w:tc>
          <w:tcPr>
            <w:shd w:val="clear" w:color="auto" w:fill="DCE6F2"/>
          </w:tcPr>
          <w:p>
            <w:pPr>
              <w:pStyle w:val="Compact"/>
              <w:jc w:val="left"/>
            </w:pPr>
            <w:r>
              <w:rPr>
                <w:b/>
                <w:sz w:val="19"/>
              </w:rPr>
              <w:t xml:space="preserve">How a finding gets there</w:t>
            </w:r>
          </w:p>
        </w:tc>
        <w:tc>
          <w:tcPr>
            <w:shd w:val="clear" w:color="auto" w:fill="DCE6F2"/>
          </w:tcPr>
          <w:p>
            <w:pPr>
              <w:pStyle w:val="Compact"/>
              <w:jc w:val="left"/>
            </w:pPr>
            <w:r>
              <w:rPr>
                <w:b/>
                <w:sz w:val="19"/>
              </w:rPr>
              <w:t xml:space="preserve">Counts in score</w:t>
            </w:r>
          </w:p>
        </w:tc>
      </w:tr>
      <w:tr>
        <w:tc>
          <w:tcPr/>
          <w:p>
            <w:pPr>
              <w:pStyle w:val="Compact"/>
              <w:jc w:val="left"/>
            </w:pPr>
            <w:r>
              <w:rPr>
                <w:bCs/>
                <w:b/>
                <w:sz w:val="19"/>
              </w:rPr>
              <w:t xml:space="preserve">open</w:t>
            </w:r>
          </w:p>
        </w:tc>
        <w:tc>
          <w:tcPr/>
          <w:p>
            <w:pPr>
              <w:pStyle w:val="Compact"/>
              <w:jc w:val="left"/>
            </w:pPr>
            <w:r>
              <w:rPr>
                <w:sz w:val="19"/>
              </w:rPr>
              <w:t xml:space="preserve">Present in the latest scan</w:t>
            </w:r>
          </w:p>
        </w:tc>
        <w:tc>
          <w:tcPr/>
          <w:p>
            <w:pPr>
              <w:pStyle w:val="Compact"/>
              <w:jc w:val="left"/>
            </w:pPr>
            <w:r>
              <w:rPr>
                <w:sz w:val="19"/>
              </w:rPr>
              <w:t xml:space="preserve">First seen, or seen again</w:t>
            </w:r>
          </w:p>
        </w:tc>
        <w:tc>
          <w:tcPr/>
          <w:p>
            <w:pPr>
              <w:pStyle w:val="Compact"/>
              <w:jc w:val="left"/>
            </w:pPr>
            <w:r>
              <w:rPr>
                <w:sz w:val="19"/>
              </w:rPr>
              <w:t xml:space="preserve">Yes</w:t>
            </w:r>
          </w:p>
        </w:tc>
      </w:tr>
      <w:tr>
        <w:tc>
          <w:tcPr/>
          <w:p>
            <w:pPr>
              <w:pStyle w:val="Compact"/>
              <w:jc w:val="left"/>
            </w:pPr>
            <w:r>
              <w:rPr>
                <w:bCs/>
                <w:b/>
                <w:sz w:val="19"/>
              </w:rPr>
              <w:t xml:space="preserve">fixed</w:t>
            </w:r>
          </w:p>
        </w:tc>
        <w:tc>
          <w:tcPr/>
          <w:p>
            <w:pPr>
              <w:pStyle w:val="Compact"/>
              <w:jc w:val="left"/>
            </w:pPr>
            <w:r>
              <w:rPr>
                <w:sz w:val="19"/>
              </w:rPr>
              <w:t xml:space="preserve">Not present in a scan where all its sources ran</w:t>
            </w:r>
          </w:p>
        </w:tc>
        <w:tc>
          <w:tcPr/>
          <w:p>
            <w:pPr>
              <w:pStyle w:val="Compact"/>
              <w:jc w:val="left"/>
            </w:pPr>
            <w:r>
              <w:rPr>
                <w:sz w:val="19"/>
              </w:rPr>
              <w:t xml:space="preserve">Disappears from a complete scan</w:t>
            </w:r>
          </w:p>
        </w:tc>
        <w:tc>
          <w:tcPr/>
          <w:p>
            <w:pPr>
              <w:pStyle w:val="Compact"/>
              <w:jc w:val="left"/>
            </w:pPr>
            <w:r>
              <w:rPr>
                <w:sz w:val="19"/>
              </w:rPr>
              <w:t xml:space="preserve">No</w:t>
            </w:r>
          </w:p>
        </w:tc>
      </w:tr>
      <w:tr>
        <w:tc>
          <w:tcPr/>
          <w:p>
            <w:pPr>
              <w:pStyle w:val="Compact"/>
              <w:jc w:val="left"/>
            </w:pPr>
            <w:r>
              <w:rPr>
                <w:bCs/>
                <w:b/>
                <w:sz w:val="19"/>
              </w:rPr>
              <w:t xml:space="preserve">regressed</w:t>
            </w:r>
          </w:p>
        </w:tc>
        <w:tc>
          <w:tcPr/>
          <w:p>
            <w:pPr>
              <w:pStyle w:val="Compact"/>
              <w:jc w:val="left"/>
            </w:pPr>
            <w:r>
              <w:rPr>
                <w:sz w:val="19"/>
              </w:rPr>
              <w:t xml:space="preserve">Was fixed, is present again</w:t>
            </w:r>
          </w:p>
        </w:tc>
        <w:tc>
          <w:tcPr/>
          <w:p>
            <w:pPr>
              <w:pStyle w:val="Compact"/>
              <w:jc w:val="left"/>
            </w:pPr>
            <w:r>
              <w:rPr>
                <w:sz w:val="19"/>
              </w:rPr>
              <w:t xml:space="preserve">Reappears after being fixed</w:t>
            </w:r>
          </w:p>
        </w:tc>
        <w:tc>
          <w:tcPr/>
          <w:p>
            <w:pPr>
              <w:pStyle w:val="Compact"/>
              <w:jc w:val="left"/>
            </w:pPr>
            <w:r>
              <w:rPr>
                <w:sz w:val="19"/>
              </w:rPr>
              <w:t xml:space="preserve">Yes</w:t>
            </w:r>
          </w:p>
        </w:tc>
      </w:tr>
      <w:tr>
        <w:tc>
          <w:tcPr/>
          <w:p>
            <w:pPr>
              <w:pStyle w:val="Compact"/>
              <w:jc w:val="left"/>
            </w:pPr>
            <w:r>
              <w:rPr>
                <w:bCs/>
                <w:b/>
                <w:sz w:val="19"/>
              </w:rPr>
              <w:t xml:space="preserve">accepted</w:t>
            </w:r>
          </w:p>
        </w:tc>
        <w:tc>
          <w:tcPr/>
          <w:p>
            <w:pPr>
              <w:pStyle w:val="Compact"/>
              <w:jc w:val="left"/>
            </w:pPr>
            <w:r>
              <w:rPr>
                <w:sz w:val="19"/>
              </w:rPr>
              <w:t xml:space="preserve">Knowingly accepted by the MSP until an expiry date</w:t>
            </w:r>
          </w:p>
        </w:tc>
        <w:tc>
          <w:tcPr/>
          <w:p>
            <w:pPr>
              <w:pStyle w:val="Compact"/>
              <w:jc w:val="left"/>
            </w:pPr>
            <w:r>
              <w:rPr>
                <w:sz w:val="19"/>
              </w:rPr>
              <w:t xml:space="preserve">Accepted-risk entry created</w:t>
            </w:r>
          </w:p>
        </w:tc>
        <w:tc>
          <w:tcPr/>
          <w:p>
            <w:pPr>
              <w:pStyle w:val="Compact"/>
              <w:jc w:val="left"/>
            </w:pPr>
            <w:r>
              <w:rPr>
                <w:sz w:val="19"/>
              </w:rPr>
              <w:t xml:space="preserve">No</w:t>
            </w:r>
          </w:p>
        </w:tc>
      </w:tr>
    </w:tbl>
    <w:p>
      <w:pPr>
        <w:pStyle w:val="BodyText"/>
      </w:pPr>
      <w:r>
        <w:t xml:space="preserve">Rules: a scan outside a finding’s scope never changes it; a finding whose source did not run keeps its status; fixed findings stay visible for 90 days and remain in history; an accepted finding that expires returns to open.</w:t>
      </w:r>
    </w:p>
    <w:bookmarkEnd w:id="55"/>
    <w:bookmarkStart w:id="56" w:name="appendix-b.-attack-path-catalogue"/>
    <w:p>
      <w:pPr>
        <w:pStyle w:val="Heading2"/>
      </w:pPr>
      <w:r>
        <w:t xml:space="preserve">Appendix B. Attack path catalogue</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633"/>
        <w:gridCol w:w="1584"/>
        <w:gridCol w:w="4118"/>
        <w:gridCol w:w="1584"/>
      </w:tblGrid>
      <w:tr>
        <w:trPr>
          <w:tblHeader w:val="true"/>
        </w:trPr>
        <w:tc>
          <w:tcPr>
            <w:shd w:val="clear" w:color="auto" w:fill="DCE6F2"/>
          </w:tcPr>
          <w:p>
            <w:pPr>
              <w:pStyle w:val="Compact"/>
              <w:jc w:val="left"/>
            </w:pPr>
            <w:r>
              <w:rPr>
                <w:b/>
                <w:sz w:val="19"/>
              </w:rPr>
              <w:t xml:space="preserve">ID</w:t>
            </w:r>
          </w:p>
        </w:tc>
        <w:tc>
          <w:tcPr>
            <w:shd w:val="clear" w:color="auto" w:fill="DCE6F2"/>
          </w:tcPr>
          <w:p>
            <w:pPr>
              <w:pStyle w:val="Compact"/>
              <w:jc w:val="left"/>
            </w:pPr>
            <w:r>
              <w:rPr>
                <w:b/>
                <w:sz w:val="19"/>
              </w:rPr>
              <w:t xml:space="preserve">Path</w:t>
            </w:r>
          </w:p>
        </w:tc>
        <w:tc>
          <w:tcPr>
            <w:shd w:val="clear" w:color="auto" w:fill="DCE6F2"/>
          </w:tcPr>
          <w:p>
            <w:pPr>
              <w:pStyle w:val="Compact"/>
              <w:jc w:val="left"/>
            </w:pPr>
            <w:r>
              <w:rPr>
                <w:b/>
                <w:sz w:val="19"/>
              </w:rPr>
              <w:t xml:space="preserve">Conditions (all must hold)</w:t>
            </w:r>
          </w:p>
        </w:tc>
        <w:tc>
          <w:tcPr>
            <w:shd w:val="clear" w:color="auto" w:fill="DCE6F2"/>
          </w:tcPr>
          <w:p>
            <w:pPr>
              <w:pStyle w:val="Compact"/>
              <w:jc w:val="left"/>
            </w:pPr>
            <w:r>
              <w:rPr>
                <w:b/>
                <w:sz w:val="19"/>
              </w:rPr>
              <w:t xml:space="preserve">Break the chain by</w:t>
            </w:r>
          </w:p>
        </w:tc>
      </w:tr>
      <w:tr>
        <w:tc>
          <w:tcPr/>
          <w:p>
            <w:pPr>
              <w:pStyle w:val="Compact"/>
              <w:jc w:val="left"/>
            </w:pPr>
            <w:r>
              <w:rPr>
                <w:sz w:val="19"/>
              </w:rPr>
              <w:t xml:space="preserve">AP-1</w:t>
            </w:r>
          </w:p>
        </w:tc>
        <w:tc>
          <w:tcPr/>
          <w:p>
            <w:pPr>
              <w:pStyle w:val="Compact"/>
              <w:jc w:val="left"/>
            </w:pPr>
            <w:r>
              <w:rPr>
                <w:bCs/>
                <w:b/>
                <w:sz w:val="19"/>
              </w:rPr>
              <w:t xml:space="preserve">Internet to administrator</w:t>
            </w:r>
          </w:p>
        </w:tc>
        <w:tc>
          <w:tcPr/>
          <w:p>
            <w:pPr>
              <w:pStyle w:val="Compact"/>
              <w:jc w:val="left"/>
            </w:pPr>
            <w:r>
              <w:rPr>
                <w:sz w:val="19"/>
              </w:rPr>
              <w:t xml:space="preserve">Instance has a public address; a security group allows 0.0.0.0/0 on a remote-access or database port, or on all ports; the instance role is an administrator or has wildcard actions on all resources</w:t>
            </w:r>
          </w:p>
        </w:tc>
        <w:tc>
          <w:tcPr/>
          <w:p>
            <w:pPr>
              <w:pStyle w:val="Compact"/>
              <w:jc w:val="left"/>
            </w:pPr>
            <w:r>
              <w:rPr>
                <w:sz w:val="19"/>
              </w:rPr>
              <w:t xml:space="preserve">Restricting the security group</w:t>
            </w:r>
          </w:p>
        </w:tc>
      </w:tr>
      <w:tr>
        <w:tc>
          <w:tcPr/>
          <w:p>
            <w:pPr>
              <w:pStyle w:val="Compact"/>
              <w:jc w:val="left"/>
            </w:pPr>
            <w:r>
              <w:rPr>
                <w:sz w:val="19"/>
              </w:rPr>
              <w:t xml:space="preserve">AP-2</w:t>
            </w:r>
          </w:p>
        </w:tc>
        <w:tc>
          <w:tcPr/>
          <w:p>
            <w:pPr>
              <w:pStyle w:val="Compact"/>
              <w:jc w:val="left"/>
            </w:pPr>
            <w:r>
              <w:rPr>
                <w:bCs/>
                <w:b/>
                <w:sz w:val="19"/>
              </w:rPr>
              <w:t xml:space="preserve">Internet to data</w:t>
            </w:r>
          </w:p>
        </w:tc>
        <w:tc>
          <w:tcPr/>
          <w:p>
            <w:pPr>
              <w:pStyle w:val="Compact"/>
              <w:jc w:val="left"/>
            </w:pPr>
            <w:r>
              <w:rPr>
                <w:sz w:val="19"/>
              </w:rPr>
              <w:t xml:space="preserve">Same exposure as AP-1; the role can read or write S3 broadly</w:t>
            </w:r>
          </w:p>
        </w:tc>
        <w:tc>
          <w:tcPr/>
          <w:p>
            <w:pPr>
              <w:pStyle w:val="Compact"/>
              <w:jc w:val="left"/>
            </w:pPr>
            <w:r>
              <w:rPr>
                <w:sz w:val="19"/>
              </w:rPr>
              <w:t xml:space="preserve">Restricting the group, then narrowing the role</w:t>
            </w:r>
          </w:p>
        </w:tc>
      </w:tr>
      <w:tr>
        <w:tc>
          <w:tcPr/>
          <w:p>
            <w:pPr>
              <w:pStyle w:val="Compact"/>
              <w:jc w:val="left"/>
            </w:pPr>
            <w:r>
              <w:rPr>
                <w:sz w:val="19"/>
              </w:rPr>
              <w:t xml:space="preserve">AP-3</w:t>
            </w:r>
          </w:p>
        </w:tc>
        <w:tc>
          <w:tcPr/>
          <w:p>
            <w:pPr>
              <w:pStyle w:val="Compact"/>
              <w:jc w:val="left"/>
            </w:pPr>
            <w:r>
              <w:rPr>
                <w:bCs/>
                <w:b/>
                <w:sz w:val="19"/>
              </w:rPr>
              <w:t xml:space="preserve">Public, unprotected bucket</w:t>
            </w:r>
          </w:p>
        </w:tc>
        <w:tc>
          <w:tcPr/>
          <w:p>
            <w:pPr>
              <w:pStyle w:val="Compact"/>
              <w:jc w:val="left"/>
            </w:pPr>
            <w:r>
              <w:rPr>
                <w:sz w:val="19"/>
              </w:rPr>
              <w:t xml:space="preserve">Bucket public through policy or ACL or lacking a full public-access block; no default encryption</w:t>
            </w:r>
          </w:p>
        </w:tc>
        <w:tc>
          <w:tcPr/>
          <w:p>
            <w:pPr>
              <w:pStyle w:val="Compact"/>
              <w:jc w:val="left"/>
            </w:pPr>
            <w:r>
              <w:rPr>
                <w:sz w:val="19"/>
              </w:rPr>
              <w:t xml:space="preserve">Enabling the public-access block</w:t>
            </w:r>
          </w:p>
        </w:tc>
      </w:tr>
      <w:tr>
        <w:tc>
          <w:tcPr/>
          <w:p>
            <w:pPr>
              <w:pStyle w:val="Compact"/>
              <w:jc w:val="left"/>
            </w:pPr>
            <w:r>
              <w:rPr>
                <w:sz w:val="19"/>
              </w:rPr>
              <w:t xml:space="preserve">AP-4</w:t>
            </w:r>
          </w:p>
        </w:tc>
        <w:tc>
          <w:tcPr/>
          <w:p>
            <w:pPr>
              <w:pStyle w:val="Compact"/>
              <w:jc w:val="left"/>
            </w:pPr>
            <w:r>
              <w:rPr>
                <w:bCs/>
                <w:b/>
                <w:sz w:val="19"/>
              </w:rPr>
              <w:t xml:space="preserve">Public database</w:t>
            </w:r>
          </w:p>
        </w:tc>
        <w:tc>
          <w:tcPr/>
          <w:p>
            <w:pPr>
              <w:pStyle w:val="Compact"/>
              <w:jc w:val="left"/>
            </w:pPr>
            <w:r>
              <w:rPr>
                <w:sz w:val="19"/>
              </w:rPr>
              <w:t xml:space="preserve">Database publicly accessible; its security group allows 0.0.0.0/0 on the database port; storage not encrypted</w:t>
            </w:r>
          </w:p>
        </w:tc>
        <w:tc>
          <w:tcPr/>
          <w:p>
            <w:pPr>
              <w:pStyle w:val="Compact"/>
              <w:jc w:val="left"/>
            </w:pPr>
            <w:r>
              <w:rPr>
                <w:sz w:val="19"/>
              </w:rPr>
              <w:t xml:space="preserve">Turning off public access</w:t>
            </w:r>
          </w:p>
        </w:tc>
      </w:tr>
      <w:tr>
        <w:tc>
          <w:tcPr/>
          <w:p>
            <w:pPr>
              <w:pStyle w:val="Compact"/>
              <w:jc w:val="left"/>
            </w:pPr>
            <w:r>
              <w:rPr>
                <w:sz w:val="19"/>
              </w:rPr>
              <w:t xml:space="preserve">AP-5</w:t>
            </w:r>
          </w:p>
        </w:tc>
        <w:tc>
          <w:tcPr/>
          <w:p>
            <w:pPr>
              <w:pStyle w:val="Compact"/>
              <w:jc w:val="left"/>
            </w:pPr>
            <w:r>
              <w:rPr>
                <w:bCs/>
                <w:b/>
                <w:sz w:val="19"/>
              </w:rPr>
              <w:t xml:space="preserve">Public function with power</w:t>
            </w:r>
          </w:p>
        </w:tc>
        <w:tc>
          <w:tcPr/>
          <w:p>
            <w:pPr>
              <w:pStyle w:val="Compact"/>
              <w:jc w:val="left"/>
            </w:pPr>
            <w:r>
              <w:rPr>
                <w:sz w:val="19"/>
              </w:rPr>
              <w:t xml:space="preserve">Lambda function URL with no authentication; the function role is an administrator or has wildcard actions</w:t>
            </w:r>
          </w:p>
        </w:tc>
        <w:tc>
          <w:tcPr/>
          <w:p>
            <w:pPr>
              <w:pStyle w:val="Compact"/>
              <w:jc w:val="left"/>
            </w:pPr>
            <w:r>
              <w:rPr>
                <w:sz w:val="19"/>
              </w:rPr>
              <w:t xml:space="preserve">Requiring IAM authentication on the URL</w:t>
            </w:r>
          </w:p>
        </w:tc>
      </w:tr>
      <w:tr>
        <w:tc>
          <w:tcPr/>
          <w:p>
            <w:pPr>
              <w:pStyle w:val="Compact"/>
              <w:jc w:val="left"/>
            </w:pPr>
            <w:r>
              <w:rPr>
                <w:sz w:val="19"/>
              </w:rPr>
              <w:t xml:space="preserve">AP-6</w:t>
            </w:r>
          </w:p>
        </w:tc>
        <w:tc>
          <w:tcPr/>
          <w:p>
            <w:pPr>
              <w:pStyle w:val="Compact"/>
              <w:jc w:val="left"/>
            </w:pPr>
            <w:r>
              <w:rPr>
                <w:bCs/>
                <w:b/>
                <w:sz w:val="19"/>
              </w:rPr>
              <w:t xml:space="preserve">Identity takeover</w:t>
            </w:r>
          </w:p>
        </w:tc>
        <w:tc>
          <w:tcPr/>
          <w:p>
            <w:pPr>
              <w:pStyle w:val="Compact"/>
              <w:jc w:val="left"/>
            </w:pPr>
            <w:r>
              <w:rPr>
                <w:sz w:val="19"/>
              </w:rPr>
              <w:t xml:space="preserve">Console user with no MFA; user has administrator access; an access key older than 90 days</w:t>
            </w:r>
          </w:p>
        </w:tc>
        <w:tc>
          <w:tcPr/>
          <w:p>
            <w:pPr>
              <w:pStyle w:val="Compact"/>
              <w:jc w:val="left"/>
            </w:pPr>
            <w:r>
              <w:rPr>
                <w:sz w:val="19"/>
              </w:rPr>
              <w:t xml:space="preserve">Enforcing MFA</w:t>
            </w:r>
          </w:p>
        </w:tc>
      </w:tr>
    </w:tbl>
    <w:bookmarkEnd w:id="56"/>
    <w:bookmarkStart w:id="57" w:name="appendix-c.-report-outline"/>
    <w:p>
      <w:pPr>
        <w:pStyle w:val="Heading2"/>
      </w:pPr>
      <w:r>
        <w:t xml:space="preserve">Appendix C. Report outline</w:t>
      </w:r>
    </w:p>
    <w:p>
      <w:pPr>
        <w:numPr>
          <w:ilvl w:val="0"/>
          <w:numId w:val="1009"/>
        </w:numPr>
        <w:pStyle w:val="Compact"/>
      </w:pPr>
      <w:r>
        <w:t xml:space="preserve">Cover: MSP and client names, logo, report date, scope, status and version.</w:t>
      </w:r>
    </w:p>
    <w:p>
      <w:pPr>
        <w:numPr>
          <w:ilvl w:val="0"/>
          <w:numId w:val="1009"/>
        </w:numPr>
        <w:pStyle w:val="Compact"/>
      </w:pPr>
      <w:r>
        <w:t xml:space="preserve">Executive summary: score, rating, change since the last report, three sentences on what matters.</w:t>
      </w:r>
    </w:p>
    <w:p>
      <w:pPr>
        <w:numPr>
          <w:ilvl w:val="0"/>
          <w:numId w:val="1009"/>
        </w:numPr>
        <w:pStyle w:val="Compact"/>
      </w:pPr>
      <w:r>
        <w:t xml:space="preserve">Score trend and what changed: new, fixed, regressed.</w:t>
      </w:r>
    </w:p>
    <w:p>
      <w:pPr>
        <w:numPr>
          <w:ilvl w:val="0"/>
          <w:numId w:val="1009"/>
        </w:numPr>
        <w:pStyle w:val="Compact"/>
      </w:pPr>
      <w:r>
        <w:t xml:space="preserve">Top fixes: the ranked list with owner, effort and target date.</w:t>
      </w:r>
    </w:p>
    <w:p>
      <w:pPr>
        <w:numPr>
          <w:ilvl w:val="0"/>
          <w:numId w:val="1009"/>
        </w:numPr>
        <w:pStyle w:val="Compact"/>
      </w:pPr>
      <w:r>
        <w:t xml:space="preserve">Attack paths: each path, its evidence and where to break it.</w:t>
      </w:r>
    </w:p>
    <w:p>
      <w:pPr>
        <w:numPr>
          <w:ilvl w:val="0"/>
          <w:numId w:val="1009"/>
        </w:numPr>
        <w:pStyle w:val="Compact"/>
      </w:pPr>
      <w:r>
        <w:t xml:space="preserve">Findings by service and severity, with the fix guidance.</w:t>
      </w:r>
    </w:p>
    <w:p>
      <w:pPr>
        <w:numPr>
          <w:ilvl w:val="0"/>
          <w:numId w:val="1009"/>
        </w:numPr>
        <w:pStyle w:val="Compact"/>
      </w:pPr>
      <w:r>
        <w:t xml:space="preserve">Accepted risks: reason, owner, expiry.</w:t>
      </w:r>
    </w:p>
    <w:p>
      <w:pPr>
        <w:numPr>
          <w:ilvl w:val="0"/>
          <w:numId w:val="1009"/>
        </w:numPr>
        <w:pStyle w:val="Compact"/>
      </w:pPr>
      <w:r>
        <w:t xml:space="preserve">CIS-mapped controls: pass, fail and accepted counts.</w:t>
      </w:r>
    </w:p>
    <w:p>
      <w:pPr>
        <w:numPr>
          <w:ilvl w:val="0"/>
          <w:numId w:val="1009"/>
        </w:numPr>
        <w:pStyle w:val="Compact"/>
      </w:pPr>
      <w:r>
        <w:t xml:space="preserve">Scope and method: sources run, regions covered, scan times, limits (read-only; point-in-time).</w:t>
      </w:r>
    </w:p>
    <w:p>
      <w:pPr>
        <w:numPr>
          <w:ilvl w:val="0"/>
          <w:numId w:val="1009"/>
        </w:numPr>
        <w:pStyle w:val="Compact"/>
      </w:pPr>
      <w:r>
        <w:t xml:space="preserve">Review record: reviewer name, decision and time.</w:t>
      </w:r>
    </w:p>
    <w:bookmarkEnd w:id="57"/>
    <w:bookmarkStart w:id="58" w:name="X6ae0ea705ff5bca361ba556250b61428e5f7328"/>
    <w:p>
      <w:pPr>
        <w:pStyle w:val="Heading2"/>
      </w:pPr>
      <w:r>
        <w:t xml:space="preserve">Appendix D. Native source mapping (paid build)</w:t>
      </w:r>
    </w:p>
    <w:tbl>
      <w:tblPr>
        <w:tblStyle w:val="Table"/>
        <w:tblW w:type="pct" w:w="5000"/>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left w:w="80" w:type="dxa"/>
          <w:right w:w="80" w:type="dxa"/>
        </w:tblCellMar>
      </w:tblPr>
      <w:tblGrid>
        <w:gridCol w:w="1108"/>
        <w:gridCol w:w="2059"/>
        <w:gridCol w:w="2692"/>
        <w:gridCol w:w="2059"/>
      </w:tblGrid>
      <w:tr>
        <w:trPr>
          <w:tblHeader w:val="true"/>
        </w:trPr>
        <w:tc>
          <w:tcPr>
            <w:shd w:val="clear" w:color="auto" w:fill="DCE6F2"/>
          </w:tcPr>
          <w:p>
            <w:pPr>
              <w:pStyle w:val="Compact"/>
              <w:jc w:val="left"/>
            </w:pPr>
            <w:r>
              <w:rPr>
                <w:b/>
                <w:sz w:val="19"/>
              </w:rPr>
              <w:t xml:space="preserve">Source</w:t>
            </w:r>
          </w:p>
        </w:tc>
        <w:tc>
          <w:tcPr>
            <w:shd w:val="clear" w:color="auto" w:fill="DCE6F2"/>
          </w:tcPr>
          <w:p>
            <w:pPr>
              <w:pStyle w:val="Compact"/>
              <w:jc w:val="left"/>
            </w:pPr>
            <w:r>
              <w:rPr>
                <w:b/>
                <w:sz w:val="19"/>
              </w:rPr>
              <w:t xml:space="preserve">What is read</w:t>
            </w:r>
          </w:p>
        </w:tc>
        <w:tc>
          <w:tcPr>
            <w:shd w:val="clear" w:color="auto" w:fill="DCE6F2"/>
          </w:tcPr>
          <w:p>
            <w:pPr>
              <w:pStyle w:val="Compact"/>
              <w:jc w:val="left"/>
            </w:pPr>
            <w:r>
              <w:rPr>
                <w:b/>
                <w:sz w:val="19"/>
              </w:rPr>
              <w:t xml:space="preserve">Key fields used</w:t>
            </w:r>
          </w:p>
        </w:tc>
        <w:tc>
          <w:tcPr>
            <w:shd w:val="clear" w:color="auto" w:fill="DCE6F2"/>
          </w:tcPr>
          <w:p>
            <w:pPr>
              <w:pStyle w:val="Compact"/>
              <w:jc w:val="left"/>
            </w:pPr>
            <w:r>
              <w:rPr>
                <w:b/>
                <w:sz w:val="19"/>
              </w:rPr>
              <w:t xml:space="preserve">Severity mapping</w:t>
            </w:r>
          </w:p>
        </w:tc>
      </w:tr>
      <w:tr>
        <w:tc>
          <w:tcPr/>
          <w:p>
            <w:pPr>
              <w:pStyle w:val="Compact"/>
              <w:jc w:val="left"/>
            </w:pPr>
            <w:r>
              <w:rPr>
                <w:bCs/>
                <w:b/>
                <w:sz w:val="19"/>
              </w:rPr>
              <w:t xml:space="preserve">Security Hub</w:t>
            </w:r>
          </w:p>
        </w:tc>
        <w:tc>
          <w:tcPr/>
          <w:p>
            <w:pPr>
              <w:pStyle w:val="Compact"/>
              <w:jc w:val="left"/>
            </w:pPr>
            <w:r>
              <w:rPr>
                <w:sz w:val="19"/>
              </w:rPr>
              <w:t xml:space="preserve">Active findings with a new or notified workflow status</w:t>
            </w:r>
          </w:p>
        </w:tc>
        <w:tc>
          <w:tcPr/>
          <w:p>
            <w:pPr>
              <w:pStyle w:val="Compact"/>
              <w:jc w:val="left"/>
            </w:pPr>
            <w:r>
              <w:rPr>
                <w:sz w:val="19"/>
              </w:rPr>
              <w:t xml:space="preserve">Severity label, title, description, remediation text, resource ID, type and Region, account, product name, security control ID</w:t>
            </w:r>
          </w:p>
        </w:tc>
        <w:tc>
          <w:tcPr/>
          <w:p>
            <w:pPr>
              <w:pStyle w:val="Compact"/>
              <w:jc w:val="left"/>
            </w:pPr>
            <w:r>
              <w:rPr>
                <w:sz w:val="19"/>
              </w:rPr>
              <w:t xml:space="preserve">Informational, low, medium, high, critical map directly</w:t>
            </w:r>
          </w:p>
        </w:tc>
      </w:tr>
      <w:tr>
        <w:tc>
          <w:tcPr/>
          <w:p>
            <w:pPr>
              <w:pStyle w:val="Compact"/>
              <w:jc w:val="left"/>
            </w:pPr>
            <w:r>
              <w:rPr>
                <w:bCs/>
                <w:b/>
                <w:sz w:val="19"/>
              </w:rPr>
              <w:t xml:space="preserve">GuardDuty</w:t>
            </w:r>
          </w:p>
        </w:tc>
        <w:tc>
          <w:tcPr/>
          <w:p>
            <w:pPr>
              <w:pStyle w:val="Compact"/>
              <w:jc w:val="left"/>
            </w:pPr>
            <w:r>
              <w:rPr>
                <w:sz w:val="19"/>
              </w:rPr>
              <w:t xml:space="preserve">Findings that are not archived, per detector and Region</w:t>
            </w:r>
          </w:p>
        </w:tc>
        <w:tc>
          <w:tcPr/>
          <w:p>
            <w:pPr>
              <w:pStyle w:val="Compact"/>
              <w:jc w:val="left"/>
            </w:pPr>
            <w:r>
              <w:rPr>
                <w:sz w:val="19"/>
              </w:rPr>
              <w:t xml:space="preserve">Type, severity number, resource, first and last seen, count</w:t>
            </w:r>
          </w:p>
        </w:tc>
        <w:tc>
          <w:tcPr/>
          <w:p>
            <w:pPr>
              <w:pStyle w:val="Compact"/>
              <w:jc w:val="left"/>
            </w:pPr>
            <w:r>
              <w:rPr>
                <w:sz w:val="19"/>
              </w:rPr>
              <w:t xml:space="preserve">Number 9.0 or above critical; 7.0 to 8.9 high; 4.0 to 6.9 medium; below 4.0 low. Confirm bands against current AWS documentation</w:t>
            </w:r>
          </w:p>
        </w:tc>
      </w:tr>
      <w:tr>
        <w:tc>
          <w:tcPr/>
          <w:p>
            <w:pPr>
              <w:pStyle w:val="Compact"/>
              <w:jc w:val="left"/>
            </w:pPr>
            <w:r>
              <w:rPr>
                <w:bCs/>
                <w:b/>
                <w:sz w:val="19"/>
              </w:rPr>
              <w:t xml:space="preserve">Inspector</w:t>
            </w:r>
          </w:p>
        </w:tc>
        <w:tc>
          <w:tcPr/>
          <w:p>
            <w:pPr>
              <w:pStyle w:val="Compact"/>
              <w:jc w:val="left"/>
            </w:pPr>
            <w:r>
              <w:rPr>
                <w:sz w:val="19"/>
              </w:rPr>
              <w:t xml:space="preserve">Active findings for instances, container images and Lambda</w:t>
            </w:r>
          </w:p>
        </w:tc>
        <w:tc>
          <w:tcPr/>
          <w:p>
            <w:pPr>
              <w:pStyle w:val="Compact"/>
              <w:jc w:val="left"/>
            </w:pPr>
            <w:r>
              <w:rPr>
                <w:sz w:val="19"/>
              </w:rPr>
              <w:t xml:space="preserve">CVE ID, package, fixed-in version, exploit available, severity</w:t>
            </w:r>
          </w:p>
        </w:tc>
        <w:tc>
          <w:tcPr/>
          <w:p>
            <w:pPr>
              <w:pStyle w:val="Compact"/>
              <w:jc w:val="left"/>
            </w:pPr>
            <w:r>
              <w:rPr>
                <w:sz w:val="19"/>
              </w:rPr>
              <w:t xml:space="preserve">Informational, low, medium, high, critical map directly; untriaged is shown as medium</w:t>
            </w:r>
          </w:p>
        </w:tc>
      </w:tr>
      <w:tr>
        <w:tc>
          <w:tcPr/>
          <w:p>
            <w:pPr>
              <w:pStyle w:val="Compact"/>
              <w:jc w:val="left"/>
            </w:pPr>
            <w:r>
              <w:rPr>
                <w:bCs/>
                <w:b/>
                <w:sz w:val="19"/>
              </w:rPr>
              <w:t xml:space="preserve">Access Analyzer</w:t>
            </w:r>
          </w:p>
        </w:tc>
        <w:tc>
          <w:tcPr/>
          <w:p>
            <w:pPr>
              <w:pStyle w:val="Compact"/>
              <w:jc w:val="left"/>
            </w:pPr>
            <w:r>
              <w:rPr>
                <w:sz w:val="19"/>
              </w:rPr>
              <w:t xml:space="preserve">Active external-access findings from account-level analyzers</w:t>
            </w:r>
          </w:p>
        </w:tc>
        <w:tc>
          <w:tcPr/>
          <w:p>
            <w:pPr>
              <w:pStyle w:val="Compact"/>
              <w:jc w:val="left"/>
            </w:pPr>
            <w:r>
              <w:rPr>
                <w:sz w:val="19"/>
              </w:rPr>
              <w:t xml:space="preserve">Resource, resource type, whether public, principals</w:t>
            </w:r>
          </w:p>
        </w:tc>
        <w:tc>
          <w:tcPr/>
          <w:p>
            <w:pPr>
              <w:pStyle w:val="Compact"/>
              <w:jc w:val="left"/>
            </w:pPr>
            <w:r>
              <w:rPr>
                <w:sz w:val="19"/>
              </w:rPr>
              <w:t xml:space="preserve">Public is high; other external access is medium</w:t>
            </w:r>
          </w:p>
        </w:tc>
      </w:tr>
    </w:tbl>
    <w:p>
      <w:pPr>
        <w:pStyle w:val="BodyText"/>
      </w:pPr>
      <w:r>
        <w:t xml:space="preserve">Resource types outside the eight supported services are shown under</w:t>
      </w:r>
      <w:r>
        <w:t xml:space="preserve"> </w:t>
      </w:r>
      <w:r>
        <w:rPr>
          <w:bCs/>
          <w:b/>
        </w:rPr>
        <w:t xml:space="preserve">Other services</w:t>
      </w:r>
      <w:r>
        <w:t xml:space="preserve">.</w:t>
      </w:r>
    </w:p>
    <w:bookmarkEnd w:id="58"/>
    <w:bookmarkStart w:id="59" w:name="Xd72d0c78e3871d8cca88a65d470b7dfcbc19ebf"/>
    <w:p>
      <w:pPr>
        <w:pStyle w:val="Heading2"/>
      </w:pPr>
      <w:r>
        <w:t xml:space="preserve">Appendix E. Read-only permissions added by the paid build</w:t>
      </w:r>
    </w:p>
    <w:p>
      <w:pPr>
        <w:pStyle w:val="FirstParagraph"/>
      </w:pPr>
      <w:r>
        <w:t xml:space="preserve">Attached only when the client turns the native readers on, as a separate policy:</w:t>
      </w:r>
    </w:p>
    <w:p>
      <w:pPr>
        <w:numPr>
          <w:ilvl w:val="0"/>
          <w:numId w:val="1010"/>
        </w:numPr>
        <w:pStyle w:val="Compact"/>
      </w:pPr>
      <w:r>
        <w:t xml:space="preserve">Security Hub:</w:t>
      </w:r>
      <w:r>
        <w:t xml:space="preserve"> </w:t>
      </w:r>
      <w:r>
        <w:rPr>
          <w:rStyle w:val="VerbatimChar"/>
        </w:rPr>
        <w:t xml:space="preserve">securityhub:GetFindings</w:t>
      </w:r>
      <w:r>
        <w:t xml:space="preserve">,</w:t>
      </w:r>
      <w:r>
        <w:t xml:space="preserve"> </w:t>
      </w:r>
      <w:r>
        <w:rPr>
          <w:rStyle w:val="VerbatimChar"/>
        </w:rPr>
        <w:t xml:space="preserve">securityhub:DescribeHub</w:t>
      </w:r>
      <w:r>
        <w:t xml:space="preserve">,</w:t>
      </w:r>
      <w:r>
        <w:t xml:space="preserve"> </w:t>
      </w:r>
      <w:r>
        <w:rPr>
          <w:rStyle w:val="VerbatimChar"/>
        </w:rPr>
        <w:t xml:space="preserve">securityhub:ListFindingAggregators</w:t>
      </w:r>
    </w:p>
    <w:p>
      <w:pPr>
        <w:numPr>
          <w:ilvl w:val="0"/>
          <w:numId w:val="1010"/>
        </w:numPr>
        <w:pStyle w:val="Compact"/>
      </w:pPr>
      <w:r>
        <w:t xml:space="preserve">GuardDuty:</w:t>
      </w:r>
      <w:r>
        <w:t xml:space="preserve"> </w:t>
      </w:r>
      <w:r>
        <w:rPr>
          <w:rStyle w:val="VerbatimChar"/>
        </w:rPr>
        <w:t xml:space="preserve">guardduty:ListDetectors</w:t>
      </w:r>
      <w:r>
        <w:t xml:space="preserve">,</w:t>
      </w:r>
      <w:r>
        <w:t xml:space="preserve"> </w:t>
      </w:r>
      <w:r>
        <w:rPr>
          <w:rStyle w:val="VerbatimChar"/>
        </w:rPr>
        <w:t xml:space="preserve">guardduty:ListFindings</w:t>
      </w:r>
      <w:r>
        <w:t xml:space="preserve">,</w:t>
      </w:r>
      <w:r>
        <w:t xml:space="preserve"> </w:t>
      </w:r>
      <w:r>
        <w:rPr>
          <w:rStyle w:val="VerbatimChar"/>
        </w:rPr>
        <w:t xml:space="preserve">guardduty:GetFindings</w:t>
      </w:r>
      <w:r>
        <w:t xml:space="preserve">,</w:t>
      </w:r>
      <w:r>
        <w:t xml:space="preserve"> </w:t>
      </w:r>
      <w:r>
        <w:rPr>
          <w:rStyle w:val="VerbatimChar"/>
        </w:rPr>
        <w:t xml:space="preserve">guardduty:GetDetector</w:t>
      </w:r>
    </w:p>
    <w:p>
      <w:pPr>
        <w:numPr>
          <w:ilvl w:val="0"/>
          <w:numId w:val="1010"/>
        </w:numPr>
        <w:pStyle w:val="Compact"/>
      </w:pPr>
      <w:r>
        <w:t xml:space="preserve">Inspector:</w:t>
      </w:r>
      <w:r>
        <w:t xml:space="preserve"> </w:t>
      </w:r>
      <w:r>
        <w:rPr>
          <w:rStyle w:val="VerbatimChar"/>
        </w:rPr>
        <w:t xml:space="preserve">inspector2:ListFindings</w:t>
      </w:r>
      <w:r>
        <w:t xml:space="preserve">,</w:t>
      </w:r>
      <w:r>
        <w:t xml:space="preserve"> </w:t>
      </w:r>
      <w:r>
        <w:rPr>
          <w:rStyle w:val="VerbatimChar"/>
        </w:rPr>
        <w:t xml:space="preserve">inspector2:BatchGetAccountStatus</w:t>
      </w:r>
      <w:r>
        <w:t xml:space="preserve">,</w:t>
      </w:r>
      <w:r>
        <w:t xml:space="preserve"> </w:t>
      </w:r>
      <w:r>
        <w:rPr>
          <w:rStyle w:val="VerbatimChar"/>
        </w:rPr>
        <w:t xml:space="preserve">inspector2:ListCoverage</w:t>
      </w:r>
    </w:p>
    <w:p>
      <w:pPr>
        <w:numPr>
          <w:ilvl w:val="0"/>
          <w:numId w:val="1010"/>
        </w:numPr>
        <w:pStyle w:val="Compact"/>
      </w:pPr>
      <w:r>
        <w:t xml:space="preserve">IAM Access Analyzer:</w:t>
      </w:r>
      <w:r>
        <w:t xml:space="preserve"> </w:t>
      </w:r>
      <w:r>
        <w:rPr>
          <w:rStyle w:val="VerbatimChar"/>
        </w:rPr>
        <w:t xml:space="preserve">access-analyzer:ListAnalyzers</w:t>
      </w:r>
      <w:r>
        <w:t xml:space="preserve">,</w:t>
      </w:r>
      <w:r>
        <w:t xml:space="preserve"> </w:t>
      </w:r>
      <w:r>
        <w:rPr>
          <w:rStyle w:val="VerbatimChar"/>
        </w:rPr>
        <w:t xml:space="preserve">access-analyzer:ListFindingsV2</w:t>
      </w:r>
      <w:r>
        <w:t xml:space="preserve">,</w:t>
      </w:r>
      <w:r>
        <w:t xml:space="preserve"> </w:t>
      </w:r>
      <w:r>
        <w:rPr>
          <w:rStyle w:val="VerbatimChar"/>
        </w:rPr>
        <w:t xml:space="preserve">access-analyzer:GetFindingV2</w:t>
      </w:r>
    </w:p>
    <w:p>
      <w:pPr>
        <w:pStyle w:val="FirstParagraph"/>
      </w:pPr>
      <w:r>
        <w:t xml:space="preserve">No write, update, archive or enable action is requested.</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2026-10-24T14:51:55Z</dcterms:created>
  <dcterms:modified xsi:type="dcterms:W3CDTF">2026-10-24T14:51:55Z</dcterms:modified>
</cp:coreProperties>
</file>

<file path=docProps/custom.xml><?xml version="1.0" encoding="utf-8"?>
<Properties xmlns="http://schemas.openxmlformats.org/officeDocument/2006/custom-properties" xmlns:vt="http://schemas.openxmlformats.org/officeDocument/2006/docPropsVTypes"/>
</file>