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SHL Assessment Recommender — Approach Document</w:t>
      </w:r>
    </w:p>
    <w:p>
      <w:pPr>
        <w:spacing w:after="80"/>
        <w:jc w:val="center"/>
      </w:pPr>
      <w:r>
        <w:rPr>
          <w:b/>
          <w:color w:val="000000"/>
          <w:sz w:val="18"/>
        </w:rPr>
        <w:t xml:space="preserve">Author: </w:t>
      </w:r>
      <w:r>
        <w:rPr>
          <w:color w:val="000000"/>
          <w:sz w:val="18"/>
        </w:rPr>
        <w:t xml:space="preserve">Sriram Nalla    </w:t>
      </w:r>
      <w:r>
        <w:rPr>
          <w:b/>
          <w:color w:val="000000"/>
          <w:sz w:val="18"/>
        </w:rPr>
        <w:t xml:space="preserve">Date: </w:t>
      </w:r>
      <w:r>
        <w:rPr>
          <w:color w:val="000000"/>
          <w:sz w:val="18"/>
        </w:rPr>
        <w:t xml:space="preserve">2026-05-17    </w:t>
      </w:r>
      <w:r>
        <w:rPr>
          <w:b/>
          <w:color w:val="000000"/>
          <w:sz w:val="18"/>
        </w:rPr>
        <w:t xml:space="preserve">Repo: </w:t>
      </w:r>
      <w:r>
        <w:rPr>
          <w:color w:val="000000"/>
          <w:sz w:val="18"/>
        </w:rPr>
        <w:t>github.com/sriramnalla30/shl_project</w:t>
      </w:r>
    </w:p>
    <w:p>
      <w:pPr>
        <w:spacing w:after="160"/>
        <w:jc w:val="center"/>
      </w:pPr>
      <w:r>
        <w:rPr>
          <w:b/>
          <w:color w:val="000000"/>
          <w:sz w:val="18"/>
        </w:rPr>
        <w:t xml:space="preserve">Public Endpoint: </w:t>
      </w:r>
      <w:r>
        <w:rPr>
          <w:color w:val="646464"/>
          <w:sz w:val="18"/>
        </w:rPr>
        <w:t>&lt;TO BE FILLED AFTER RENDER DEPLOYMENT&gt;</w:t>
      </w:r>
    </w:p>
    <w:p>
      <w:pPr>
        <w:pStyle w:val="Heading2"/>
      </w:pPr>
      <w:r>
        <w:rPr>
          <w:rFonts w:ascii="Calibri" w:hAnsi="Calibri"/>
          <w:color w:val="000000"/>
        </w:rPr>
        <w:t>1. Design Choices</w:t>
      </w:r>
    </w:p>
    <w:p>
      <w:pPr>
        <w:spacing w:after="80" w:before="0"/>
      </w:pPr>
      <w:r>
        <w:rPr>
          <w:b w:val="0"/>
          <w:color w:val="000000"/>
          <w:sz w:val="20"/>
        </w:rPr>
        <w:t>The system is a LangGraph state machine with 7 nodes. Each /chat call flows through: guardrail → router → slot extractor → (clarifier | retriever → reranker | comparator | refuse) → composer → validator → END. The validator can loop back to composer up to 2 times for schema correction before falling back to a safe canned reply.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Layer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Component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color w:val="000000"/>
                <w:sz w:val="18"/>
              </w:rPr>
              <w:t>API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color w:val="000000"/>
                <w:sz w:val="18"/>
              </w:rPr>
              <w:t>FastAPI (/health, /chat) with lifespan startup loading catalog, indexes, and allowlist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color w:val="000000"/>
                <w:sz w:val="18"/>
              </w:rPr>
              <w:t>LLM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color w:val="000000"/>
                <w:sz w:val="18"/>
              </w:rPr>
              <w:t>Multi-key Groq (3 keys, Llama 3.3 70B + 8B fallback) + Gemini Flash 2.5 (2 keys); rotating failover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color w:val="000000"/>
                <w:sz w:val="18"/>
              </w:rPr>
              <w:t>Retrieval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color w:val="000000"/>
                <w:sz w:val="18"/>
              </w:rPr>
              <w:t>BM25 + FAISS (bge-small-en-v1.5) → Reciprocal Rank Fusion (k=60) → top-50, hard filters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color w:val="000000"/>
                <w:sz w:val="18"/>
              </w:rPr>
              <w:t>Reranker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color w:val="000000"/>
                <w:sz w:val="18"/>
              </w:rPr>
              <w:t>Single batched LLM call on Gemini Flash (separate quota pool); Groq as fallback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color w:val="000000"/>
                <w:sz w:val="18"/>
              </w:rPr>
              <w:t>Validator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color w:val="000000"/>
                <w:sz w:val="18"/>
              </w:rPr>
              <w:t>Pydantic schema + URL allowlist (754 URLs) + size rules + auto-fix</w:t>
            </w:r>
          </w:p>
        </w:tc>
      </w:tr>
    </w:tbl>
    <w:p>
      <w:pPr>
        <w:spacing w:after="60" w:before="0"/>
      </w:pPr>
      <w:r>
        <w:rPr>
          <w:b w:val="0"/>
          <w:color w:val="000000"/>
          <w:sz w:val="20"/>
        </w:rPr>
      </w:r>
    </w:p>
    <w:p>
      <w:pPr>
        <w:spacing w:after="40" w:before="0"/>
      </w:pPr>
      <w:r>
        <w:rPr>
          <w:b/>
          <w:color w:val="000000"/>
          <w:sz w:val="20"/>
        </w:rPr>
        <w:t>Key decisions:</w:t>
      </w:r>
    </w:p>
    <w:p>
      <w:pPr>
        <w:pStyle w:val="ListBullet"/>
        <w:spacing w:after="20" w:before="0"/>
      </w:pPr>
      <w:r>
        <w:rPr>
          <w:color w:val="000000"/>
          <w:sz w:val="19"/>
        </w:rPr>
        <w:t xml:space="preserve">Catalog-as-truth: </w:t>
      </w:r>
    </w:p>
    <w:p>
      <w:pPr>
        <w:pStyle w:val="ListBullet"/>
        <w:spacing w:after="20" w:before="0"/>
      </w:pPr>
      <w:r>
        <w:rPr>
          <w:color w:val="000000"/>
          <w:sz w:val="19"/>
        </w:rPr>
        <w:t>Adapted code to 377-record scraped catalog (not spec's 366). No silent data loss.</w:t>
      </w:r>
    </w:p>
    <w:p>
      <w:pPr>
        <w:pStyle w:val="ListBullet"/>
        <w:spacing w:after="20" w:before="0"/>
      </w:pPr>
      <w:r>
        <w:rPr>
          <w:color w:val="000000"/>
          <w:sz w:val="19"/>
        </w:rPr>
        <w:t>Multi-key rotating failover across 3 Groq + 2 Gemini accounts eliminates single-key quota exhaustion.</w:t>
      </w:r>
    </w:p>
    <w:p>
      <w:pPr>
        <w:pStyle w:val="ListBullet"/>
        <w:spacing w:after="20" w:before="0"/>
      </w:pPr>
      <w:r>
        <w:rPr>
          <w:color w:val="000000"/>
          <w:sz w:val="19"/>
        </w:rPr>
        <w:t>Router commit-bias: force-recommend at turn 2 (role known) or turn 3 (unconditional). Lifted Recall@10 from 0.10 → 0.43 in one change.</w:t>
      </w:r>
    </w:p>
    <w:p>
      <w:pPr>
        <w:pStyle w:val="ListBullet"/>
        <w:spacing w:after="20" w:before="0"/>
      </w:pPr>
      <w:r>
        <w:rPr>
          <w:color w:val="000000"/>
          <w:sz w:val="19"/>
        </w:rPr>
        <w:t>Foundational item injection: after BM25+FAISS, inject canonical SHL instruments (OPQ32r, OPQ Leadership Report, GSA, GSDR) when query matches trigger patterns. These items rank 60+ in lexical retrieval due to vocabulary mismatch.</w:t>
      </w:r>
    </w:p>
    <w:p>
      <w:pPr>
        <w:pStyle w:val="ListBullet"/>
        <w:spacing w:after="20" w:before="0"/>
      </w:pPr>
      <w:r>
        <w:rPr>
          <w:color w:val="000000"/>
          <w:sz w:val="19"/>
        </w:rPr>
        <w:t>Reranker on Gemini primary: the largest token consumer (~14K/call). Routing to Gemini's separate quota pool prevents Groq rate-limit cascades that pushed latency past 30s.</w:t>
      </w:r>
    </w:p>
    <w:p>
      <w:pPr>
        <w:pStyle w:val="ListBullet"/>
        <w:spacing w:after="20" w:before="0"/>
      </w:pPr>
      <w:r>
        <w:rPr>
          <w:color w:val="000000"/>
          <w:sz w:val="19"/>
        </w:rPr>
        <w:t>Comparator preserves prior shortlist: comparison turns merge prior recommended URLs with the compared pair (deduped, capped at 10).</w:t>
      </w:r>
    </w:p>
    <w:p>
      <w:pPr>
        <w:pStyle w:val="Heading2"/>
      </w:pPr>
      <w:r>
        <w:rPr>
          <w:rFonts w:ascii="Calibri" w:hAnsi="Calibri"/>
          <w:color w:val="000000"/>
        </w:rPr>
        <w:t>2. Retrieval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Knob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Value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BM25 top-k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50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Foundational items rank 30-50 in lexical retrieval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Dense top-k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50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Same reasoning for semantic retrieval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RRF constant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60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Standard, parameter-free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Post-RRF cap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50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Reranker context budget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Reranker output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1-10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Schema cap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Fallback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top-8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8 items when LLM fails (Recall@10 capped by shortlist size)</w:t>
            </w:r>
          </w:p>
        </w:tc>
      </w:tr>
    </w:tbl>
    <w:p>
      <w:pPr>
        <w:spacing w:after="60" w:before="0"/>
      </w:pPr>
      <w:r>
        <w:rPr>
          <w:b w:val="0"/>
          <w:color w:val="000000"/>
          <w:sz w:val="20"/>
        </w:rPr>
      </w:r>
    </w:p>
    <w:p>
      <w:pPr>
        <w:spacing w:after="80" w:before="0"/>
      </w:pPr>
      <w:r>
        <w:rPr>
          <w:b w:val="0"/>
          <w:color w:val="000000"/>
          <w:sz w:val="20"/>
        </w:rPr>
        <w:t>Query expansion table maps 18 user-vocabulary triggers (sales, leadership, re-skill, CXO, audit) to catalog vocabulary (OPQ MQ Sales, Global Skills Assessment). Without it, "re-skill" does not BM25-match "Global Skills Assessment".</w:t>
      </w:r>
    </w:p>
    <w:p>
      <w:pPr>
        <w:pStyle w:val="Heading2"/>
      </w:pPr>
      <w:r>
        <w:rPr>
          <w:rFonts w:ascii="Calibri" w:hAnsi="Calibri"/>
          <w:color w:val="000000"/>
        </w:rPr>
        <w:t>3. Prompt Design</w:t>
      </w:r>
    </w:p>
    <w:p>
      <w:pPr>
        <w:spacing w:after="80" w:before="0"/>
      </w:pPr>
      <w:r>
        <w:rPr>
          <w:b w:val="0"/>
          <w:color w:val="000000"/>
          <w:sz w:val="20"/>
        </w:rPr>
        <w:t>Seven prompt files in app/agent/prompts/: guardrail, router, slot_extractor, clarifier, reranker, composer, comparator. Each receives a shared SKILL primer (escaped braces for .format() safety) plus context placeholders. The reranker rubric has 8 priority-ordered rules including "MUST include OPQ32r when personality/leadership/sales is in scope" and "prefer broad universal reports over narrow variants."</w:t>
      </w:r>
    </w:p>
    <w:p>
      <w:pPr>
        <w:pStyle w:val="Heading2"/>
      </w:pPr>
      <w:r>
        <w:rPr>
          <w:rFonts w:ascii="Calibri" w:hAnsi="Calibri"/>
          <w:color w:val="000000"/>
        </w:rPr>
        <w:t>4. Evaluation Approach</w:t>
      </w:r>
    </w:p>
    <w:p>
      <w:pPr>
        <w:spacing w:after="80" w:before="0"/>
      </w:pPr>
      <w:r>
        <w:rPr>
          <w:b w:val="0"/>
          <w:color w:val="000000"/>
          <w:sz w:val="20"/>
        </w:rPr>
        <w:t>Custom replay harness (eval/replay.py) parses the 10 sample markdown conversations into structured records (user turns + expected URLs), sends each conversation through /chat sequentially, and computes Recall@10 against expected URLs. Inter-trace delay of 3s paces rate-limits.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Trace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Recall@10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C1 (CXO leadership)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1.00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Foundational injection guarantees all 3 OPQ items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C2 (Rust developer)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0.40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Gap acknowledgment; no Rust-specific test in catalog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C3 (training material)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0.50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Multi-turn refinement works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C4 (sales manager)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0.60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Sales-specific recall limited by catalog overlap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C5 (sales re-skill)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0.60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Foundational injection provides GSA/GSDR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C6 (chemical plant)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0.00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Injection mis-triggers on "supervisor" — known limitation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C7 (contact center)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0.40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C8 (skills audit)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0.20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Broad JD, limited overlap with expected items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C9 (full-stack JD)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0.14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7-turn JD; broad-query detection triggers clarify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C10 (graduate analyst)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0.50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000000"/>
                <w:sz w:val="18"/>
              </w:rPr>
              <w:t>Honor-the-edit conflicts with injection rule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Mean Recall@10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0.434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color w:val="000000"/>
                <w:sz w:val="18"/>
              </w:rPr>
              <w:t>Range 0.43-0.65 depending on Groq quota</w:t>
            </w:r>
          </w:p>
        </w:tc>
      </w:tr>
    </w:tbl>
    <w:p>
      <w:pPr>
        <w:spacing w:after="60" w:before="0"/>
      </w:pPr>
      <w:r>
        <w:rPr>
          <w:b w:val="0"/>
          <w:color w:val="000000"/>
          <w:sz w:val="20"/>
        </w:rPr>
      </w:r>
    </w:p>
    <w:p>
      <w:pPr>
        <w:spacing w:after="80" w:before="0"/>
      </w:pPr>
      <w:r>
        <w:rPr>
          <w:b w:val="0"/>
          <w:color w:val="000000"/>
          <w:sz w:val="20"/>
        </w:rPr>
        <w:t>12 end-to-end behavior probes (pytest) cover: schema compliance, URL grounding, size limits, off-topic refusal, prompt injection resistance, clarification, slot extraction, multi-turn refinement, comparison, duration filtering, end_of_conversation consistency, and latency (&lt;30s). All 12 pass locally.</w:t>
      </w:r>
    </w:p>
    <w:p>
      <w:pPr>
        <w:pStyle w:val="Heading2"/>
      </w:pPr>
      <w:r>
        <w:rPr>
          <w:rFonts w:ascii="Calibri" w:hAnsi="Calibri"/>
          <w:color w:val="000000"/>
        </w:rPr>
        <w:t>5. What Didn't Work</w:t>
      </w:r>
    </w:p>
    <w:p>
      <w:pPr>
        <w:pStyle w:val="ListBullet"/>
        <w:spacing w:after="20" w:before="0"/>
      </w:pPr>
      <w:r>
        <w:rPr>
          <w:color w:val="000000"/>
          <w:sz w:val="19"/>
        </w:rPr>
        <w:t>Single Groq key: daily 100K token cap exhausted by trace 4-5, cascading rest into fallback (Recall 0.10-0.27). Fixed by multi-key rotation + Gemini reranker.</w:t>
      </w:r>
    </w:p>
    <w:p>
      <w:pPr>
        <w:pStyle w:val="ListBullet"/>
        <w:spacing w:after="20" w:before="0"/>
      </w:pPr>
      <w:r>
        <w:rPr>
          <w:color w:val="000000"/>
          <w:sz w:val="19"/>
        </w:rPr>
        <w:t>Reranker rubric without foundational injection: telling the LLM "always include OPQ32r" had no effect because OPQ32r was not in the candidate pool. Injection at retriever level solved this.</w:t>
      </w:r>
    </w:p>
    <w:p>
      <w:pPr>
        <w:pStyle w:val="ListBullet"/>
        <w:spacing w:after="20" w:before="0"/>
      </w:pPr>
      <w:r>
        <w:rPr>
          <w:color w:val="000000"/>
          <w:sz w:val="19"/>
        </w:rPr>
        <w:t>Turn-budget = 5 force-recommend threshold: agent loop-clarified for all conversations under 5 turns (8 of 10 traces). Lowered to turn 2.</w:t>
      </w:r>
    </w:p>
    <w:p>
      <w:pPr>
        <w:pStyle w:val="ListBullet"/>
        <w:spacing w:after="20" w:before="0"/>
      </w:pPr>
      <w:r>
        <w:rPr>
          <w:color w:val="000000"/>
          <w:sz w:val="19"/>
        </w:rPr>
        <w:t>Vacuous-pass probes: original assertions passed on empty recommendations. Rewrote to assert non-empty + test-type letter presence.</w:t>
      </w:r>
    </w:p>
    <w:p>
      <w:pPr>
        <w:pStyle w:val="Heading2"/>
      </w:pPr>
      <w:r>
        <w:rPr>
          <w:rFonts w:ascii="Calibri" w:hAnsi="Calibri"/>
          <w:color w:val="000000"/>
        </w:rPr>
        <w:t>6. Risks and Known Limitations</w:t>
      </w:r>
    </w:p>
    <w:p>
      <w:pPr>
        <w:pStyle w:val="ListBullet"/>
        <w:spacing w:after="20" w:before="0"/>
      </w:pPr>
      <w:r>
        <w:rPr>
          <w:color w:val="000000"/>
          <w:sz w:val="19"/>
        </w:rPr>
        <w:t>Foundational injection over-triggers on C6 (chemical plant + "supervisor") — injects OPQ32r when user wants safety/reliability assessments.</w:t>
      </w:r>
    </w:p>
    <w:p>
      <w:pPr>
        <w:pStyle w:val="ListBullet"/>
        <w:spacing w:after="20" w:before="0"/>
      </w:pPr>
      <w:r>
        <w:rPr>
          <w:color w:val="000000"/>
          <w:sz w:val="19"/>
        </w:rPr>
        <w:t>Free-tier latency floor: Groq cold-start adds 8-12s; Render free tier adds 30-50s on first request after spin-down.</w:t>
      </w:r>
    </w:p>
    <w:p>
      <w:pPr>
        <w:pStyle w:val="ListBullet"/>
        <w:spacing w:after="20" w:before="0"/>
      </w:pPr>
      <w:r>
        <w:rPr>
          <w:color w:val="000000"/>
          <w:sz w:val="19"/>
        </w:rPr>
        <w:t>Hidden trace coverage: foundational-injection rules are tuned to patterns in C1-C10; hidden traces may differ.</w:t>
      </w:r>
    </w:p>
    <w:p>
      <w:pPr>
        <w:pStyle w:val="Heading2"/>
      </w:pPr>
      <w:r>
        <w:rPr>
          <w:rFonts w:ascii="Calibri" w:hAnsi="Calibri"/>
          <w:color w:val="000000"/>
        </w:rPr>
        <w:t>7. AI Tools Used</w:t>
      </w:r>
    </w:p>
    <w:p>
      <w:pPr>
        <w:pStyle w:val="ListBullet"/>
        <w:spacing w:after="20" w:before="0"/>
      </w:pPr>
      <w:r>
        <w:rPr>
          <w:color w:val="000000"/>
          <w:sz w:val="19"/>
        </w:rPr>
        <w:t>Antigravity (Claude Opus 4.6): initial scaffolding, refactor passes, bulk edits, verification-gated prompts.</w:t>
      </w:r>
    </w:p>
    <w:p>
      <w:pPr>
        <w:pStyle w:val="ListBullet"/>
        <w:spacing w:after="20" w:before="0"/>
      </w:pPr>
      <w:r>
        <w:rPr>
          <w:color w:val="000000"/>
          <w:sz w:val="19"/>
        </w:rPr>
        <w:t>Groq (Llama 3.3 70B, Llama 3.1 8B): production LLM for all runtime agent nodes.</w:t>
      </w:r>
    </w:p>
    <w:p>
      <w:pPr>
        <w:pStyle w:val="ListBullet"/>
        <w:spacing w:after="20" w:before="0"/>
      </w:pPr>
      <w:r>
        <w:rPr>
          <w:color w:val="000000"/>
          <w:sz w:val="19"/>
        </w:rPr>
        <w:t>Gemini Flash 2.5: reranker primary path + final-tier LLM fallback.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