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STATIM - Feedback Management</w:t>
        <w:br/>
        <w:t>Business Requirements Document (BRD)</w:t>
      </w:r>
    </w:p>
    <w:p>
      <w:r>
        <w:t>Version: 1.0</w:t>
        <w:br/>
        <w:t>Status: Draft</w:t>
        <w:br/>
      </w:r>
    </w:p>
    <w:p>
      <w:pPr>
        <w:pStyle w:val="Heading1"/>
      </w:pPr>
      <w:r>
        <w:t>1. Introduction</w:t>
      </w:r>
    </w:p>
    <w:p>
      <w:r>
        <w:t>The Feedback Management module provides a centralized solution for recording, managing and monitoring compliments and complaints received from customers following Sales, Underwriting Services or Claims interactions. The module standardizes the complaint handling process, ensures accountability, improves customer satisfaction and provides measurable service quality through configurable ratings and reporting.</w:t>
      </w:r>
    </w:p>
    <w:p>
      <w:pPr>
        <w:pStyle w:val="Heading1"/>
      </w:pPr>
      <w:r>
        <w:t>2. Business Objectives</w:t>
      </w:r>
    </w:p>
    <w:p>
      <w:pPr>
        <w:pStyle w:val="ListBullet"/>
      </w:pPr>
      <w:r>
        <w:t>Provide a single feedback repository.</w:t>
      </w:r>
    </w:p>
    <w:p>
      <w:pPr>
        <w:pStyle w:val="ListBullet"/>
      </w:pPr>
      <w:r>
        <w:t>Track complaints from registration through closure.</w:t>
      </w:r>
    </w:p>
    <w:p>
      <w:pPr>
        <w:pStyle w:val="ListBullet"/>
      </w:pPr>
      <w:r>
        <w:t>Support compliments as sales opportunities.</w:t>
      </w:r>
    </w:p>
    <w:p>
      <w:pPr>
        <w:pStyle w:val="ListBullet"/>
      </w:pPr>
      <w:r>
        <w:t>Measure employee and partner service quality.</w:t>
      </w:r>
    </w:p>
    <w:p>
      <w:pPr>
        <w:pStyle w:val="ListBullet"/>
      </w:pPr>
      <w:r>
        <w:t>Provide configurable workflows, ratings and surveys.</w:t>
      </w:r>
    </w:p>
    <w:p>
      <w:pPr>
        <w:pStyle w:val="Heading1"/>
      </w:pPr>
      <w:r>
        <w:t>3. Business Process Overview</w:t>
      </w:r>
    </w:p>
    <w:p>
      <w:r>
        <w:t>Service Delivered → Feedback Request Triggered → Customer submits feedback → Feedback Registration → Validation → Assignment → Investigation → Resolution → Follow-up Survey → Closure</w:t>
      </w:r>
    </w:p>
    <w:p>
      <w:pPr>
        <w:pStyle w:val="Heading1"/>
      </w:pPr>
      <w:r>
        <w:t>4. Functional Requirements</w:t>
      </w:r>
    </w:p>
    <w:p>
      <w:pPr>
        <w:pStyle w:val="Heading2"/>
      </w:pPr>
      <w:r>
        <w:t>FR-001 Feedback Registration</w:t>
      </w:r>
    </w:p>
    <w:p>
      <w:r>
        <w:t>Users shall register compliments or complaints received through Walk-in, Phone, Email, SMS or Customer Portal. Every feedback record shall receive a unique Feedback Number and may be linked to a Policy, Quote or Claim. Existing customer information shall be automatically populated where possible while still allowing manual registration when no policy exists.</w:t>
      </w:r>
    </w:p>
    <w:p>
      <w:pPr>
        <w:pStyle w:val="IntenseQuote"/>
      </w:pPr>
      <w:r>
        <w:t>UI Placeholder: Feedback Registration Screen</w:t>
      </w:r>
    </w:p>
    <w:p>
      <w:pPr>
        <w:pStyle w:val="Heading2"/>
      </w:pPr>
      <w:r>
        <w:t>FR-002 Customer &amp; Policy Information</w:t>
      </w:r>
    </w:p>
    <w:p>
      <w:r>
        <w:t>The application shall capture customer details including contact person, phone numbers and reference policy/quote/claim information. Claim lookups shall display only claims applicable to the selected policy and navigation back to the originating transaction shall be available.</w:t>
      </w:r>
    </w:p>
    <w:p>
      <w:pPr>
        <w:pStyle w:val="IntenseQuote"/>
      </w:pPr>
      <w:r>
        <w:t>UI Placeholder: Customer Details Section</w:t>
      </w:r>
    </w:p>
    <w:p>
      <w:pPr>
        <w:pStyle w:val="Heading2"/>
      </w:pPr>
      <w:r>
        <w:t>FR-003 Feedback Classification</w:t>
      </w:r>
    </w:p>
    <w:p>
      <w:r>
        <w:t>Users shall classify the feedback by Business Area (Sales, Service or Claims), Feedback Type (Complaint, Compliment or Acceptable), Origin, Reason and Rating. Origins and reasons shall be maintained separately for Internal and External categories and support multi-selection.</w:t>
      </w:r>
    </w:p>
    <w:p>
      <w:pPr>
        <w:pStyle w:val="IntenseQuote"/>
      </w:pPr>
      <w:r>
        <w:t>UI Placeholder: Classification Section</w:t>
      </w:r>
    </w:p>
    <w:p>
      <w:pPr>
        <w:pStyle w:val="Heading2"/>
      </w:pPr>
      <w:r>
        <w:t>FR-004 Involved Party &amp; Ownership</w:t>
      </w:r>
    </w:p>
    <w:p>
      <w:r>
        <w:t>The application shall identify the Feedback Advisor, Involved Party and Feedback Owner. Complaints shall never be assigned to the same individual against whom the complaint is raised. Ownership changes shall be fully audited.</w:t>
      </w:r>
    </w:p>
    <w:p>
      <w:pPr>
        <w:pStyle w:val="IntenseQuote"/>
      </w:pPr>
      <w:r>
        <w:t>UI Placeholder: Assignment Screen</w:t>
      </w:r>
    </w:p>
    <w:p>
      <w:pPr>
        <w:pStyle w:val="Heading2"/>
      </w:pPr>
      <w:r>
        <w:t>FR-005 Complaint Resolution</w:t>
      </w:r>
    </w:p>
    <w:p>
      <w:r>
        <w:t>Feedback Owners shall update investigation notes, actions taken, communications, escalation details and closure remarks. Notes shall support lengthy free-text entries and multiple updates.</w:t>
      </w:r>
    </w:p>
    <w:p>
      <w:pPr>
        <w:pStyle w:val="IntenseQuote"/>
      </w:pPr>
      <w:r>
        <w:t>UI Placeholder: Resolution Screen</w:t>
      </w:r>
    </w:p>
    <w:p>
      <w:pPr>
        <w:pStyle w:val="Heading2"/>
      </w:pPr>
      <w:r>
        <w:t>FR-006 Workflow</w:t>
      </w:r>
    </w:p>
    <w:p>
      <w:r>
        <w:t>The application shall support configurable statuses including Open, Action Initiated, Referred to Higher Authority, Communicated to Client, Awaiting Feedback and Closed. Status transitions shall be validated and recorded.</w:t>
      </w:r>
    </w:p>
    <w:p>
      <w:pPr>
        <w:pStyle w:val="IntenseQuote"/>
      </w:pPr>
      <w:r>
        <w:t>UI Placeholder: Workflow Timeline</w:t>
      </w:r>
    </w:p>
    <w:p>
      <w:pPr>
        <w:pStyle w:val="Heading2"/>
      </w:pPr>
      <w:r>
        <w:t>FR-007 Follow-up Survey</w:t>
      </w:r>
    </w:p>
    <w:p>
      <w:r>
        <w:t>The insurer shall configure when surveys are sent (policy issue, claim registration or other milestones), the delay in days and number of reminders. Survey responses shall update reporting only and shall not reopen complaints.</w:t>
      </w:r>
    </w:p>
    <w:p>
      <w:pPr>
        <w:pStyle w:val="IntenseQuote"/>
      </w:pPr>
      <w:r>
        <w:t>UI Placeholder: Survey Configuration</w:t>
      </w:r>
    </w:p>
    <w:p>
      <w:pPr>
        <w:pStyle w:val="Heading2"/>
      </w:pPr>
      <w:r>
        <w:t>FR-008 Ratings</w:t>
      </w:r>
    </w:p>
    <w:p>
      <w:r>
        <w:t>Feedback ratings (Awesome, Good, Acceptable, Bad and Very Bad) and corresponding points shall be configurable. Ratings shall contribute to employee, advisor and service provider performance measurements.</w:t>
      </w:r>
    </w:p>
    <w:p>
      <w:pPr>
        <w:pStyle w:val="IntenseQuote"/>
      </w:pPr>
      <w:r>
        <w:t>UI Placeholder: Rating Configuration</w:t>
      </w:r>
    </w:p>
    <w:p>
      <w:pPr>
        <w:pStyle w:val="Heading2"/>
      </w:pPr>
      <w:r>
        <w:t>FR-009 Notifications</w:t>
      </w:r>
    </w:p>
    <w:p>
      <w:r>
        <w:t>Automatic email/SMS notifications shall be generated for assignment, reassignment, escalation, compliments, follow-up surveys and complaint closure using configurable templates.</w:t>
      </w:r>
    </w:p>
    <w:p>
      <w:pPr>
        <w:pStyle w:val="IntenseQuote"/>
      </w:pPr>
      <w:r>
        <w:t>UI Placeholder: Notification Configuration</w:t>
      </w:r>
    </w:p>
    <w:p>
      <w:pPr>
        <w:pStyle w:val="Heading2"/>
      </w:pPr>
      <w:r>
        <w:t>FR-010 Search &amp; Reporting</w:t>
      </w:r>
    </w:p>
    <w:p>
      <w:r>
        <w:t>Users shall search by Feedback Number, Policy, Claim, Customer, Status, Owner, Date, Rating and Business Area. Results shall support sorting, filtering and export.</w:t>
      </w:r>
    </w:p>
    <w:p>
      <w:pPr>
        <w:pStyle w:val="IntenseQuote"/>
      </w:pPr>
      <w:r>
        <w:t>UI Placeholder: Search Dashboard</w:t>
      </w:r>
    </w:p>
    <w:p>
      <w:pPr>
        <w:pStyle w:val="Heading1"/>
      </w:pPr>
      <w:r>
        <w:t>5. Business Rules</w:t>
      </w:r>
    </w:p>
    <w:tbl>
      <w:tblPr>
        <w:tblStyle w:val="TableGrid"/>
        <w:tblW w:type="auto" w:w="0"/>
        <w:tblLook w:firstColumn="1" w:firstRow="1" w:lastColumn="0" w:lastRow="0" w:noHBand="0" w:noVBand="1" w:val="04A0"/>
      </w:tblPr>
      <w:tblGrid>
        <w:gridCol w:w="4320"/>
        <w:gridCol w:w="4320"/>
      </w:tblGrid>
      <w:tr>
        <w:tc>
          <w:tcPr>
            <w:tcW w:type="dxa" w:w="4320"/>
          </w:tcPr>
          <w:p>
            <w:r>
              <w:t>Rule</w:t>
            </w:r>
          </w:p>
        </w:tc>
        <w:tc>
          <w:tcPr>
            <w:tcW w:type="dxa" w:w="4320"/>
          </w:tcPr>
          <w:p>
            <w:r>
              <w:t>Description</w:t>
            </w:r>
          </w:p>
        </w:tc>
      </w:tr>
      <w:tr>
        <w:tc>
          <w:tcPr>
            <w:tcW w:type="dxa" w:w="4320"/>
          </w:tcPr>
          <w:p>
            <w:r>
              <w:t>BR-001</w:t>
            </w:r>
          </w:p>
        </w:tc>
        <w:tc>
          <w:tcPr>
            <w:tcW w:type="dxa" w:w="4320"/>
          </w:tcPr>
          <w:p>
            <w:r>
              <w:t>Feedback shall belong to Sales, Service or Claims.</w:t>
            </w:r>
          </w:p>
        </w:tc>
      </w:tr>
      <w:tr>
        <w:tc>
          <w:tcPr>
            <w:tcW w:type="dxa" w:w="4320"/>
          </w:tcPr>
          <w:p>
            <w:r>
              <w:t>BR-002</w:t>
            </w:r>
          </w:p>
        </w:tc>
        <w:tc>
          <w:tcPr>
            <w:tcW w:type="dxa" w:w="4320"/>
          </w:tcPr>
          <w:p>
            <w:r>
              <w:t>Complaint assignment shall exclude the involved advisor.</w:t>
            </w:r>
          </w:p>
        </w:tc>
      </w:tr>
      <w:tr>
        <w:tc>
          <w:tcPr>
            <w:tcW w:type="dxa" w:w="4320"/>
          </w:tcPr>
          <w:p>
            <w:r>
              <w:t>BR-003</w:t>
            </w:r>
          </w:p>
        </w:tc>
        <w:tc>
          <w:tcPr>
            <w:tcW w:type="dxa" w:w="4320"/>
          </w:tcPr>
          <w:p>
            <w:r>
              <w:t>Origins, reasons, ratings, points and statuses shall be configurable.</w:t>
            </w:r>
          </w:p>
        </w:tc>
      </w:tr>
      <w:tr>
        <w:tc>
          <w:tcPr>
            <w:tcW w:type="dxa" w:w="4320"/>
          </w:tcPr>
          <w:p>
            <w:r>
              <w:t>BR-004</w:t>
            </w:r>
          </w:p>
        </w:tc>
        <w:tc>
          <w:tcPr>
            <w:tcW w:type="dxa" w:w="4320"/>
          </w:tcPr>
          <w:p>
            <w:r>
              <w:t>Only valid complaints shall participate in complaint metrics.</w:t>
            </w:r>
          </w:p>
        </w:tc>
      </w:tr>
      <w:tr>
        <w:tc>
          <w:tcPr>
            <w:tcW w:type="dxa" w:w="4320"/>
          </w:tcPr>
          <w:p>
            <w:r>
              <w:t>BR-005</w:t>
            </w:r>
          </w:p>
        </w:tc>
        <w:tc>
          <w:tcPr>
            <w:tcW w:type="dxa" w:w="4320"/>
          </w:tcPr>
          <w:p>
            <w:r>
              <w:t>Service Provider selections shall be filtered based on the related claim.</w:t>
            </w:r>
          </w:p>
        </w:tc>
      </w:tr>
      <w:tr>
        <w:tc>
          <w:tcPr>
            <w:tcW w:type="dxa" w:w="4320"/>
          </w:tcPr>
          <w:p>
            <w:r>
              <w:t>BR-006</w:t>
            </w:r>
          </w:p>
        </w:tc>
        <w:tc>
          <w:tcPr>
            <w:tcW w:type="dxa" w:w="4320"/>
          </w:tcPr>
          <w:p>
            <w:r>
              <w:t>Compliments shall notify the Sales team for follow-up opportunities.</w:t>
            </w:r>
          </w:p>
        </w:tc>
      </w:tr>
      <w:tr>
        <w:tc>
          <w:tcPr>
            <w:tcW w:type="dxa" w:w="4320"/>
          </w:tcPr>
          <w:p>
            <w:r>
              <w:t>BR-007</w:t>
            </w:r>
          </w:p>
        </w:tc>
        <w:tc>
          <w:tcPr>
            <w:tcW w:type="dxa" w:w="4320"/>
          </w:tcPr>
          <w:p>
            <w:r>
              <w:t>Survey schedules shall be configurable by event and frequency.</w:t>
            </w:r>
          </w:p>
        </w:tc>
      </w:tr>
      <w:tr>
        <w:tc>
          <w:tcPr>
            <w:tcW w:type="dxa" w:w="4320"/>
          </w:tcPr>
          <w:p>
            <w:r>
              <w:t>BR-008</w:t>
            </w:r>
          </w:p>
        </w:tc>
        <w:tc>
          <w:tcPr>
            <w:tcW w:type="dxa" w:w="4320"/>
          </w:tcPr>
          <w:p>
            <w:r>
              <w:t>Closed complaints become read-only except for authorized administrators.</w:t>
            </w:r>
          </w:p>
        </w:tc>
      </w:tr>
      <w:tr>
        <w:tc>
          <w:tcPr>
            <w:tcW w:type="dxa" w:w="4320"/>
          </w:tcPr>
          <w:p>
            <w:r>
              <w:t>BR-009</w:t>
            </w:r>
          </w:p>
        </w:tc>
        <w:tc>
          <w:tcPr>
            <w:tcW w:type="dxa" w:w="4320"/>
          </w:tcPr>
          <w:p>
            <w:r>
              <w:t>Every update shall be audit logged.</w:t>
            </w:r>
          </w:p>
        </w:tc>
      </w:tr>
      <w:tr>
        <w:tc>
          <w:tcPr>
            <w:tcW w:type="dxa" w:w="4320"/>
          </w:tcPr>
          <w:p>
            <w:r>
              <w:t>BR-010</w:t>
            </w:r>
          </w:p>
        </w:tc>
        <w:tc>
          <w:tcPr>
            <w:tcW w:type="dxa" w:w="4320"/>
          </w:tcPr>
          <w:p>
            <w:r>
              <w:t>Employee/service-provider ratings shall be recalculated using configured rating points.</w:t>
            </w:r>
          </w:p>
        </w:tc>
      </w:tr>
    </w:tbl>
    <w:p>
      <w:pPr>
        <w:pStyle w:val="Heading1"/>
      </w:pPr>
      <w:r>
        <w:t>6. Validation Requirements</w:t>
      </w:r>
    </w:p>
    <w:p>
      <w:pPr>
        <w:pStyle w:val="ListBullet"/>
      </w:pPr>
      <w:r>
        <w:t>Mandatory classification fields before save.</w:t>
      </w:r>
    </w:p>
    <w:p>
      <w:pPr>
        <w:pStyle w:val="ListBullet"/>
      </w:pPr>
      <w:r>
        <w:t>Complaint requires Feedback Owner.</w:t>
      </w:r>
    </w:p>
    <w:p>
      <w:pPr>
        <w:pStyle w:val="ListBullet"/>
      </w:pPr>
      <w:r>
        <w:t>Involved Party cannot equal Feedback Owner.</w:t>
      </w:r>
    </w:p>
    <w:p>
      <w:pPr>
        <w:pStyle w:val="ListBullet"/>
      </w:pPr>
      <w:r>
        <w:t>Policy/Claim validation before linking.</w:t>
      </w:r>
    </w:p>
    <w:p>
      <w:pPr>
        <w:pStyle w:val="ListBullet"/>
      </w:pPr>
      <w:r>
        <w:t>Allowed attachments only.</w:t>
      </w:r>
    </w:p>
    <w:p>
      <w:pPr>
        <w:pStyle w:val="ListBullet"/>
      </w:pPr>
      <w:r>
        <w:t>Status transition validation.</w:t>
      </w:r>
    </w:p>
    <w:p>
      <w:pPr>
        <w:pStyle w:val="Heading1"/>
      </w:pPr>
      <w:r>
        <w:t>7. Notifications</w:t>
      </w:r>
    </w:p>
    <w:p>
      <w:r>
        <w:t>The module shall support configurable email/SMS templates for complaint creation, assignment, escalation, manager notification, compliment notification to Sales, follow-up survey, complaint closure and acknowledgement messages.</w:t>
      </w:r>
    </w:p>
    <w:p>
      <w:pPr>
        <w:pStyle w:val="Heading1"/>
      </w:pPr>
      <w:r>
        <w:t>8. Reporting Requirements</w:t>
      </w:r>
    </w:p>
    <w:tbl>
      <w:tblPr>
        <w:tblStyle w:val="TableGrid"/>
        <w:tblW w:type="auto" w:w="0"/>
        <w:tblLook w:firstColumn="1" w:firstRow="1" w:lastColumn="0" w:lastRow="0" w:noHBand="0" w:noVBand="1" w:val="04A0"/>
      </w:tblPr>
      <w:tblGrid>
        <w:gridCol w:w="4320"/>
        <w:gridCol w:w="4320"/>
      </w:tblGrid>
      <w:tr>
        <w:tc>
          <w:tcPr>
            <w:tcW w:type="dxa" w:w="4320"/>
          </w:tcPr>
          <w:p>
            <w:r>
              <w:t>Report</w:t>
            </w:r>
          </w:p>
        </w:tc>
        <w:tc>
          <w:tcPr>
            <w:tcW w:type="dxa" w:w="4320"/>
          </w:tcPr>
          <w:p>
            <w:r>
              <w:t>Business Purpose</w:t>
            </w:r>
          </w:p>
        </w:tc>
      </w:tr>
      <w:tr>
        <w:tc>
          <w:tcPr>
            <w:tcW w:type="dxa" w:w="4320"/>
          </w:tcPr>
          <w:p>
            <w:r>
              <w:t>Complaint Aging</w:t>
            </w:r>
          </w:p>
        </w:tc>
        <w:tc>
          <w:tcPr>
            <w:tcW w:type="dxa" w:w="4320"/>
          </w:tcPr>
          <w:p>
            <w:r>
              <w:t>Monitor SLA breaches.</w:t>
            </w:r>
          </w:p>
        </w:tc>
      </w:tr>
      <w:tr>
        <w:tc>
          <w:tcPr>
            <w:tcW w:type="dxa" w:w="4320"/>
          </w:tcPr>
          <w:p>
            <w:r>
              <w:t>Feedback Summary</w:t>
            </w:r>
          </w:p>
        </w:tc>
        <w:tc>
          <w:tcPr>
            <w:tcW w:type="dxa" w:w="4320"/>
          </w:tcPr>
          <w:p>
            <w:r>
              <w:t>Measure overall service quality.</w:t>
            </w:r>
          </w:p>
        </w:tc>
      </w:tr>
      <w:tr>
        <w:tc>
          <w:tcPr>
            <w:tcW w:type="dxa" w:w="4320"/>
          </w:tcPr>
          <w:p>
            <w:r>
              <w:t>Department Performance</w:t>
            </w:r>
          </w:p>
        </w:tc>
        <w:tc>
          <w:tcPr>
            <w:tcW w:type="dxa" w:w="4320"/>
          </w:tcPr>
          <w:p>
            <w:r>
              <w:t>Compare departments.</w:t>
            </w:r>
          </w:p>
        </w:tc>
      </w:tr>
      <w:tr>
        <w:tc>
          <w:tcPr>
            <w:tcW w:type="dxa" w:w="4320"/>
          </w:tcPr>
          <w:p>
            <w:r>
              <w:t>Employee Rating</w:t>
            </w:r>
          </w:p>
        </w:tc>
        <w:tc>
          <w:tcPr>
            <w:tcW w:type="dxa" w:w="4320"/>
          </w:tcPr>
          <w:p>
            <w:r>
              <w:t>Measure advisor/service provider performance.</w:t>
            </w:r>
          </w:p>
        </w:tc>
      </w:tr>
      <w:tr>
        <w:tc>
          <w:tcPr>
            <w:tcW w:type="dxa" w:w="4320"/>
          </w:tcPr>
          <w:p>
            <w:r>
              <w:t>Customer Feedback History</w:t>
            </w:r>
          </w:p>
        </w:tc>
        <w:tc>
          <w:tcPr>
            <w:tcW w:type="dxa" w:w="4320"/>
          </w:tcPr>
          <w:p>
            <w:r>
              <w:t>View complete customer interactions.</w:t>
            </w:r>
          </w:p>
        </w:tc>
      </w:tr>
      <w:tr>
        <w:tc>
          <w:tcPr>
            <w:tcW w:type="dxa" w:w="4320"/>
          </w:tcPr>
          <w:p>
            <w:r>
              <w:t>Origin &amp; Reason Analysis</w:t>
            </w:r>
          </w:p>
        </w:tc>
        <w:tc>
          <w:tcPr>
            <w:tcW w:type="dxa" w:w="4320"/>
          </w:tcPr>
          <w:p>
            <w:r>
              <w:t>Identify recurring issues.</w:t>
            </w:r>
          </w:p>
        </w:tc>
      </w:tr>
      <w:tr>
        <w:tc>
          <w:tcPr>
            <w:tcW w:type="dxa" w:w="4320"/>
          </w:tcPr>
          <w:p>
            <w:r>
              <w:t>Survey Response Summary</w:t>
            </w:r>
          </w:p>
        </w:tc>
        <w:tc>
          <w:tcPr>
            <w:tcW w:type="dxa" w:w="4320"/>
          </w:tcPr>
          <w:p>
            <w:r>
              <w:t>Measure complaint handling satisfaction.</w:t>
            </w:r>
          </w:p>
        </w:tc>
      </w:tr>
      <w:tr>
        <w:tc>
          <w:tcPr>
            <w:tcW w:type="dxa" w:w="4320"/>
          </w:tcPr>
          <w:p>
            <w:r>
              <w:t>Open Complaint Dashboard</w:t>
            </w:r>
          </w:p>
        </w:tc>
        <w:tc>
          <w:tcPr>
            <w:tcW w:type="dxa" w:w="4320"/>
          </w:tcPr>
          <w:p>
            <w:r>
              <w:t>Operational monitoring.</w:t>
            </w:r>
          </w:p>
        </w:tc>
      </w:tr>
    </w:tbl>
    <w:p>
      <w:pPr>
        <w:pStyle w:val="Heading1"/>
      </w:pPr>
      <w:r>
        <w:t>9. Roles &amp; Permissions</w:t>
      </w:r>
    </w:p>
    <w:p>
      <w:r>
        <w:t>Roles: Viewer, Advisor, Feedback Owner, Manager, Administrator. Permissions shall be role-based for Create, Update, Assign, Close, Configure, View Reports and Export.</w:t>
      </w:r>
    </w:p>
    <w:p>
      <w:pPr>
        <w:pStyle w:val="Heading1"/>
      </w:pPr>
      <w:r>
        <w:t>10. Screen Inventory</w:t>
      </w:r>
    </w:p>
    <w:p>
      <w:pPr>
        <w:pStyle w:val="ListBullet"/>
      </w:pPr>
      <w:r>
        <w:t>Feedback Search</w:t>
      </w:r>
    </w:p>
    <w:p>
      <w:pPr>
        <w:pStyle w:val="ListBullet"/>
      </w:pPr>
      <w:r>
        <w:t>Feedback Registration</w:t>
      </w:r>
    </w:p>
    <w:p>
      <w:pPr>
        <w:pStyle w:val="ListBullet"/>
      </w:pPr>
      <w:r>
        <w:t>Feedback Details</w:t>
      </w:r>
    </w:p>
    <w:p>
      <w:pPr>
        <w:pStyle w:val="ListBullet"/>
      </w:pPr>
      <w:r>
        <w:t>Assignment &amp; Resolution</w:t>
      </w:r>
    </w:p>
    <w:p>
      <w:pPr>
        <w:pStyle w:val="ListBullet"/>
      </w:pPr>
      <w:r>
        <w:t>Survey Configuration</w:t>
      </w:r>
    </w:p>
    <w:p>
      <w:pPr>
        <w:pStyle w:val="ListBullet"/>
      </w:pPr>
      <w:r>
        <w:t>Rating Configuration</w:t>
      </w:r>
    </w:p>
    <w:p>
      <w:pPr>
        <w:pStyle w:val="ListBullet"/>
      </w:pPr>
      <w:r>
        <w:t>Notification Templates</w:t>
      </w:r>
    </w:p>
    <w:p>
      <w:pPr>
        <w:pStyle w:val="ListBullet"/>
      </w:pPr>
      <w:r>
        <w:t>Dashboard</w:t>
      </w:r>
    </w:p>
    <w:p>
      <w:pPr>
        <w:pStyle w:val="ListBullet"/>
      </w:pPr>
      <w:r>
        <w:t>Reports</w:t>
      </w:r>
    </w:p>
    <w:p>
      <w:pPr>
        <w:pStyle w:val="Heading1"/>
      </w:pPr>
      <w:r>
        <w:t>11. Interface Requirements</w:t>
      </w:r>
    </w:p>
    <w:p>
      <w:pPr>
        <w:pStyle w:val="Heading2"/>
      </w:pPr>
      <w:r>
        <w:t>Internal Interfaces</w:t>
      </w:r>
    </w:p>
    <w:p/>
    <w:p>
      <w:pPr>
        <w:pStyle w:val="Heading2"/>
      </w:pPr>
      <w:r>
        <w:t>Hardware Interface</w:t>
      </w:r>
    </w:p>
    <w:p/>
    <w:p>
      <w:pPr>
        <w:pStyle w:val="Heading2"/>
      </w:pPr>
      <w:r>
        <w:t>Software Interface</w:t>
      </w:r>
    </w:p>
    <w:p/>
    <w:p>
      <w:pPr>
        <w:pStyle w:val="Heading2"/>
      </w:pPr>
      <w:r>
        <w:t>Communication Interface</w:t>
      </w:r>
    </w:p>
    <w:p/>
    <w:p>
      <w:pPr>
        <w:pStyle w:val="Heading2"/>
      </w:pPr>
      <w:r>
        <w:t>External Interfaces</w:t>
      </w:r>
    </w:p>
    <w:p/>
    <w:p>
      <w:pPr>
        <w:pStyle w:val="Heading2"/>
      </w:pPr>
      <w:r>
        <w:t>Operating Environment</w:t>
      </w:r>
    </w:p>
    <w:p/>
    <w:p>
      <w:pPr>
        <w:pStyle w:val="Heading2"/>
      </w:pPr>
      <w:r>
        <w:t>Hardware Requirements</w:t>
      </w:r>
    </w:p>
    <w:p/>
    <w:p>
      <w:pPr>
        <w:pStyle w:val="Heading2"/>
      </w:pPr>
      <w:r>
        <w:t>Software Requirements</w:t>
      </w:r>
    </w:p>
    <w:p/>
    <w:p>
      <w:pPr>
        <w:pStyle w:val="Heading2"/>
      </w:pPr>
      <w:r>
        <w:t>Network Requirements</w:t>
      </w:r>
    </w:p>
    <w:p/>
    <w:p>
      <w:pPr>
        <w:pStyle w:val="Heading2"/>
      </w:pPr>
      <w:r>
        <w:t>Operational Scenarios</w:t>
      </w:r>
    </w:p>
    <w:p/>
    <w:p>
      <w:pPr>
        <w:pStyle w:val="Heading1"/>
      </w:pPr>
      <w:r>
        <w:t>12. Non Functional Requirements</w:t>
      </w:r>
    </w:p>
    <w:p>
      <w:pPr>
        <w:pStyle w:val="Heading2"/>
      </w:pPr>
      <w:r>
        <w:t>Reliability</w:t>
      </w:r>
    </w:p>
    <w:p/>
    <w:p>
      <w:pPr>
        <w:pStyle w:val="Heading2"/>
      </w:pPr>
      <w:r>
        <w:t>Performance</w:t>
      </w:r>
    </w:p>
    <w:p/>
    <w:p>
      <w:pPr>
        <w:pStyle w:val="Heading2"/>
      </w:pPr>
      <w:r>
        <w:t>Security</w:t>
      </w:r>
    </w:p>
    <w:p/>
    <w:p>
      <w:pPr>
        <w:pStyle w:val="Heading2"/>
      </w:pPr>
      <w:r>
        <w:t>Usability</w:t>
      </w:r>
    </w:p>
    <w:p/>
    <w:p>
      <w:pPr>
        <w:pStyle w:val="Heading2"/>
      </w:pPr>
      <w:r>
        <w:t>Other Requirements</w:t>
      </w:r>
    </w:p>
    <w:p/>
    <w:p>
      <w:pPr>
        <w:pStyle w:val="Heading1"/>
      </w:pPr>
      <w:r>
        <w:t>13. Open Issues</w:t>
      </w:r>
    </w:p>
    <w:p/>
    <w:p>
      <w:pPr>
        <w:pStyle w:val="Heading1"/>
      </w:pPr>
      <w:r>
        <w:t>14. Acceptance Criteria</w:t>
      </w:r>
    </w:p>
    <w:p/>
    <w:p>
      <w:r>
        <w:br w:type="page"/>
      </w:r>
    </w:p>
    <w:p>
      <w:pPr>
        <w:pStyle w:val="Heading1"/>
      </w:pPr>
      <w:r>
        <w:t>Pass 1 Enhancements – Expanded Functional Requirements</w:t>
      </w:r>
    </w:p>
    <w:p>
      <w:pPr>
        <w:pStyle w:val="Heading2"/>
      </w:pPr>
      <w:r>
        <w:t>FR-001 Feedback Registration (Expanded)</w:t>
      </w:r>
    </w:p>
    <w:p>
      <w:r>
        <w:t>Feedback Registration is the entry point for the Feedback Management module. The screen shall allow an authorised user to register compliments, complaints and improvement suggestions received from customers. The module shall support feedback received through Walk-in, Telephone, Email, SMS and Customer Portal. Every feedback record shall be assigned a unique Feedback Number and remain traceable throughout its lifecycle.</w:t>
      </w:r>
    </w:p>
    <w:p>
      <w:pPr>
        <w:pStyle w:val="ListBullet"/>
      </w:pPr>
      <w:r>
        <w:t>Allow linking feedback to an existing Policy, Quote or Claim.</w:t>
      </w:r>
    </w:p>
    <w:p>
      <w:pPr>
        <w:pStyle w:val="ListBullet"/>
      </w:pPr>
      <w:r>
        <w:t>Auto-populate customer information when a policy/claim is selected.</w:t>
      </w:r>
    </w:p>
    <w:p>
      <w:pPr>
        <w:pStyle w:val="ListBullet"/>
      </w:pPr>
      <w:r>
        <w:t>Support manual registration where no policy exists.</w:t>
      </w:r>
    </w:p>
    <w:p>
      <w:pPr>
        <w:pStyle w:val="ListBullet"/>
      </w:pPr>
      <w:r>
        <w:t>Capture registration date, advisor and communication channel.</w:t>
      </w:r>
    </w:p>
    <w:p>
      <w:pPr>
        <w:pStyle w:val="ListBullet"/>
      </w:pPr>
      <w:r>
        <w:t>Support draft save before submission.</w:t>
      </w:r>
    </w:p>
    <w:p>
      <w:pPr>
        <w:pStyle w:val="IntenseQuote"/>
      </w:pPr>
      <w:r>
        <w:t>UI Placeholder: Feedback Registration Screen</w:t>
      </w:r>
    </w:p>
    <w:p>
      <w:pPr>
        <w:pStyle w:val="Heading2"/>
      </w:pPr>
      <w:r>
        <w:t>FR-002 Customer, Policy and Contact Information</w:t>
      </w:r>
    </w:p>
    <w:p>
      <w:r>
        <w:t>The application shall capture or retrieve all customer and policy information required to investigate the feedback. Where linked to a policy or claim, the information shall be read from existing STATIM records to minimise manual entry.</w:t>
      </w:r>
    </w:p>
    <w:p>
      <w:pPr>
        <w:pStyle w:val="ListBullet"/>
      </w:pPr>
      <w:r>
        <w:t>Contact Person</w:t>
      </w:r>
    </w:p>
    <w:p>
      <w:pPr>
        <w:pStyle w:val="ListBullet"/>
      </w:pPr>
      <w:r>
        <w:t>Policy Number</w:t>
      </w:r>
    </w:p>
    <w:p>
      <w:pPr>
        <w:pStyle w:val="ListBullet"/>
      </w:pPr>
      <w:r>
        <w:t>Quote Number</w:t>
      </w:r>
    </w:p>
    <w:p>
      <w:pPr>
        <w:pStyle w:val="ListBullet"/>
      </w:pPr>
      <w:r>
        <w:t>Claim Number</w:t>
      </w:r>
    </w:p>
    <w:p>
      <w:pPr>
        <w:pStyle w:val="ListBullet"/>
      </w:pPr>
      <w:r>
        <w:t>Work, Home, Fax and Mobile Numbers</w:t>
      </w:r>
    </w:p>
    <w:p>
      <w:pPr>
        <w:pStyle w:val="ListBullet"/>
      </w:pPr>
      <w:r>
        <w:t>Customer Name</w:t>
      </w:r>
    </w:p>
    <w:p>
      <w:pPr>
        <w:pStyle w:val="ListBullet"/>
      </w:pPr>
      <w:r>
        <w:t>Navigation back to Policy/Claim screen</w:t>
      </w:r>
    </w:p>
    <w:p>
      <w:pPr>
        <w:pStyle w:val="IntenseQuote"/>
      </w:pPr>
      <w:r>
        <w:t>UI Placeholder: Customer Information Section</w:t>
      </w:r>
    </w:p>
    <w:p>
      <w:pPr>
        <w:pStyle w:val="Heading2"/>
      </w:pPr>
      <w:r>
        <w:t>FR-003 Feedback Classification (Expanded)</w:t>
      </w:r>
    </w:p>
    <w:p>
      <w:r>
        <w:t>The user shall classify the feedback to ensure correct routing, reporting and performance measurement. Classification values shall be configurable by administrators.</w:t>
      </w:r>
    </w:p>
    <w:p>
      <w:pPr>
        <w:pStyle w:val="ListBullet"/>
      </w:pPr>
      <w:r>
        <w:t>Business Area: Sales / Service / Claims</w:t>
      </w:r>
    </w:p>
    <w:p>
      <w:pPr>
        <w:pStyle w:val="ListBullet"/>
      </w:pPr>
      <w:r>
        <w:t>Feedback Type: Complaint / Compliment / Acceptable</w:t>
      </w:r>
    </w:p>
    <w:p>
      <w:pPr>
        <w:pStyle w:val="ListBullet"/>
      </w:pPr>
      <w:r>
        <w:t>Rating: Awesome / Good / Acceptable / Bad / Very Bad</w:t>
      </w:r>
    </w:p>
    <w:p>
      <w:pPr>
        <w:pStyle w:val="ListBullet"/>
      </w:pPr>
      <w:r>
        <w:t>Origin: Internal or External (multi-select)</w:t>
      </w:r>
    </w:p>
    <w:p>
      <w:pPr>
        <w:pStyle w:val="ListBullet"/>
      </w:pPr>
      <w:r>
        <w:t>Reason: Internal or External (multi-select)</w:t>
      </w:r>
    </w:p>
    <w:p>
      <w:pPr>
        <w:pStyle w:val="IntenseQuote"/>
      </w:pPr>
      <w:r>
        <w:t>UI Placeholder: Feedback Classification Panel</w:t>
      </w:r>
    </w:p>
    <w:p>
      <w:pPr>
        <w:pStyle w:val="Heading2"/>
      </w:pPr>
      <w:r>
        <w:t>FR-004 Roles, Assignment and Complaint Lifecycle</w:t>
      </w:r>
    </w:p>
    <w:p>
      <w:r>
        <w:t>Every complaint shall identify four business roles: Feedback Advisor (receiver), Involved Party (person against whom feedback is raised), Feedback Owner (person responsible for resolution) and Reporting Manager. The application shall prevent assigning the complaint to the same person identified as the involved party.</w:t>
      </w:r>
    </w:p>
    <w:p>
      <w:pPr>
        <w:pStyle w:val="ListBullet"/>
      </w:pPr>
      <w:r>
        <w:t>Register complaint</w:t>
      </w:r>
    </w:p>
    <w:p>
      <w:pPr>
        <w:pStyle w:val="ListBullet"/>
      </w:pPr>
      <w:r>
        <w:t>Assign owner</w:t>
      </w:r>
    </w:p>
    <w:p>
      <w:pPr>
        <w:pStyle w:val="ListBullet"/>
      </w:pPr>
      <w:r>
        <w:t>Notify manager</w:t>
      </w:r>
    </w:p>
    <w:p>
      <w:pPr>
        <w:pStyle w:val="ListBullet"/>
      </w:pPr>
      <w:r>
        <w:t>Investigate</w:t>
      </w:r>
    </w:p>
    <w:p>
      <w:pPr>
        <w:pStyle w:val="ListBullet"/>
      </w:pPr>
      <w:r>
        <w:t>Record actions and notes</w:t>
      </w:r>
    </w:p>
    <w:p>
      <w:pPr>
        <w:pStyle w:val="ListBullet"/>
      </w:pPr>
      <w:r>
        <w:t>Communicate with customer</w:t>
      </w:r>
    </w:p>
    <w:p>
      <w:pPr>
        <w:pStyle w:val="ListBullet"/>
      </w:pPr>
      <w:r>
        <w:t>Await customer feedback</w:t>
      </w:r>
    </w:p>
    <w:p>
      <w:pPr>
        <w:pStyle w:val="ListBullet"/>
      </w:pPr>
      <w:r>
        <w:t>Close complaint</w:t>
      </w:r>
    </w:p>
    <w:p>
      <w:pPr>
        <w:pStyle w:val="IntenseQuote"/>
      </w:pPr>
      <w:r>
        <w:t>UI Placeholder: Assignment &amp; Resolution Screen</w:t>
      </w:r>
    </w:p>
    <w:p>
      <w:pPr>
        <w:pStyle w:val="Heading2"/>
      </w:pPr>
      <w:r>
        <w:t>FR-005 Compliment Handling and Follow-up Survey</w:t>
      </w:r>
    </w:p>
    <w:p>
      <w:r>
        <w:t>Compliments shall follow a simplified workflow. On registration of a compliment, the application shall notify the Sales team to enable future sales opportunities. Complaint records shall generate a configurable follow-up survey after resolution. The survey timing, trigger event, reminder frequency and message template shall be configurable.</w:t>
      </w:r>
    </w:p>
    <w:p>
      <w:pPr>
        <w:pStyle w:val="ListBullet"/>
      </w:pPr>
      <w:r>
        <w:t>Survey triggers after configurable business event.</w:t>
      </w:r>
    </w:p>
    <w:p>
      <w:pPr>
        <w:pStyle w:val="ListBullet"/>
      </w:pPr>
      <w:r>
        <w:t>Embedded email survey with configurable wording.</w:t>
      </w:r>
    </w:p>
    <w:p>
      <w:pPr>
        <w:pStyle w:val="ListBullet"/>
      </w:pPr>
      <w:r>
        <w:t>Customer redirected to Thank You page after response.</w:t>
      </w:r>
    </w:p>
    <w:p>
      <w:pPr>
        <w:pStyle w:val="ListBullet"/>
      </w:pPr>
      <w:r>
        <w:t>Survey responses update reporting only and do not reopen complaints.</w:t>
      </w:r>
    </w:p>
    <w:p>
      <w:pPr>
        <w:pStyle w:val="IntenseQuote"/>
      </w:pPr>
      <w:r>
        <w:t>UI Placeholder: Survey Configuration Screen</w:t>
      </w:r>
    </w:p>
    <w:p>
      <w:r>
        <w:br w:type="page"/>
      </w:r>
    </w:p>
    <w:p>
      <w:pPr>
        <w:pStyle w:val="Heading1"/>
      </w:pPr>
      <w:r>
        <w:t>Pass 2 Enhancements</w:t>
      </w:r>
    </w:p>
    <w:p>
      <w:pPr>
        <w:pStyle w:val="Heading2"/>
      </w:pPr>
      <w:r>
        <w:t>Business Rules (Expanded)</w:t>
      </w:r>
    </w:p>
    <w:tbl>
      <w:tblPr>
        <w:tblStyle w:val="TableGrid"/>
        <w:tblW w:type="auto" w:w="0"/>
        <w:tblLook w:firstColumn="1" w:firstRow="1" w:lastColumn="0" w:lastRow="0" w:noHBand="0" w:noVBand="1" w:val="04A0"/>
      </w:tblPr>
      <w:tblGrid>
        <w:gridCol w:w="4320"/>
        <w:gridCol w:w="4320"/>
      </w:tblGrid>
      <w:tr>
        <w:tc>
          <w:tcPr>
            <w:tcW w:type="dxa" w:w="4320"/>
          </w:tcPr>
          <w:p>
            <w:r>
              <w:t>Rule ID</w:t>
            </w:r>
          </w:p>
        </w:tc>
        <w:tc>
          <w:tcPr>
            <w:tcW w:type="dxa" w:w="4320"/>
          </w:tcPr>
          <w:p>
            <w:r>
              <w:t>Description</w:t>
            </w:r>
          </w:p>
        </w:tc>
      </w:tr>
      <w:tr>
        <w:tc>
          <w:tcPr>
            <w:tcW w:type="dxa" w:w="4320"/>
          </w:tcPr>
          <w:p>
            <w:r>
              <w:t>BR-011</w:t>
            </w:r>
          </w:p>
        </w:tc>
        <w:tc>
          <w:tcPr>
            <w:tcW w:type="dxa" w:w="4320"/>
          </w:tcPr>
          <w:p>
            <w:r>
              <w:t>Feedback shall be marked as Valid Complaint (Yes/No). Only valid complaints shall contribute to complaint metrics and operational reporting.</w:t>
            </w:r>
          </w:p>
        </w:tc>
      </w:tr>
      <w:tr>
        <w:tc>
          <w:tcPr>
            <w:tcW w:type="dxa" w:w="4320"/>
          </w:tcPr>
          <w:p>
            <w:r>
              <w:t>BR-012</w:t>
            </w:r>
          </w:p>
        </w:tc>
        <w:tc>
          <w:tcPr>
            <w:tcW w:type="dxa" w:w="4320"/>
          </w:tcPr>
          <w:p>
            <w:r>
              <w:t>Rating values and corresponding points shall be configurable by administrators without application changes.</w:t>
            </w:r>
          </w:p>
        </w:tc>
      </w:tr>
      <w:tr>
        <w:tc>
          <w:tcPr>
            <w:tcW w:type="dxa" w:w="4320"/>
          </w:tcPr>
          <w:p>
            <w:r>
              <w:t>BR-013</w:t>
            </w:r>
          </w:p>
        </w:tc>
        <w:tc>
          <w:tcPr>
            <w:tcW w:type="dxa" w:w="4320"/>
          </w:tcPr>
          <w:p>
            <w:r>
              <w:t>Company, department, employee and third-party ratings shall be calculated using configured rating points.</w:t>
            </w:r>
          </w:p>
        </w:tc>
      </w:tr>
      <w:tr>
        <w:tc>
          <w:tcPr>
            <w:tcW w:type="dxa" w:w="4320"/>
          </w:tcPr>
          <w:p>
            <w:r>
              <w:t>BR-014</w:t>
            </w:r>
          </w:p>
        </w:tc>
        <w:tc>
          <w:tcPr>
            <w:tcW w:type="dxa" w:w="4320"/>
          </w:tcPr>
          <w:p>
            <w:r>
              <w:t>Service Providers available for selection shall be filtered based on the selected claim.</w:t>
            </w:r>
          </w:p>
        </w:tc>
      </w:tr>
      <w:tr>
        <w:tc>
          <w:tcPr>
            <w:tcW w:type="dxa" w:w="4320"/>
          </w:tcPr>
          <w:p>
            <w:r>
              <w:t>BR-015</w:t>
            </w:r>
          </w:p>
        </w:tc>
        <w:tc>
          <w:tcPr>
            <w:tcW w:type="dxa" w:w="4320"/>
          </w:tcPr>
          <w:p>
            <w:r>
              <w:t>Survey frequency, trigger event and reminder count shall be configurable.</w:t>
            </w:r>
          </w:p>
        </w:tc>
      </w:tr>
      <w:tr>
        <w:tc>
          <w:tcPr>
            <w:tcW w:type="dxa" w:w="4320"/>
          </w:tcPr>
          <w:p>
            <w:r>
              <w:t>BR-016</w:t>
            </w:r>
          </w:p>
        </w:tc>
        <w:tc>
          <w:tcPr>
            <w:tcW w:type="dxa" w:w="4320"/>
          </w:tcPr>
          <w:p>
            <w:r>
              <w:t>Survey responses shall not reopen closed complaints.</w:t>
            </w:r>
          </w:p>
        </w:tc>
      </w:tr>
      <w:tr>
        <w:tc>
          <w:tcPr>
            <w:tcW w:type="dxa" w:w="4320"/>
          </w:tcPr>
          <w:p>
            <w:r>
              <w:t>BR-017</w:t>
            </w:r>
          </w:p>
        </w:tc>
        <w:tc>
          <w:tcPr>
            <w:tcW w:type="dxa" w:w="4320"/>
          </w:tcPr>
          <w:p>
            <w:r>
              <w:t>Compliments shall notify the Sales team for potential sales opportunities.</w:t>
            </w:r>
          </w:p>
        </w:tc>
      </w:tr>
      <w:tr>
        <w:tc>
          <w:tcPr>
            <w:tcW w:type="dxa" w:w="4320"/>
          </w:tcPr>
          <w:p>
            <w:r>
              <w:t>BR-018</w:t>
            </w:r>
          </w:p>
        </w:tc>
        <w:tc>
          <w:tcPr>
            <w:tcW w:type="dxa" w:w="4320"/>
          </w:tcPr>
          <w:p>
            <w:r>
              <w:t>Status transitions shall follow the configured workflow and invalid transitions shall be prevented.</w:t>
            </w:r>
          </w:p>
        </w:tc>
      </w:tr>
      <w:tr>
        <w:tc>
          <w:tcPr>
            <w:tcW w:type="dxa" w:w="4320"/>
          </w:tcPr>
          <w:p>
            <w:r>
              <w:t>BR-019</w:t>
            </w:r>
          </w:p>
        </w:tc>
        <w:tc>
          <w:tcPr>
            <w:tcW w:type="dxa" w:w="4320"/>
          </w:tcPr>
          <w:p>
            <w:r>
              <w:t>Configuration changes shall be audit logged.</w:t>
            </w:r>
          </w:p>
        </w:tc>
      </w:tr>
      <w:tr>
        <w:tc>
          <w:tcPr>
            <w:tcW w:type="dxa" w:w="4320"/>
          </w:tcPr>
          <w:p>
            <w:r>
              <w:t>BR-020</w:t>
            </w:r>
          </w:p>
        </w:tc>
        <w:tc>
          <w:tcPr>
            <w:tcW w:type="dxa" w:w="4320"/>
          </w:tcPr>
          <w:p>
            <w:r>
              <w:t>Only authorised roles may close complaints or maintain configuration.</w:t>
            </w:r>
          </w:p>
        </w:tc>
      </w:tr>
    </w:tbl>
    <w:p>
      <w:pPr>
        <w:pStyle w:val="Heading2"/>
      </w:pPr>
      <w:r>
        <w:t>Notification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Event</w:t>
            </w:r>
          </w:p>
        </w:tc>
        <w:tc>
          <w:tcPr>
            <w:tcW w:type="dxa" w:w="2160"/>
          </w:tcPr>
          <w:p>
            <w:r>
              <w:t>Recipient</w:t>
            </w:r>
          </w:p>
        </w:tc>
        <w:tc>
          <w:tcPr>
            <w:tcW w:type="dxa" w:w="2160"/>
          </w:tcPr>
          <w:p>
            <w:r>
              <w:t>Channel</w:t>
            </w:r>
          </w:p>
        </w:tc>
        <w:tc>
          <w:tcPr>
            <w:tcW w:type="dxa" w:w="2160"/>
          </w:tcPr>
          <w:p>
            <w:r>
              <w:t>Purpose</w:t>
            </w:r>
          </w:p>
        </w:tc>
      </w:tr>
      <w:tr>
        <w:tc>
          <w:tcPr>
            <w:tcW w:type="dxa" w:w="2160"/>
          </w:tcPr>
          <w:p>
            <w:r>
              <w:t>Complaint Registered</w:t>
            </w:r>
          </w:p>
        </w:tc>
        <w:tc>
          <w:tcPr>
            <w:tcW w:type="dxa" w:w="2160"/>
          </w:tcPr>
          <w:p>
            <w:r>
              <w:t>Feedback Owner</w:t>
            </w:r>
          </w:p>
        </w:tc>
        <w:tc>
          <w:tcPr>
            <w:tcW w:type="dxa" w:w="2160"/>
          </w:tcPr>
          <w:p>
            <w:r>
              <w:t>Email</w:t>
            </w:r>
          </w:p>
        </w:tc>
        <w:tc>
          <w:tcPr>
            <w:tcW w:type="dxa" w:w="2160"/>
          </w:tcPr>
          <w:p>
            <w:r>
              <w:t>Notify owner</w:t>
            </w:r>
          </w:p>
        </w:tc>
      </w:tr>
      <w:tr>
        <w:tc>
          <w:tcPr>
            <w:tcW w:type="dxa" w:w="2160"/>
          </w:tcPr>
          <w:p>
            <w:r>
              <w:t>Complaint Assigned</w:t>
            </w:r>
          </w:p>
        </w:tc>
        <w:tc>
          <w:tcPr>
            <w:tcW w:type="dxa" w:w="2160"/>
          </w:tcPr>
          <w:p>
            <w:r>
              <w:t>Feedback Owner</w:t>
            </w:r>
          </w:p>
        </w:tc>
        <w:tc>
          <w:tcPr>
            <w:tcW w:type="dxa" w:w="2160"/>
          </w:tcPr>
          <w:p>
            <w:r>
              <w:t>Email</w:t>
            </w:r>
          </w:p>
        </w:tc>
        <w:tc>
          <w:tcPr>
            <w:tcW w:type="dxa" w:w="2160"/>
          </w:tcPr>
          <w:p>
            <w:r>
              <w:t>Begin investigation</w:t>
            </w:r>
          </w:p>
        </w:tc>
      </w:tr>
      <w:tr>
        <w:tc>
          <w:tcPr>
            <w:tcW w:type="dxa" w:w="2160"/>
          </w:tcPr>
          <w:p>
            <w:r>
              <w:t>Complaint Against Employee</w:t>
            </w:r>
          </w:p>
        </w:tc>
        <w:tc>
          <w:tcPr>
            <w:tcW w:type="dxa" w:w="2160"/>
          </w:tcPr>
          <w:p>
            <w:r>
              <w:t>Reporting Manager</w:t>
            </w:r>
          </w:p>
        </w:tc>
        <w:tc>
          <w:tcPr>
            <w:tcW w:type="dxa" w:w="2160"/>
          </w:tcPr>
          <w:p>
            <w:r>
              <w:t>Email</w:t>
            </w:r>
          </w:p>
        </w:tc>
        <w:tc>
          <w:tcPr>
            <w:tcW w:type="dxa" w:w="2160"/>
          </w:tcPr>
          <w:p>
            <w:r>
              <w:t>Manager review</w:t>
            </w:r>
          </w:p>
        </w:tc>
      </w:tr>
      <w:tr>
        <w:tc>
          <w:tcPr>
            <w:tcW w:type="dxa" w:w="2160"/>
          </w:tcPr>
          <w:p>
            <w:r>
              <w:t>Complaint Escalated</w:t>
            </w:r>
          </w:p>
        </w:tc>
        <w:tc>
          <w:tcPr>
            <w:tcW w:type="dxa" w:w="2160"/>
          </w:tcPr>
          <w:p>
            <w:r>
              <w:t>Manager</w:t>
            </w:r>
          </w:p>
        </w:tc>
        <w:tc>
          <w:tcPr>
            <w:tcW w:type="dxa" w:w="2160"/>
          </w:tcPr>
          <w:p>
            <w:r>
              <w:t>Email</w:t>
            </w:r>
          </w:p>
        </w:tc>
        <w:tc>
          <w:tcPr>
            <w:tcW w:type="dxa" w:w="2160"/>
          </w:tcPr>
          <w:p>
            <w:r>
              <w:t>Escalation</w:t>
            </w:r>
          </w:p>
        </w:tc>
      </w:tr>
      <w:tr>
        <w:tc>
          <w:tcPr>
            <w:tcW w:type="dxa" w:w="2160"/>
          </w:tcPr>
          <w:p>
            <w:r>
              <w:t>Compliment Received</w:t>
            </w:r>
          </w:p>
        </w:tc>
        <w:tc>
          <w:tcPr>
            <w:tcW w:type="dxa" w:w="2160"/>
          </w:tcPr>
          <w:p>
            <w:r>
              <w:t>Sales Team</w:t>
            </w:r>
          </w:p>
        </w:tc>
        <w:tc>
          <w:tcPr>
            <w:tcW w:type="dxa" w:w="2160"/>
          </w:tcPr>
          <w:p>
            <w:r>
              <w:t>Email</w:t>
            </w:r>
          </w:p>
        </w:tc>
        <w:tc>
          <w:tcPr>
            <w:tcW w:type="dxa" w:w="2160"/>
          </w:tcPr>
          <w:p>
            <w:r>
              <w:t>Sales follow-up</w:t>
            </w:r>
          </w:p>
        </w:tc>
      </w:tr>
      <w:tr>
        <w:tc>
          <w:tcPr>
            <w:tcW w:type="dxa" w:w="2160"/>
          </w:tcPr>
          <w:p>
            <w:r>
              <w:t>Follow-up Survey</w:t>
            </w:r>
          </w:p>
        </w:tc>
        <w:tc>
          <w:tcPr>
            <w:tcW w:type="dxa" w:w="2160"/>
          </w:tcPr>
          <w:p>
            <w:r>
              <w:t>Customer</w:t>
            </w:r>
          </w:p>
        </w:tc>
        <w:tc>
          <w:tcPr>
            <w:tcW w:type="dxa" w:w="2160"/>
          </w:tcPr>
          <w:p>
            <w:r>
              <w:t>Email/SMS</w:t>
            </w:r>
          </w:p>
        </w:tc>
        <w:tc>
          <w:tcPr>
            <w:tcW w:type="dxa" w:w="2160"/>
          </w:tcPr>
          <w:p>
            <w:r>
              <w:t>Collect satisfaction</w:t>
            </w:r>
          </w:p>
        </w:tc>
      </w:tr>
      <w:tr>
        <w:tc>
          <w:tcPr>
            <w:tcW w:type="dxa" w:w="2160"/>
          </w:tcPr>
          <w:p>
            <w:r>
              <w:t>Complaint Closed</w:t>
            </w:r>
          </w:p>
        </w:tc>
        <w:tc>
          <w:tcPr>
            <w:tcW w:type="dxa" w:w="2160"/>
          </w:tcPr>
          <w:p>
            <w:r>
              <w:t>Customer</w:t>
            </w:r>
          </w:p>
        </w:tc>
        <w:tc>
          <w:tcPr>
            <w:tcW w:type="dxa" w:w="2160"/>
          </w:tcPr>
          <w:p>
            <w:r>
              <w:t>Email</w:t>
            </w:r>
          </w:p>
        </w:tc>
        <w:tc>
          <w:tcPr>
            <w:tcW w:type="dxa" w:w="2160"/>
          </w:tcPr>
          <w:p>
            <w:r>
              <w:t>Inform closure</w:t>
            </w:r>
          </w:p>
        </w:tc>
      </w:tr>
    </w:tbl>
    <w:p>
      <w:pPr>
        <w:pStyle w:val="Heading2"/>
      </w:pPr>
      <w:r>
        <w:t>Configuration Requirements</w:t>
      </w:r>
    </w:p>
    <w:p>
      <w:pPr>
        <w:pStyle w:val="ListBullet"/>
      </w:pPr>
      <w:r>
        <w:t>Maintain Feedback Types, Statuses, Origins and Reasons.</w:t>
      </w:r>
    </w:p>
    <w:p>
      <w:pPr>
        <w:pStyle w:val="ListBullet"/>
      </w:pPr>
      <w:r>
        <w:t>Maintain Rating values and corresponding points.</w:t>
      </w:r>
    </w:p>
    <w:p>
      <w:pPr>
        <w:pStyle w:val="ListBullet"/>
      </w:pPr>
      <w:r>
        <w:t>Configure survey trigger points and reminder frequency.</w:t>
      </w:r>
    </w:p>
    <w:p>
      <w:pPr>
        <w:pStyle w:val="ListBullet"/>
      </w:pPr>
      <w:r>
        <w:t>Maintain Email and SMS notification templates.</w:t>
      </w:r>
    </w:p>
    <w:p>
      <w:pPr>
        <w:pStyle w:val="ListBullet"/>
      </w:pPr>
      <w:r>
        <w:t>Configure escalation rules and SLA parameters.</w:t>
      </w:r>
    </w:p>
    <w:p>
      <w:pPr>
        <w:pStyle w:val="Heading2"/>
      </w:pPr>
      <w:r>
        <w:t>Workflow / Status Transition</w:t>
      </w:r>
    </w:p>
    <w:p>
      <w:r>
        <w:t>Complaint Registered → Open → Action Initiated → Referred to Higher Authority (optional) → Communicated to Client → Awaiting Feedback → Closed</w:t>
      </w:r>
    </w:p>
    <w:p>
      <w:r>
        <w:t>The application shall validate every status transition and record the user, date, time and remarks for audit purposes.</w:t>
      </w:r>
    </w:p>
    <w:p>
      <w:pPr>
        <w:pStyle w:val="Heading2"/>
      </w:pPr>
      <w:r>
        <w:t>Third-Party Handling</w:t>
      </w:r>
    </w:p>
    <w:p>
      <w:r>
        <w:t>The involved party may be an Internal Employee, Advisor, Intermediary, Surveyor, Service Provider, Attorney, Ombudsman or Other Party. The application shall display only applicable third parties where feedback is linked to a claim and shall include their ratings in performance reporting where configured.</w:t>
      </w:r>
    </w:p>
    <w:p>
      <w:pPr>
        <w:pStyle w:val="Heading2"/>
      </w:pPr>
      <w:r>
        <w:t>Reporting Requirements (Expanded)</w:t>
      </w:r>
    </w:p>
    <w:tbl>
      <w:tblPr>
        <w:tblStyle w:val="TableGrid"/>
        <w:tblW w:type="auto" w:w="0"/>
        <w:tblLook w:firstColumn="1" w:firstRow="1" w:lastColumn="0" w:lastRow="0" w:noHBand="0" w:noVBand="1" w:val="04A0"/>
      </w:tblPr>
      <w:tblGrid>
        <w:gridCol w:w="2880"/>
        <w:gridCol w:w="2880"/>
        <w:gridCol w:w="2880"/>
      </w:tblGrid>
      <w:tr>
        <w:tc>
          <w:tcPr>
            <w:tcW w:type="dxa" w:w="2880"/>
          </w:tcPr>
          <w:p>
            <w:r>
              <w:t>Report</w:t>
            </w:r>
          </w:p>
        </w:tc>
        <w:tc>
          <w:tcPr>
            <w:tcW w:type="dxa" w:w="2880"/>
          </w:tcPr>
          <w:p>
            <w:r>
              <w:t>Purpose</w:t>
            </w:r>
          </w:p>
        </w:tc>
        <w:tc>
          <w:tcPr>
            <w:tcW w:type="dxa" w:w="2880"/>
          </w:tcPr>
          <w:p>
            <w:r>
              <w:t>Key Filters</w:t>
            </w:r>
          </w:p>
        </w:tc>
      </w:tr>
      <w:tr>
        <w:tc>
          <w:tcPr>
            <w:tcW w:type="dxa" w:w="2880"/>
          </w:tcPr>
          <w:p>
            <w:r>
              <w:t>Complaint Aging</w:t>
            </w:r>
          </w:p>
        </w:tc>
        <w:tc>
          <w:tcPr>
            <w:tcW w:type="dxa" w:w="2880"/>
          </w:tcPr>
          <w:p>
            <w:r>
              <w:t>Monitor SLA breaches</w:t>
            </w:r>
          </w:p>
        </w:tc>
        <w:tc>
          <w:tcPr>
            <w:tcW w:type="dxa" w:w="2880"/>
          </w:tcPr>
          <w:p>
            <w:r>
              <w:t>Owner, Status, Date</w:t>
            </w:r>
          </w:p>
        </w:tc>
      </w:tr>
      <w:tr>
        <w:tc>
          <w:tcPr>
            <w:tcW w:type="dxa" w:w="2880"/>
          </w:tcPr>
          <w:p>
            <w:r>
              <w:t>Feedback Summary</w:t>
            </w:r>
          </w:p>
        </w:tc>
        <w:tc>
          <w:tcPr>
            <w:tcW w:type="dxa" w:w="2880"/>
          </w:tcPr>
          <w:p>
            <w:r>
              <w:t>Overall feedback trends</w:t>
            </w:r>
          </w:p>
        </w:tc>
        <w:tc>
          <w:tcPr>
            <w:tcW w:type="dxa" w:w="2880"/>
          </w:tcPr>
          <w:p>
            <w:r>
              <w:t>Business Area, Period</w:t>
            </w:r>
          </w:p>
        </w:tc>
      </w:tr>
      <w:tr>
        <w:tc>
          <w:tcPr>
            <w:tcW w:type="dxa" w:w="2880"/>
          </w:tcPr>
          <w:p>
            <w:r>
              <w:t>Employee Rating</w:t>
            </w:r>
          </w:p>
        </w:tc>
        <w:tc>
          <w:tcPr>
            <w:tcW w:type="dxa" w:w="2880"/>
          </w:tcPr>
          <w:p>
            <w:r>
              <w:t>Performance measurement</w:t>
            </w:r>
          </w:p>
        </w:tc>
        <w:tc>
          <w:tcPr>
            <w:tcW w:type="dxa" w:w="2880"/>
          </w:tcPr>
          <w:p>
            <w:r>
              <w:t>Employee, Department</w:t>
            </w:r>
          </w:p>
        </w:tc>
      </w:tr>
      <w:tr>
        <w:tc>
          <w:tcPr>
            <w:tcW w:type="dxa" w:w="2880"/>
          </w:tcPr>
          <w:p>
            <w:r>
              <w:t>Third-Party Rating</w:t>
            </w:r>
          </w:p>
        </w:tc>
        <w:tc>
          <w:tcPr>
            <w:tcW w:type="dxa" w:w="2880"/>
          </w:tcPr>
          <w:p>
            <w:r>
              <w:t>Partner performance</w:t>
            </w:r>
          </w:p>
        </w:tc>
        <w:tc>
          <w:tcPr>
            <w:tcW w:type="dxa" w:w="2880"/>
          </w:tcPr>
          <w:p>
            <w:r>
              <w:t>Provider Type, Provider</w:t>
            </w:r>
          </w:p>
        </w:tc>
      </w:tr>
      <w:tr>
        <w:tc>
          <w:tcPr>
            <w:tcW w:type="dxa" w:w="2880"/>
          </w:tcPr>
          <w:p>
            <w:r>
              <w:t>Survey Responses</w:t>
            </w:r>
          </w:p>
        </w:tc>
        <w:tc>
          <w:tcPr>
            <w:tcW w:type="dxa" w:w="2880"/>
          </w:tcPr>
          <w:p>
            <w:r>
              <w:t>Complaint handling satisfaction</w:t>
            </w:r>
          </w:p>
        </w:tc>
        <w:tc>
          <w:tcPr>
            <w:tcW w:type="dxa" w:w="2880"/>
          </w:tcPr>
          <w:p>
            <w:r>
              <w:t>Period, Owner</w:t>
            </w:r>
          </w:p>
        </w:tc>
      </w:tr>
      <w:tr>
        <w:tc>
          <w:tcPr>
            <w:tcW w:type="dxa" w:w="2880"/>
          </w:tcPr>
          <w:p>
            <w:r>
              <w:t>Origin &amp; Reason Analysis</w:t>
            </w:r>
          </w:p>
        </w:tc>
        <w:tc>
          <w:tcPr>
            <w:tcW w:type="dxa" w:w="2880"/>
          </w:tcPr>
          <w:p>
            <w:r>
              <w:t>Identify recurring issues</w:t>
            </w:r>
          </w:p>
        </w:tc>
        <w:tc>
          <w:tcPr>
            <w:tcW w:type="dxa" w:w="2880"/>
          </w:tcPr>
          <w:p>
            <w:r>
              <w:t>Origin, Reason</w:t>
            </w:r>
          </w:p>
        </w:tc>
      </w:tr>
    </w:tbl>
    <w:p>
      <w:pPr>
        <w:pStyle w:val="Heading2"/>
      </w:pPr>
      <w:r>
        <w:t>Role &amp; Permission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Role</w:t>
            </w:r>
          </w:p>
        </w:tc>
        <w:tc>
          <w:tcPr>
            <w:tcW w:type="dxa" w:w="1440"/>
          </w:tcPr>
          <w:p>
            <w:r>
              <w:t>Create</w:t>
            </w:r>
          </w:p>
        </w:tc>
        <w:tc>
          <w:tcPr>
            <w:tcW w:type="dxa" w:w="1440"/>
          </w:tcPr>
          <w:p>
            <w:r>
              <w:t>Update</w:t>
            </w:r>
          </w:p>
        </w:tc>
        <w:tc>
          <w:tcPr>
            <w:tcW w:type="dxa" w:w="1440"/>
          </w:tcPr>
          <w:p>
            <w:r>
              <w:t>Assign</w:t>
            </w:r>
          </w:p>
        </w:tc>
        <w:tc>
          <w:tcPr>
            <w:tcW w:type="dxa" w:w="1440"/>
          </w:tcPr>
          <w:p>
            <w:r>
              <w:t>Close</w:t>
            </w:r>
          </w:p>
        </w:tc>
        <w:tc>
          <w:tcPr>
            <w:tcW w:type="dxa" w:w="1440"/>
          </w:tcPr>
          <w:p>
            <w:r>
              <w:t>Configure</w:t>
            </w:r>
          </w:p>
        </w:tc>
      </w:tr>
      <w:tr>
        <w:tc>
          <w:tcPr>
            <w:tcW w:type="dxa" w:w="1440"/>
          </w:tcPr>
          <w:p>
            <w:r>
              <w:t>Advisor</w:t>
            </w:r>
          </w:p>
        </w:tc>
        <w:tc>
          <w:tcPr>
            <w:tcW w:type="dxa" w:w="1440"/>
          </w:tcPr>
          <w:p>
            <w:r>
              <w:t>✓</w:t>
            </w:r>
          </w:p>
        </w:tc>
        <w:tc>
          <w:tcPr>
            <w:tcW w:type="dxa" w:w="1440"/>
          </w:tcPr>
          <w:p>
            <w:r>
              <w:t>✓</w:t>
            </w:r>
          </w:p>
        </w:tc>
        <w:tc>
          <w:tcPr>
            <w:tcW w:type="dxa" w:w="1440"/>
          </w:tcPr>
          <w:p>
            <w:r/>
          </w:p>
        </w:tc>
        <w:tc>
          <w:tcPr>
            <w:tcW w:type="dxa" w:w="1440"/>
          </w:tcPr>
          <w:p>
            <w:r/>
          </w:p>
        </w:tc>
        <w:tc>
          <w:tcPr>
            <w:tcW w:type="dxa" w:w="1440"/>
          </w:tcPr>
          <w:p>
            <w:r/>
          </w:p>
        </w:tc>
      </w:tr>
      <w:tr>
        <w:tc>
          <w:tcPr>
            <w:tcW w:type="dxa" w:w="1440"/>
          </w:tcPr>
          <w:p>
            <w:r>
              <w:t>Feedback Owner</w:t>
            </w:r>
          </w:p>
        </w:tc>
        <w:tc>
          <w:tcPr>
            <w:tcW w:type="dxa" w:w="1440"/>
          </w:tcPr>
          <w:p>
            <w:r/>
          </w:p>
        </w:tc>
        <w:tc>
          <w:tcPr>
            <w:tcW w:type="dxa" w:w="1440"/>
          </w:tcPr>
          <w:p>
            <w:r>
              <w:t>✓</w:t>
            </w:r>
          </w:p>
        </w:tc>
        <w:tc>
          <w:tcPr>
            <w:tcW w:type="dxa" w:w="1440"/>
          </w:tcPr>
          <w:p>
            <w:r>
              <w:t>✓</w:t>
            </w:r>
          </w:p>
        </w:tc>
        <w:tc>
          <w:tcPr>
            <w:tcW w:type="dxa" w:w="1440"/>
          </w:tcPr>
          <w:p>
            <w:r>
              <w:t>✓</w:t>
            </w:r>
          </w:p>
        </w:tc>
        <w:tc>
          <w:tcPr>
            <w:tcW w:type="dxa" w:w="1440"/>
          </w:tcPr>
          <w:p>
            <w:r/>
          </w:p>
        </w:tc>
      </w:tr>
      <w:tr>
        <w:tc>
          <w:tcPr>
            <w:tcW w:type="dxa" w:w="1440"/>
          </w:tcPr>
          <w:p>
            <w:r>
              <w:t>Manager</w:t>
            </w:r>
          </w:p>
        </w:tc>
        <w:tc>
          <w:tcPr>
            <w:tcW w:type="dxa" w:w="1440"/>
          </w:tcPr>
          <w:p>
            <w:r/>
          </w:p>
        </w:tc>
        <w:tc>
          <w:tcPr>
            <w:tcW w:type="dxa" w:w="1440"/>
          </w:tcPr>
          <w:p>
            <w:r>
              <w:t>✓</w:t>
            </w:r>
          </w:p>
        </w:tc>
        <w:tc>
          <w:tcPr>
            <w:tcW w:type="dxa" w:w="1440"/>
          </w:tcPr>
          <w:p>
            <w:r>
              <w:t>✓</w:t>
            </w:r>
          </w:p>
        </w:tc>
        <w:tc>
          <w:tcPr>
            <w:tcW w:type="dxa" w:w="1440"/>
          </w:tcPr>
          <w:p>
            <w:r>
              <w:t>✓</w:t>
            </w:r>
          </w:p>
        </w:tc>
        <w:tc>
          <w:tcPr>
            <w:tcW w:type="dxa" w:w="1440"/>
          </w:tcPr>
          <w:p>
            <w:r/>
          </w:p>
        </w:tc>
      </w:tr>
      <w:tr>
        <w:tc>
          <w:tcPr>
            <w:tcW w:type="dxa" w:w="1440"/>
          </w:tcPr>
          <w:p>
            <w:r>
              <w:t>Administrator</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bl>
    <w:p>
      <w:pPr>
        <w:pStyle w:val="Heading2"/>
      </w:pPr>
      <w:r>
        <w:t>Audit Requirements</w:t>
      </w:r>
    </w:p>
    <w:p>
      <w:r>
        <w:t>The application shall maintain an audit trail for feedback creation, updates, assignments, status changes, owner changes, configuration updates, survey responses and closure activities, capturing the user, timestamp, previous value, new value and remarks where applicable.</w:t>
      </w:r>
    </w:p>
    <w:p>
      <w:r>
        <w:br w:type="page"/>
      </w:r>
    </w:p>
    <w:p>
      <w:pPr>
        <w:pStyle w:val="Heading1"/>
      </w:pPr>
      <w:r>
        <w:t>Pass 2A – Regulatory &amp; Operational Enhancements</w:t>
      </w:r>
    </w:p>
    <w:p>
      <w:pPr>
        <w:pStyle w:val="Heading2"/>
      </w:pPr>
      <w:r>
        <w:t>FR-002A Customer, Policy &amp; Claim Information (Enhanced)</w:t>
      </w:r>
    </w:p>
    <w:p>
      <w:r>
        <w:t>In addition to the existing customer information, the application shall capture or retrieve sufficient details required to investigate, resolve and track customer feedback. Where available, information shall be auto-populated from existing STATIM records.</w:t>
      </w:r>
    </w:p>
    <w:p>
      <w:pPr>
        <w:pStyle w:val="ListBullet"/>
      </w:pPr>
      <w:r>
        <w:t>Customer Name, Contact Person, Mobile, Alternate Mobile, Email Address</w:t>
      </w:r>
    </w:p>
    <w:p>
      <w:pPr>
        <w:pStyle w:val="ListBullet"/>
      </w:pPr>
      <w:r>
        <w:t>Preferred Communication Mode</w:t>
      </w:r>
    </w:p>
    <w:p>
      <w:pPr>
        <w:pStyle w:val="ListBullet"/>
      </w:pPr>
      <w:r>
        <w:t>Address, City, State and PIN Code</w:t>
      </w:r>
    </w:p>
    <w:p>
      <w:pPr>
        <w:pStyle w:val="ListBullet"/>
      </w:pPr>
      <w:r>
        <w:t>Policy Number, Product, Line of Business, Policy Status, Effective and Expiry Dates</w:t>
      </w:r>
    </w:p>
    <w:p>
      <w:pPr>
        <w:pStyle w:val="ListBullet"/>
      </w:pPr>
      <w:r>
        <w:t>Claim Number, Claim Status, Date of Loss, Claim Registration Date</w:t>
      </w:r>
    </w:p>
    <w:p>
      <w:pPr>
        <w:pStyle w:val="ListBullet"/>
      </w:pPr>
      <w:r>
        <w:t>Agent, Broker, POSP or Corporate Agent details where applicable.</w:t>
      </w:r>
    </w:p>
    <w:p>
      <w:pPr>
        <w:pStyle w:val="Heading2"/>
      </w:pPr>
      <w:r>
        <w:t>FR-003A Feedback Classification (Enhanced)</w:t>
      </w:r>
    </w:p>
    <w:p>
      <w:pPr>
        <w:pStyle w:val="ListBullet"/>
      </w:pPr>
      <w:r>
        <w:t>Complaint Category and Sub-category</w:t>
      </w:r>
    </w:p>
    <w:p>
      <w:pPr>
        <w:pStyle w:val="ListBullet"/>
      </w:pPr>
      <w:r>
        <w:t>Complaint Subject</w:t>
      </w:r>
    </w:p>
    <w:p>
      <w:pPr>
        <w:pStyle w:val="ListBullet"/>
      </w:pPr>
      <w:r>
        <w:t>Priority (Critical/High/Medium/Low)</w:t>
      </w:r>
    </w:p>
    <w:p>
      <w:pPr>
        <w:pStyle w:val="ListBullet"/>
      </w:pPr>
      <w:r>
        <w:t>Customer Expectation (Clarification, Correction, Refund, Settlement, Information, Other)</w:t>
      </w:r>
    </w:p>
    <w:p>
      <w:pPr>
        <w:pStyle w:val="ListBullet"/>
      </w:pPr>
      <w:r>
        <w:t>Configurable Feedback Source (Walk-in, Phone, Email, SMS, Portal, Mobile App, WhatsApp, Letter, Branch, Call Centre, Social Media)</w:t>
      </w:r>
    </w:p>
    <w:p>
      <w:pPr>
        <w:pStyle w:val="ListBullet"/>
      </w:pPr>
      <w:r>
        <w:t>Internal and External Origins and Reasons with multi-select support.</w:t>
      </w:r>
    </w:p>
    <w:p>
      <w:pPr>
        <w:pStyle w:val="Heading2"/>
      </w:pPr>
      <w:r>
        <w:t>FR-004A Involved Party Types</w:t>
      </w:r>
    </w:p>
    <w:p>
      <w:pPr>
        <w:pStyle w:val="ListBullet"/>
      </w:pPr>
      <w:r>
        <w:t>Employee</w:t>
      </w:r>
    </w:p>
    <w:p>
      <w:pPr>
        <w:pStyle w:val="ListBullet"/>
      </w:pPr>
      <w:r>
        <w:t>Advisor</w:t>
      </w:r>
    </w:p>
    <w:p>
      <w:pPr>
        <w:pStyle w:val="ListBullet"/>
      </w:pPr>
      <w:r>
        <w:t>Agent</w:t>
      </w:r>
    </w:p>
    <w:p>
      <w:pPr>
        <w:pStyle w:val="ListBullet"/>
      </w:pPr>
      <w:r>
        <w:t>Broker</w:t>
      </w:r>
    </w:p>
    <w:p>
      <w:pPr>
        <w:pStyle w:val="ListBullet"/>
      </w:pPr>
      <w:r>
        <w:t>Corporate Agent</w:t>
      </w:r>
    </w:p>
    <w:p>
      <w:pPr>
        <w:pStyle w:val="ListBullet"/>
      </w:pPr>
      <w:r>
        <w:t>Surveyor</w:t>
      </w:r>
    </w:p>
    <w:p>
      <w:pPr>
        <w:pStyle w:val="ListBullet"/>
      </w:pPr>
      <w:r>
        <w:t>TPA</w:t>
      </w:r>
    </w:p>
    <w:p>
      <w:pPr>
        <w:pStyle w:val="ListBullet"/>
      </w:pPr>
      <w:r>
        <w:t>Service Provider</w:t>
      </w:r>
    </w:p>
    <w:p>
      <w:pPr>
        <w:pStyle w:val="ListBullet"/>
      </w:pPr>
      <w:r>
        <w:t>Attorney</w:t>
      </w:r>
    </w:p>
    <w:p>
      <w:pPr>
        <w:pStyle w:val="ListBullet"/>
      </w:pPr>
      <w:r>
        <w:t>Branch</w:t>
      </w:r>
    </w:p>
    <w:p>
      <w:pPr>
        <w:pStyle w:val="ListBullet"/>
      </w:pPr>
      <w:r>
        <w:t>Call Centre</w:t>
      </w:r>
    </w:p>
    <w:p>
      <w:pPr>
        <w:pStyle w:val="ListBullet"/>
      </w:pPr>
      <w:r>
        <w:t>System</w:t>
      </w:r>
    </w:p>
    <w:p>
      <w:pPr>
        <w:pStyle w:val="ListBullet"/>
      </w:pPr>
      <w:r>
        <w:t>Other Party</w:t>
      </w:r>
    </w:p>
    <w:p>
      <w:pPr>
        <w:pStyle w:val="Heading2"/>
      </w:pPr>
      <w:r>
        <w:t>FR-005A Complaint Escalation &amp; Follow-up</w:t>
      </w:r>
    </w:p>
    <w:p>
      <w:r>
        <w:t>The system shall support configurable escalation levels and maintain complete escalation history. External grievance reference numbers may be captured where complaints are escalated outside the insurer.</w:t>
      </w:r>
    </w:p>
    <w:p>
      <w:pPr>
        <w:pStyle w:val="ListBullet"/>
      </w:pPr>
      <w:r>
        <w:t>Escalation Date and Level</w:t>
      </w:r>
    </w:p>
    <w:p>
      <w:pPr>
        <w:pStyle w:val="ListBullet"/>
      </w:pPr>
      <w:r>
        <w:t>External Grievance Reference Number</w:t>
      </w:r>
    </w:p>
    <w:p>
      <w:pPr>
        <w:pStyle w:val="ListBullet"/>
      </w:pPr>
      <w:r>
        <w:t>Ombudsman/External Authority Reference</w:t>
      </w:r>
    </w:p>
    <w:p>
      <w:pPr>
        <w:pStyle w:val="ListBullet"/>
      </w:pPr>
      <w:r>
        <w:t>Escalation Notes</w:t>
      </w:r>
    </w:p>
    <w:p>
      <w:pPr>
        <w:pStyle w:val="ListBullet"/>
      </w:pPr>
      <w:r>
        <w:t>Embedded follow-up survey</w:t>
      </w:r>
    </w:p>
    <w:p>
      <w:pPr>
        <w:pStyle w:val="ListBullet"/>
      </w:pPr>
      <w:r>
        <w:t>Thank You acknowledgement page</w:t>
      </w:r>
    </w:p>
    <w:p>
      <w:pPr>
        <w:pStyle w:val="ListBullet"/>
      </w:pPr>
      <w:r>
        <w:t>Customer satisfaction rating and comments</w:t>
      </w:r>
    </w:p>
    <w:p>
      <w:pPr>
        <w:pStyle w:val="ListBullet"/>
      </w:pPr>
      <w:r>
        <w:t>Survey responses shall update reporting only.</w:t>
      </w:r>
    </w:p>
    <w:p>
      <w:pPr>
        <w:pStyle w:val="Heading2"/>
      </w:pPr>
      <w:r>
        <w:t>Business Rules Additions</w:t>
      </w:r>
    </w:p>
    <w:p>
      <w:pPr>
        <w:pStyle w:val="ListBullet"/>
      </w:pPr>
      <w:r>
        <w:t>Duplicate complaints should be identifiable using configurable matching criteria.</w:t>
      </w:r>
    </w:p>
    <w:p>
      <w:pPr>
        <w:pStyle w:val="ListBullet"/>
      </w:pPr>
      <w:r>
        <w:t>SLA timelines shall be configurable for acknowledgement, assignment, investigation and closure.</w:t>
      </w:r>
    </w:p>
    <w:p>
      <w:pPr>
        <w:pStyle w:val="ListBullet"/>
      </w:pPr>
      <w:r>
        <w:t>Customer acknowledgement shall include Feedback Number and expected resolution timeline.</w:t>
      </w:r>
    </w:p>
    <w:p>
      <w:pPr>
        <w:pStyle w:val="ListBullet"/>
      </w:pPr>
      <w:r>
        <w:t>Only valid complaints shall impact complaint metrics and employee ratings.</w:t>
      </w:r>
    </w:p>
    <w:p>
      <w:pPr>
        <w:pStyle w:val="ListBullet"/>
      </w:pPr>
      <w:r>
        <w:t>Closed complaints may only be reopened by authorised users.</w:t>
      </w:r>
    </w:p>
    <w:p>
      <w:pPr>
        <w:pStyle w:val="Heading2"/>
      </w:pPr>
      <w:r>
        <w:t>Configuration Enhancements</w:t>
      </w:r>
    </w:p>
    <w:p>
      <w:pPr>
        <w:pStyle w:val="ListBullet"/>
      </w:pPr>
      <w:r>
        <w:t>Complaint Categories and Sub-categories</w:t>
      </w:r>
    </w:p>
    <w:p>
      <w:pPr>
        <w:pStyle w:val="ListBullet"/>
      </w:pPr>
      <w:r>
        <w:t>Complaint Priorities</w:t>
      </w:r>
    </w:p>
    <w:p>
      <w:pPr>
        <w:pStyle w:val="ListBullet"/>
      </w:pPr>
      <w:r>
        <w:t>Feedback Sources</w:t>
      </w:r>
    </w:p>
    <w:p>
      <w:pPr>
        <w:pStyle w:val="ListBullet"/>
      </w:pPr>
      <w:r>
        <w:t>Communication Modes</w:t>
      </w:r>
    </w:p>
    <w:p>
      <w:pPr>
        <w:pStyle w:val="ListBullet"/>
      </w:pPr>
      <w:r>
        <w:t>Customer Expectations</w:t>
      </w:r>
    </w:p>
    <w:p>
      <w:pPr>
        <w:pStyle w:val="ListBullet"/>
      </w:pPr>
      <w:r>
        <w:t>Survey Templates</w:t>
      </w:r>
    </w:p>
    <w:p>
      <w:pPr>
        <w:pStyle w:val="ListBullet"/>
      </w:pPr>
      <w:r>
        <w:t>Email/SMS Templates</w:t>
      </w:r>
    </w:p>
    <w:p>
      <w:pPr>
        <w:pStyle w:val="ListBullet"/>
      </w:pPr>
      <w:r>
        <w:t>SLA Definitions</w:t>
      </w:r>
    </w:p>
    <w:p>
      <w:pPr>
        <w:pStyle w:val="ListBullet"/>
      </w:pPr>
      <w:r>
        <w:t>Escalation Rules</w:t>
      </w:r>
    </w:p>
    <w:p>
      <w:pPr>
        <w:pStyle w:val="Heading2"/>
      </w:pPr>
      <w:r>
        <w:t>Reporting &amp; Dashboard Enhancements</w:t>
      </w:r>
    </w:p>
    <w:p>
      <w:pPr>
        <w:pStyle w:val="ListBullet"/>
      </w:pPr>
      <w:r>
        <w:t>SLA Compliance Report</w:t>
      </w:r>
    </w:p>
    <w:p>
      <w:pPr>
        <w:pStyle w:val="ListBullet"/>
      </w:pPr>
      <w:r>
        <w:t>Complaint Source Analysis</w:t>
      </w:r>
    </w:p>
    <w:p>
      <w:pPr>
        <w:pStyle w:val="ListBullet"/>
      </w:pPr>
      <w:r>
        <w:t>Complaint Category Analysis</w:t>
      </w:r>
    </w:p>
    <w:p>
      <w:pPr>
        <w:pStyle w:val="ListBullet"/>
      </w:pPr>
      <w:r>
        <w:t>Branch-wise Complaint Analysis</w:t>
      </w:r>
    </w:p>
    <w:p>
      <w:pPr>
        <w:pStyle w:val="ListBullet"/>
      </w:pPr>
      <w:r>
        <w:t>Product-wise Complaint Analysis</w:t>
      </w:r>
    </w:p>
    <w:p>
      <w:pPr>
        <w:pStyle w:val="ListBullet"/>
      </w:pPr>
      <w:r>
        <w:t>Escalated Complaints</w:t>
      </w:r>
    </w:p>
    <w:p>
      <w:pPr>
        <w:pStyle w:val="ListBullet"/>
      </w:pPr>
      <w:r>
        <w:t>Reopened Complaints</w:t>
      </w:r>
    </w:p>
    <w:p>
      <w:pPr>
        <w:pStyle w:val="ListBullet"/>
      </w:pPr>
      <w:r>
        <w:t>Pending Survey Report</w:t>
      </w:r>
    </w:p>
    <w:p>
      <w:pPr>
        <w:pStyle w:val="ListBullet"/>
      </w:pPr>
      <w:r>
        <w:t>Dashboard KPIs: Open Complaints, SLA Breaches, Average Resolution Time, Customer Satisfaction, Compliments, Complaints and Top Complaint Reasons.</w:t>
      </w:r>
    </w:p>
    <w:p>
      <w:pPr>
        <w:pStyle w:val="Heading2"/>
      </w:pPr>
      <w:r>
        <w:t>Audit &amp; Security Enhancements</w:t>
      </w:r>
    </w:p>
    <w:p>
      <w:pPr>
        <w:pStyle w:val="ListBullet"/>
      </w:pPr>
      <w:r>
        <w:t>Audit owner changes, priority changes, attachment updates, survey responses, escalation history and configuration changes.</w:t>
      </w:r>
    </w:p>
    <w:p>
      <w:pPr>
        <w:pStyle w:val="ListBullet"/>
      </w:pPr>
      <w:r>
        <w:t>Permissions shall include Reopen Complaint, Escalate Complaint, Approve Closure, Export Reports and Configuration Maintenance.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