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Telivex</w:t>
      </w:r>
    </w:p>
    <w:p>
      <w:pPr>
        <w:jc w:val="center"/>
      </w:pPr>
      <w:r>
        <w:rPr>
          <w:i/>
          <w:sz w:val="26"/>
        </w:rPr>
        <w:t>Extracting Clarity from Clinical History</w:t>
      </w:r>
    </w:p>
    <w:p/>
    <w:p>
      <w:pPr>
        <w:jc w:val="center"/>
      </w:pPr>
      <w:r>
        <w:rPr>
          <w:b/>
        </w:rPr>
        <w:t>Product Vision &amp; Technical Specification (PoC)</w:t>
      </w:r>
    </w:p>
    <w:p>
      <w:pPr>
        <w:jc w:val="center"/>
      </w:pPr>
      <w:r>
        <w:rPr>
          <w:i/>
        </w:rPr>
        <w:t>Version 0.2 — February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Telivex is a patient-controlled longitudinal health reconstruction system. It transforms fragmented medical artifacts—especially laboratory PDFs—into a structured, auditable clinical event ledger. Phase 1 focuses on deterministic lab extraction, normalization, and longitudinal trend visualization with full provenance. Phase 2 expands into a medication ledger to reduce information asymmetry during consultations and transitions of care.</w:t>
      </w:r>
    </w:p>
    <w:p>
      <w:pPr>
        <w:pStyle w:val="Heading1"/>
      </w:pPr>
      <w:r>
        <w:t>2. Problem Statement</w:t>
      </w:r>
    </w:p>
    <w:p>
      <w:r>
        <w:t>Medical information in Indian healthcare systems is fragmented across printed reports, PDFs, and disconnected hospital records. Clinicians operate under time pressure and often rely on point-in-time snapshots or patient recall. This leads to missed trajectories, repeated tests, incomplete medication histories, and diagnostic blind spots.</w:t>
      </w:r>
    </w:p>
    <w:p>
      <w:pPr>
        <w:pStyle w:val="ListBullet"/>
      </w:pPr>
      <w:r>
        <w:t>Reports exist as documents, not queryable data.</w:t>
      </w:r>
    </w:p>
    <w:p>
      <w:pPr>
        <w:pStyle w:val="ListBullet"/>
      </w:pPr>
      <w:r>
        <w:t>Biomarker trajectories are rarely reconstructed longitudinally.</w:t>
      </w:r>
    </w:p>
    <w:p>
      <w:pPr>
        <w:pStyle w:val="ListBullet"/>
      </w:pPr>
      <w:r>
        <w:t>Medication history fragments across encounters.</w:t>
      </w:r>
    </w:p>
    <w:p>
      <w:pPr>
        <w:pStyle w:val="ListBullet"/>
      </w:pPr>
      <w:r>
        <w:t>Trust collapses when systems cannot show evidence.</w:t>
      </w:r>
    </w:p>
    <w:p>
      <w:pPr>
        <w:pStyle w:val="Heading1"/>
      </w:pPr>
      <w:r>
        <w:t>3. Product Thesis</w:t>
      </w:r>
    </w:p>
    <w:p>
      <w:r>
        <w:t>If laboratory data can be deterministically extracted, normalized against a strict ontology, and stored as atomic events with verifiable provenance, then both caregivers and clinicians gain clarity. Trust is achieved through constraint, transparency, and auditability—not through predictive or generative outputs.</w:t>
      </w:r>
    </w:p>
    <w:p>
      <w:pPr>
        <w:pStyle w:val="Heading1"/>
      </w:pPr>
      <w:r>
        <w:t>4. Guiding Principles</w:t>
      </w:r>
    </w:p>
    <w:p>
      <w:pPr>
        <w:pStyle w:val="ListBullet"/>
      </w:pPr>
      <w:r>
        <w:t>No silent inference: ambiguity must be surfaced explicitly.</w:t>
      </w:r>
    </w:p>
    <w:p>
      <w:pPr>
        <w:pStyle w:val="ListBullet"/>
      </w:pPr>
      <w:r>
        <w:t>Every data point must trace back to a source document and page.</w:t>
      </w:r>
    </w:p>
    <w:p>
      <w:pPr>
        <w:pStyle w:val="ListBullet"/>
      </w:pPr>
      <w:r>
        <w:t>Registry-first: biomarker identity is authoritative and cannot be invented during ingestion.</w:t>
      </w:r>
    </w:p>
    <w:p>
      <w:pPr>
        <w:pStyle w:val="ListBullet"/>
      </w:pPr>
      <w:r>
        <w:t>Deterministic trend computation only from stored events.</w:t>
      </w:r>
    </w:p>
    <w:p>
      <w:pPr>
        <w:pStyle w:val="ListBullet"/>
      </w:pPr>
      <w:r>
        <w:t>Separation of ontology (identity) from UI presentation.</w:t>
      </w:r>
    </w:p>
    <w:p>
      <w:pPr>
        <w:pStyle w:val="Heading1"/>
      </w:pPr>
      <w:r>
        <w:t>5. Phase 1 Scope (High-Trust Lab Extraction MVP)</w:t>
      </w:r>
    </w:p>
    <w:p>
      <w:pPr>
        <w:pStyle w:val="Heading2"/>
      </w:pPr>
      <w:r>
        <w:t>In Scope</w:t>
      </w:r>
    </w:p>
    <w:p>
      <w:pPr>
        <w:pStyle w:val="ListBullet"/>
      </w:pPr>
      <w:r>
        <w:t>Digital PDF lab report upload (text-based PDFs only).</w:t>
      </w:r>
    </w:p>
    <w:p>
      <w:pPr>
        <w:pStyle w:val="ListBullet"/>
      </w:pPr>
      <w:r>
        <w:t>Table extraction and candidate biomarker row parsing.</w:t>
      </w:r>
    </w:p>
    <w:p>
      <w:pPr>
        <w:pStyle w:val="ListBullet"/>
      </w:pPr>
      <w:r>
        <w:t>Canonicalization using BiomarkerRegistry_v1 (76 markers).</w:t>
      </w:r>
    </w:p>
    <w:p>
      <w:pPr>
        <w:pStyle w:val="ListBullet"/>
      </w:pPr>
      <w:r>
        <w:t>Unit validation and deterministic conversion.</w:t>
      </w:r>
    </w:p>
    <w:p>
      <w:pPr>
        <w:pStyle w:val="ListBullet"/>
      </w:pPr>
      <w:r>
        <w:t>LabEvent ledger creation with provenance fields.</w:t>
      </w:r>
    </w:p>
    <w:p>
      <w:pPr>
        <w:pStyle w:val="ListBullet"/>
      </w:pPr>
      <w:r>
        <w:t>Trend visualization with evidence drill-down.</w:t>
      </w:r>
    </w:p>
    <w:p>
      <w:pPr>
        <w:pStyle w:val="Heading2"/>
      </w:pPr>
      <w:r>
        <w:t>Out of Scope</w:t>
      </w:r>
    </w:p>
    <w:p>
      <w:pPr>
        <w:pStyle w:val="ListBullet"/>
      </w:pPr>
      <w:r>
        <w:t>OCR for image-based reports.</w:t>
      </w:r>
    </w:p>
    <w:p>
      <w:pPr>
        <w:pStyle w:val="ListBullet"/>
      </w:pPr>
      <w:r>
        <w:t>Medical advice, diagnosis, or recommendations.</w:t>
      </w:r>
    </w:p>
    <w:p>
      <w:pPr>
        <w:pStyle w:val="ListBullet"/>
      </w:pPr>
      <w:r>
        <w:t>Conversational AI interface.</w:t>
      </w:r>
    </w:p>
    <w:p>
      <w:pPr>
        <w:pStyle w:val="ListBullet"/>
      </w:pPr>
      <w:r>
        <w:t>Hospital integration or ABDM/FHIR mapping.</w:t>
      </w:r>
    </w:p>
    <w:p>
      <w:pPr>
        <w:pStyle w:val="Heading1"/>
      </w:pPr>
      <w:r>
        <w:t>6. Core Data Model</w:t>
      </w:r>
    </w:p>
    <w:p>
      <w:pPr>
        <w:pStyle w:val="Heading2"/>
      </w:pPr>
      <w:r>
        <w:t>BiomarkerRegistry</w:t>
      </w:r>
    </w:p>
    <w:p>
      <w:pPr>
        <w:pStyle w:val="ListBullet"/>
      </w:pPr>
      <w:r>
        <w:t>biomarker_id</w:t>
      </w:r>
    </w:p>
    <w:p>
      <w:pPr>
        <w:pStyle w:val="ListBullet"/>
      </w:pPr>
      <w:r>
        <w:t>analyte_name (v1 preserves existing marker labels)</w:t>
      </w:r>
    </w:p>
    <w:p>
      <w:pPr>
        <w:pStyle w:val="ListBullet"/>
      </w:pPr>
      <w:r>
        <w:t>specimen (always explicit; Serum/Plasma, Whole Blood, or Unspecified)</w:t>
      </w:r>
    </w:p>
    <w:p>
      <w:pPr>
        <w:pStyle w:val="ListBullet"/>
      </w:pPr>
      <w:r>
        <w:t>measurement_property</w:t>
      </w:r>
    </w:p>
    <w:p>
      <w:pPr>
        <w:pStyle w:val="ListBullet"/>
      </w:pPr>
      <w:r>
        <w:t>canonical_unit + accepted_units</w:t>
      </w:r>
    </w:p>
    <w:p>
      <w:pPr>
        <w:pStyle w:val="ListBullet"/>
      </w:pPr>
      <w:r>
        <w:t>category (distinct from panel)</w:t>
      </w:r>
    </w:p>
    <w:p>
      <w:pPr>
        <w:pStyle w:val="ListBullet"/>
      </w:pPr>
      <w:r>
        <w:t>aliases[]</w:t>
      </w:r>
    </w:p>
    <w:p>
      <w:pPr>
        <w:pStyle w:val="ListBullet"/>
      </w:pPr>
      <w:r>
        <w:t>is_derived</w:t>
      </w:r>
    </w:p>
    <w:p>
      <w:pPr>
        <w:pStyle w:val="Heading2"/>
      </w:pPr>
      <w:r>
        <w:t>LabEvent</w:t>
      </w:r>
    </w:p>
    <w:p>
      <w:pPr>
        <w:pStyle w:val="ListBullet"/>
      </w:pPr>
      <w:r>
        <w:t>biomarker_id (foreign key)</w:t>
      </w:r>
    </w:p>
    <w:p>
      <w:pPr>
        <w:pStyle w:val="ListBullet"/>
      </w:pPr>
      <w:r>
        <w:t>collected_at</w:t>
      </w:r>
    </w:p>
    <w:p>
      <w:pPr>
        <w:pStyle w:val="ListBullet"/>
      </w:pPr>
      <w:r>
        <w:t>value_original + unit_original</w:t>
      </w:r>
    </w:p>
    <w:p>
      <w:pPr>
        <w:pStyle w:val="ListBullet"/>
      </w:pPr>
      <w:r>
        <w:t>value_normalized + unit_canonical</w:t>
      </w:r>
    </w:p>
    <w:p>
      <w:pPr>
        <w:pStyle w:val="ListBullet"/>
      </w:pPr>
      <w:r>
        <w:t>panel_name</w:t>
      </w:r>
    </w:p>
    <w:p>
      <w:pPr>
        <w:pStyle w:val="ListBullet"/>
      </w:pPr>
      <w:r>
        <w:t>lab_name</w:t>
      </w:r>
    </w:p>
    <w:p>
      <w:pPr>
        <w:pStyle w:val="ListBullet"/>
      </w:pPr>
      <w:r>
        <w:t>document_id + page</w:t>
      </w:r>
    </w:p>
    <w:p>
      <w:pPr>
        <w:pStyle w:val="ListBullet"/>
      </w:pPr>
      <w:r>
        <w:t>confidence</w:t>
      </w:r>
    </w:p>
    <w:p>
      <w:pPr>
        <w:pStyle w:val="ListBullet"/>
      </w:pPr>
      <w:r>
        <w:t>source_type</w:t>
      </w:r>
    </w:p>
    <w:p>
      <w:pPr>
        <w:pStyle w:val="Heading1"/>
      </w:pPr>
      <w:r>
        <w:t>7. Extraction Pipeline</w:t>
      </w:r>
    </w:p>
    <w:p>
      <w:pPr>
        <w:pStyle w:val="ListNumber"/>
      </w:pPr>
      <w:r>
        <w:t>User uploads PDF (stored in GCS).</w:t>
      </w:r>
    </w:p>
    <w:p>
      <w:pPr>
        <w:pStyle w:val="ListNumber"/>
      </w:pPr>
      <w:r>
        <w:t>System extracts tables via deterministic parsing (pdfplumber).</w:t>
      </w:r>
    </w:p>
    <w:p>
      <w:pPr>
        <w:pStyle w:val="ListNumber"/>
      </w:pPr>
      <w:r>
        <w:t>Rows are canonicalized against registry aliases.</w:t>
      </w:r>
    </w:p>
    <w:p>
      <w:pPr>
        <w:pStyle w:val="ListNumber"/>
      </w:pPr>
      <w:r>
        <w:t>Units are validated and converted deterministically.</w:t>
      </w:r>
    </w:p>
    <w:p>
      <w:pPr>
        <w:pStyle w:val="ListNumber"/>
      </w:pPr>
      <w:r>
        <w:t>LabEvents are stored with provenance.</w:t>
      </w:r>
    </w:p>
    <w:p>
      <w:pPr>
        <w:pStyle w:val="ListNumber"/>
      </w:pPr>
      <w:r>
        <w:t>Unmapped rows are surfaced for review.</w:t>
      </w:r>
    </w:p>
    <w:p>
      <w:pPr>
        <w:pStyle w:val="ListNumber"/>
      </w:pPr>
      <w:r>
        <w:t>Trends update automatically.</w:t>
      </w:r>
    </w:p>
    <w:p>
      <w:pPr>
        <w:pStyle w:val="Heading1"/>
      </w:pPr>
      <w:r>
        <w:t>8. Storage and Infrastructure</w:t>
      </w:r>
    </w:p>
    <w:p>
      <w:r>
        <w:t>Telivex uses durable, scalable storage from day one:</w:t>
      </w:r>
    </w:p>
    <w:p>
      <w:pPr>
        <w:pStyle w:val="ListBullet"/>
      </w:pPr>
      <w:r>
        <w:t>PostgreSQL as primary relational database for registry and events.</w:t>
      </w:r>
    </w:p>
    <w:p>
      <w:pPr>
        <w:pStyle w:val="ListBullet"/>
      </w:pPr>
      <w:r>
        <w:t>Google Cloud Storage (GCS) for PDF storage with signed URLs.</w:t>
      </w:r>
    </w:p>
    <w:p>
      <w:pPr>
        <w:pStyle w:val="ListBullet"/>
      </w:pPr>
      <w:r>
        <w:t>Future-ready support for vectorization (pgvector or external vector DB).</w:t>
      </w:r>
    </w:p>
    <w:p>
      <w:pPr>
        <w:pStyle w:val="ListBullet"/>
      </w:pPr>
      <w:r>
        <w:t>Event immutability: append-only event model.</w:t>
      </w:r>
    </w:p>
    <w:p>
      <w:pPr>
        <w:pStyle w:val="Heading1"/>
      </w:pPr>
      <w:r>
        <w:t>9. Acceptance Criteria for Phase 1</w:t>
      </w:r>
    </w:p>
    <w:p>
      <w:pPr>
        <w:pStyle w:val="ListBullet"/>
      </w:pPr>
      <w:r>
        <w:t>Upload a real lab PDF and extract structured biomarker rows.</w:t>
      </w:r>
    </w:p>
    <w:p>
      <w:pPr>
        <w:pStyle w:val="ListBullet"/>
      </w:pPr>
      <w:r>
        <w:t>Unmapped labels are visible and not silently ignored.</w:t>
      </w:r>
    </w:p>
    <w:p>
      <w:pPr>
        <w:pStyle w:val="ListBullet"/>
      </w:pPr>
      <w:r>
        <w:t>Trend queries return deterministic time series with event IDs.</w:t>
      </w:r>
    </w:p>
    <w:p>
      <w:pPr>
        <w:pStyle w:val="ListBullet"/>
      </w:pPr>
      <w:r>
        <w:t>Each trend point can open the supporting PDF page.</w:t>
      </w:r>
    </w:p>
    <w:p>
      <w:pPr>
        <w:pStyle w:val="Heading1"/>
      </w:pPr>
      <w:r>
        <w:t>10. Phase 2 Preview — Medication Ledger</w:t>
      </w:r>
    </w:p>
    <w:p>
      <w:pPr>
        <w:pStyle w:val="ListBullet"/>
      </w:pPr>
      <w:r>
        <w:t>Medication start/stop/dose-change events with provenance.</w:t>
      </w:r>
    </w:p>
    <w:p>
      <w:pPr>
        <w:pStyle w:val="ListBullet"/>
      </w:pPr>
      <w:r>
        <w:t>Active medication snapshot at any point in time.</w:t>
      </w:r>
    </w:p>
    <w:p>
      <w:pPr>
        <w:pStyle w:val="ListBullet"/>
      </w:pPr>
      <w:r>
        <w:t>Temporal alignment between labs and medication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