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Progressive Gift Cards</w:t>
      </w:r>
    </w:p>
    <w:p>
      <w:pPr>
        <w:spacing w:after="400"/>
      </w:pPr>
      <w:r>
        <w:rPr>
          <w:rFonts w:ascii="Inter" w:hAnsi="Inter"/>
          <w:color w:val="666666"/>
          <w:sz w:val="32"/>
        </w:rPr>
        <w:t>Where We Go From Here</w:t>
      </w:r>
    </w:p>
    <w:p>
      <w:pPr>
        <w:spacing w:after="480"/>
      </w:pPr>
      <w:r>
        <w:rPr>
          <w:rFonts w:ascii="Inter" w:hAnsi="Inter"/>
          <w:color w:val="888888"/>
          <w:sz w:val="20"/>
        </w:rPr>
        <w:t>Prepared by Redstamp  |  March 2026</w:t>
      </w:r>
    </w:p>
    <w:p>
      <w:pPr>
        <w:spacing w:before="240" w:after="240"/>
        <w:pBdr>
          <w:bottom w:val="single" w:sz="4" w:space="1" w:color="CCCCCC"/>
        </w:pBdr>
      </w:pPr>
    </w:p>
    <w:p>
      <w:pPr>
        <w:pStyle w:val="Heading2"/>
      </w:pPr>
      <w:r>
        <w:t>How We Got Here</w:t>
      </w:r>
    </w:p>
    <w:p>
      <w:pPr/>
      <w:r>
        <w:t>Progressive and Redstamp have been working together for some time now — from the original operational assessment through to the commerce integration that replaced phone, email, and fax ordering with a system built around your margins. In January, we sat down for a wide-ranging conversation about what’s next. What came out of that call is what this document is built on.</w:t>
      </w:r>
    </w:p>
    <w:p>
      <w:pPr>
        <w:pStyle w:val="Heading2"/>
      </w:pPr>
      <w:r>
        <w:t>Where You Are</w:t>
      </w:r>
    </w:p>
    <w:p>
      <w:pPr/>
      <w:r>
        <w:t>Three things are true about your digital business right now.</w:t>
      </w:r>
    </w:p>
    <w:p>
      <w:pPr>
        <w:pStyle w:val="Heading3"/>
      </w:pPr>
      <w:r>
        <w:t>The fulfillment process can’t scale</w:t>
      </w:r>
    </w:p>
    <w:p>
      <w:pPr/>
      <w:r>
        <w:t>Digital card generation runs through one person, one set of scripts, and a manual pipeline that touches spreadsheets, vendor data, file packaging, and encrypted email delivery. Loblaws cards alone take 20 seconds each to generate — a 600-card order is over three hours.</w:t>
      </w:r>
    </w:p>
    <w:p>
      <w:pPr>
        <w:spacing w:before="120" w:after="120"/>
        <w:ind w:left="850"/>
      </w:pPr>
      <w:r>
        <w:rPr>
          <w:i/>
          <w:color w:val="555555"/>
        </w:rPr>
        <w:t>“If you had the same number of digital card orders as you had physical, then you wouldn’t be able to keep up.” — Lloyd</w:t>
      </w:r>
    </w:p>
    <w:p>
      <w:pPr/>
      <w:r>
        <w:t>The delivery side compounds this. Encrypted attachments trigger corporate email filters, customers lose passwords, and every failed delivery creates a support ticket. Fundstream can get a card to an end user in two seconds. The gap between that and your current process is widening.</w:t>
      </w:r>
    </w:p>
    <w:p>
      <w:pPr/>
      <w:r>
        <w:t>The back-office friction is just as real. Every order that comes through Formidable Forms generates an email notification — and from there, someone has to manually create the corresponding invoice in QuickBooks. There’s no sync, no automation, just a person re-entering data from one system into another. It works at current volume, but it’s the kind of process that quietly breaks as the business grows.</w:t>
      </w:r>
    </w:p>
    <w:p>
      <w:pPr>
        <w:pStyle w:val="Heading3"/>
      </w:pPr>
      <w:r>
        <w:t>You’re committed to change — and you need the right partner to navigate it</w:t>
      </w:r>
    </w:p>
    <w:p>
      <w:pPr/>
      <w:r>
        <w:t>You’ve already started moving: the sticker machine for physical cards, barcode capture for inventory, merchant backend integrations on a 3-5 year horizon. You’ve standardized on URL-based delivery to simplify automation. Customer self-service for digital card retrieval is a top priority. Branded vendor experiences for merchants like Save-on-Foods and Sequoia represent an opportunity to expand — taking over fulfillment for stores and chains that are currently handling it themselves.</w:t>
      </w:r>
    </w:p>
    <w:p>
      <w:pPr/>
      <w:r>
        <w:t>You’re committed to the work and effort these organizational and operational changes require. We’ve been in this together since before you had an online ordering system — when every order came in by phone, email, or fax. The commerce integration we built has processed hundreds of thousands of dollars in orders through a model that fits your margins, not a generic checkout flow. That foundation got you here. Now the business has reached the point where you’re ready to see what the next phase looks like and how to move forward. Your operation is one of two of its kind in Canada — there’s no off-the-shelf playbook. Each step needs to build on the last so that progress compounds instead of competing for attention.</w:t>
      </w:r>
    </w:p>
    <w:p>
      <w:pPr>
        <w:spacing w:before="120" w:after="120"/>
        <w:ind w:left="850"/>
      </w:pPr>
      <w:r>
        <w:rPr>
          <w:i/>
          <w:color w:val="555555"/>
        </w:rPr>
        <w:t>“I want you to come back and tell me what we should be doing. From your basis of your expertise. Because I’m happy to invest in you guys to help us make this better.” — Doug</w:t>
      </w:r>
    </w:p>
    <w:p>
      <w:pPr>
        <w:pStyle w:val="Heading3"/>
      </w:pPr>
      <w:r>
        <w:t>The team is ready for this to change</w:t>
      </w:r>
    </w:p>
    <w:p>
      <w:pPr/>
      <w:r>
        <w:t>Lloyd has been direct about wanting his role automated. Your team understands the risk of having critical processes concentrated in one person’s tooling. The willingness to move is real — what you need is someone to translate that willingness into architecture, timelines, and a plan your team can execute against.</w:t>
      </w:r>
    </w:p>
    <w:p>
      <w:pPr/>
      <w:r>
        <w:t>That’s what this document lays out.</w:t>
      </w:r>
    </w:p>
    <w:p>
      <w:pPr>
        <w:spacing w:before="240" w:after="240"/>
        <w:pBdr>
          <w:bottom w:val="single" w:sz="4" w:space="1" w:color="CCCCCC"/>
        </w:pBdr>
      </w:pPr>
    </w:p>
    <w:p>
      <w:pPr>
        <w:pStyle w:val="Heading2"/>
      </w:pPr>
      <w:r>
        <w:t>What We Recommend</w:t>
      </w:r>
    </w:p>
    <w:p>
      <w:pPr/>
      <w:r/>
      <w:r>
        <w:rPr>
          <w:b/>
        </w:rPr>
        <w:t>Solve the card generation problem first. Then rebuild the order platform on top of it.</w:t>
      </w:r>
      <w:r/>
    </w:p>
    <w:p>
      <w:pPr/>
      <w:r>
        <w:t>The instinct is to start with the customer experience — it’s the most visible pain point and the thing your customers would notice immediately. But a new front door without a reliable fulfillment engine behind it is a storefront with nothing on the shelves. The generation process is the bottleneck that constrains everything else: delivery speed, staff flexibility, volume capacity, and your ability to compete with Fundstream on digital.</w:t>
      </w:r>
    </w:p>
    <w:p>
      <w:pPr/>
      <w:r>
        <w:t>Digital gift card volume is growing across the industry. Your direct vendor relationships — one of only two Walmart bulk distributors in Canada — are the competitive advantage no one can replicate. But that advantage only holds if your fulfillment infrastructure can keep pace with demand. Right now, it can’t.</w:t>
      </w:r>
    </w:p>
    <w:p>
      <w:pPr/>
      <w:r>
        <w:t>We recommend a phased approach where each step builds on the last and delivers standalone value.</w:t>
      </w:r>
    </w:p>
    <w:p>
      <w:pPr>
        <w:pStyle w:val="Heading3"/>
      </w:pPr>
      <w:r>
        <w:t>Phase 1 — Capture what exists</w:t>
      </w:r>
    </w:p>
    <w:p>
      <w:pPr/>
      <w:r>
        <w:t>Before we build anything, we need to fully understand what Lloyd has built and how it works across every vendor. This is not a discovery exercise — we know what needs to happen. It’s a structured hand-off session.</w:t>
      </w:r>
    </w:p>
    <w:p>
      <w:pPr/>
      <w:r>
        <w:t>Danny, our Director of Operations, leads a half-day working session with Lloyd at your office — approximately four hours, with Spencer joining remotely and a member of the technical team available as needed. The goal is complete documentation of every vendor workflow: what data comes in, what scripts run, what the output looks like, where things break, and what the edge cases are. Walmart, Amazon, Chapters, Loblaws — each one mapped step by step.</w:t>
      </w:r>
    </w:p>
    <w:p>
      <w:pPr/>
      <w:r>
        <w:t>This session produces two things:</w:t>
      </w:r>
    </w:p>
    <w:p>
      <w:pPr>
        <w:pStyle w:val="ListNumber"/>
      </w:pPr>
      <w:r>
        <w:rPr>
          <w:b/>
        </w:rPr>
        <w:t>Vendor runbooks</w:t>
      </w:r>
      <w:r>
        <w:t xml:space="preserve"> — step-by-step documentation written for operators, not developers. Detailed enough that Mario or a new hire could reference them today, even before the new tool is built.</w:t>
      </w:r>
    </w:p>
    <w:p>
      <w:pPr>
        <w:pStyle w:val="ListNumber"/>
      </w:pPr>
      <w:r>
        <w:rPr>
          <w:b/>
        </w:rPr>
        <w:t>A technical specification</w:t>
      </w:r>
      <w:r>
        <w:t xml:space="preserve"> for the card generation tool — informed by what actually happens in practice, not assumptions.</w:t>
      </w:r>
    </w:p>
    <w:p>
      <w:pPr/>
      <w:r>
        <w:t>We can also revisit the order matching work during this phase. The tooling available today makes that problem significantly more straightforward than when we first looked at it.</w:t>
      </w:r>
    </w:p>
    <w:tbl>
      <w:tblPr>
        <w:tblStyle w:val="TableGrid"/>
        <w:tblW w:type="auto" w:w="0"/>
        <w:jc w:val="left"/>
        <w:tblLook w:firstColumn="1" w:firstRow="1" w:lastColumn="0" w:lastRow="0" w:noHBand="0" w:noVBand="1" w:val="04A0"/>
      </w:tblPr>
      <w:tblGrid>
        <w:gridCol w:w="4703"/>
        <w:gridCol w:w="4703"/>
      </w:tblGrid>
      <w:tr>
        <w:tc>
          <w:tcPr>
            <w:tcW w:type="dxa" w:w="4703"/>
            <w:shd w:fill="F8F8F8" w:val="clear"/>
          </w:tcPr>
          <w:p>
            <w:pPr>
              <w:spacing w:before="60" w:after="60"/>
            </w:pPr>
            <w:r/>
            <w:r>
              <w:rPr>
                <w:rFonts w:ascii="Inter" w:hAnsi="Inter"/>
                <w:b/>
                <w:sz w:val="20"/>
              </w:rPr>
              <w:t>Timeline</w:t>
            </w:r>
          </w:p>
        </w:tc>
        <w:tc>
          <w:tcPr>
            <w:tcW w:type="dxa" w:w="4703"/>
          </w:tcPr>
          <w:p>
            <w:pPr>
              <w:spacing w:before="60" w:after="60"/>
            </w:pPr>
            <w:r/>
            <w:r>
              <w:rPr>
                <w:rFonts w:ascii="Inter" w:hAnsi="Inter"/>
                <w:sz w:val="20"/>
              </w:rPr>
              <w:t>April 2026</w:t>
            </w:r>
          </w:p>
        </w:tc>
      </w:tr>
      <w:tr>
        <w:tc>
          <w:tcPr>
            <w:tcW w:type="dxa" w:w="4703"/>
            <w:shd w:fill="F8F8F8" w:val="clear"/>
          </w:tcPr>
          <w:p>
            <w:pPr>
              <w:spacing w:before="60" w:after="60"/>
            </w:pPr>
            <w:r/>
            <w:r>
              <w:rPr>
                <w:rFonts w:ascii="Inter" w:hAnsi="Inter"/>
                <w:b/>
                <w:sz w:val="20"/>
              </w:rPr>
              <w:t>Investment</w:t>
            </w:r>
          </w:p>
        </w:tc>
        <w:tc>
          <w:tcPr>
            <w:tcW w:type="dxa" w:w="4703"/>
          </w:tcPr>
          <w:p>
            <w:pPr>
              <w:spacing w:before="60" w:after="60"/>
            </w:pPr>
            <w:r/>
            <w:r>
              <w:rPr>
                <w:rFonts w:ascii="Inter" w:hAnsi="Inter"/>
                <w:sz w:val="20"/>
              </w:rPr>
              <w:t>[To be confirmed with team]</w:t>
            </w:r>
          </w:p>
        </w:tc>
      </w:tr>
    </w:tbl>
    <w:p/>
    <w:p>
      <w:pPr>
        <w:pStyle w:val="Heading3"/>
      </w:pPr>
      <w:r>
        <w:t>Phase 2 — Build the card generation tool</w:t>
      </w:r>
    </w:p>
    <w:p>
      <w:pPr/>
      <w:r>
        <w:t>This is the core build. A secure application that replaces Lloyd’s scripts with a system any trained staff member can operate.</w:t>
      </w:r>
    </w:p>
    <w:p>
      <w:pPr/>
      <w:r>
        <w:t>The goal is simple: Mario selects a vendor, uploads the card data, and the system handles generation, validation, and URL output. The same process Lloyd runs today — without the spreadsheets, manual scripting, and single-point-of-failure risk.</w:t>
      </w:r>
    </w:p>
    <w:tbl>
      <w:tblPr>
        <w:tblStyle w:val="TableGrid"/>
        <w:tblW w:type="auto" w:w="0"/>
        <w:jc w:val="left"/>
        <w:tblLook w:firstColumn="1" w:firstRow="1" w:lastColumn="0" w:lastRow="0" w:noHBand="0" w:noVBand="1" w:val="04A0"/>
      </w:tblPr>
      <w:tblGrid>
        <w:gridCol w:w="4703"/>
        <w:gridCol w:w="4703"/>
      </w:tblGrid>
      <w:tr>
        <w:tc>
          <w:tcPr>
            <w:tcW w:type="dxa" w:w="4703"/>
            <w:shd w:fill="F2F2F2" w:val="clear"/>
          </w:tcPr>
          <w:p>
            <w:pPr>
              <w:spacing w:before="80" w:after="80"/>
            </w:pPr>
            <w:r>
              <w:rPr>
                <w:b/>
              </w:rPr>
            </w:r>
            <w:r>
              <w:rPr>
                <w:rFonts w:ascii="Inter" w:hAnsi="Inter"/>
                <w:b/>
                <w:sz w:val="20"/>
              </w:rPr>
              <w:t>What changes</w:t>
            </w:r>
          </w:p>
        </w:tc>
        <w:tc>
          <w:tcPr>
            <w:tcW w:type="dxa" w:w="4703"/>
            <w:shd w:fill="F2F2F2" w:val="clear"/>
          </w:tcPr>
          <w:p>
            <w:pPr>
              <w:spacing w:before="80" w:after="80"/>
            </w:pPr>
            <w:r>
              <w:rPr>
                <w:b/>
              </w:rPr>
            </w:r>
            <w:r>
              <w:rPr>
                <w:rFonts w:ascii="Inter" w:hAnsi="Inter"/>
                <w:b/>
                <w:sz w:val="20"/>
              </w:rPr>
              <w:t>What it means</w:t>
            </w:r>
          </w:p>
        </w:tc>
      </w:tr>
      <w:tr>
        <w:tc>
          <w:tcPr>
            <w:tcW w:type="dxa" w:w="4703"/>
          </w:tcPr>
          <w:p>
            <w:pPr>
              <w:spacing w:before="80" w:after="80"/>
            </w:pPr>
            <w:r/>
            <w:r>
              <w:rPr>
                <w:rFonts w:ascii="Inter" w:hAnsi="Inter"/>
                <w:sz w:val="20"/>
              </w:rPr>
              <w:t>Any trained staff member can process orders</w:t>
            </w:r>
          </w:p>
        </w:tc>
        <w:tc>
          <w:tcPr>
            <w:tcW w:type="dxa" w:w="4703"/>
          </w:tcPr>
          <w:p>
            <w:pPr>
              <w:spacing w:before="80" w:after="80"/>
            </w:pPr>
            <w:r/>
            <w:r>
              <w:rPr>
                <w:rFonts w:ascii="Inter" w:hAnsi="Inter"/>
                <w:sz w:val="20"/>
              </w:rPr>
              <w:t>No more single-point-of-failure dependency on Lloyd</w:t>
            </w:r>
          </w:p>
        </w:tc>
      </w:tr>
      <w:tr>
        <w:tc>
          <w:tcPr>
            <w:tcW w:type="dxa" w:w="4703"/>
          </w:tcPr>
          <w:p>
            <w:pPr>
              <w:spacing w:before="80" w:after="80"/>
            </w:pPr>
            <w:r/>
            <w:r>
              <w:rPr>
                <w:rFonts w:ascii="Inter" w:hAnsi="Inter"/>
                <w:sz w:val="20"/>
              </w:rPr>
              <w:t>New hire training in under a day</w:t>
            </w:r>
          </w:p>
        </w:tc>
        <w:tc>
          <w:tcPr>
            <w:tcW w:type="dxa" w:w="4703"/>
          </w:tcPr>
          <w:p>
            <w:pPr>
              <w:spacing w:before="80" w:after="80"/>
            </w:pPr>
            <w:r/>
            <w:r>
              <w:rPr>
                <w:rFonts w:ascii="Inter" w:hAnsi="Inter"/>
                <w:sz w:val="20"/>
              </w:rPr>
              <w:t>The system guides the workflow, not tribal knowledge</w:t>
            </w:r>
          </w:p>
        </w:tc>
      </w:tr>
      <w:tr>
        <w:tc>
          <w:tcPr>
            <w:tcW w:type="dxa" w:w="4703"/>
          </w:tcPr>
          <w:p>
            <w:pPr>
              <w:spacing w:before="80" w:after="80"/>
            </w:pPr>
            <w:r/>
            <w:r>
              <w:rPr>
                <w:rFonts w:ascii="Inter" w:hAnsi="Inter"/>
                <w:sz w:val="20"/>
              </w:rPr>
              <w:t>New vendors added through configuration</w:t>
            </w:r>
          </w:p>
        </w:tc>
        <w:tc>
          <w:tcPr>
            <w:tcW w:type="dxa" w:w="4703"/>
          </w:tcPr>
          <w:p>
            <w:pPr>
              <w:spacing w:before="80" w:after="80"/>
            </w:pPr>
            <w:r/>
            <w:r>
              <w:rPr>
                <w:rFonts w:ascii="Inter" w:hAnsi="Inter"/>
                <w:sz w:val="20"/>
              </w:rPr>
              <w:t>No custom scripting project for each merchant</w:t>
            </w:r>
          </w:p>
        </w:tc>
      </w:tr>
      <w:tr>
        <w:tc>
          <w:tcPr>
            <w:tcW w:type="dxa" w:w="4703"/>
          </w:tcPr>
          <w:p>
            <w:pPr>
              <w:spacing w:before="80" w:after="80"/>
            </w:pPr>
            <w:r/>
            <w:r>
              <w:rPr>
                <w:rFonts w:ascii="Inter" w:hAnsi="Inter"/>
                <w:sz w:val="20"/>
              </w:rPr>
              <w:t>Secure handling from intake through delivery</w:t>
            </w:r>
          </w:p>
        </w:tc>
        <w:tc>
          <w:tcPr>
            <w:tcW w:type="dxa" w:w="4703"/>
          </w:tcPr>
          <w:p>
            <w:pPr>
              <w:spacing w:before="80" w:after="80"/>
            </w:pPr>
            <w:r/>
            <w:r>
              <w:rPr>
                <w:rFonts w:ascii="Inter" w:hAnsi="Inter"/>
                <w:sz w:val="20"/>
              </w:rPr>
              <w:t>Card data protected throughout the process</w:t>
            </w:r>
          </w:p>
        </w:tc>
      </w:tr>
    </w:tbl>
    <w:p/>
    <w:p>
      <w:pPr/>
      <w:r>
        <w:t>We’re confident in delivering a solution that solves this long-term. One that’s built to support future growth, additional vendors, and new features as your business evolves. The mass distribution capability — sending cards directly to hundreds of individual recipients — is a natural extension that can come later. The priority is eliminating the single point of failure and building a foundation that holds.</w:t>
      </w:r>
    </w:p>
    <w:p>
      <w:pPr/>
      <w:r>
        <w:t>A traditional software firm starting from scratch would scope this type of custom application at $55K-$120K. We’re not starting from scratch. Redstamp already understands your business, your vendors, and your operational constraints — context that would take an outside firm weeks of billable discovery to acquire. Combined with the development infrastructure we’ve built internally to work efficiently at our scale, we can deliver this at a fraction of the market rate without cutting corners on security or quality.</w:t>
      </w:r>
    </w:p>
    <w:tbl>
      <w:tblPr>
        <w:tblStyle w:val="TableGrid"/>
        <w:tblW w:type="auto" w:w="0"/>
        <w:jc w:val="left"/>
        <w:tblLook w:firstColumn="1" w:firstRow="1" w:lastColumn="0" w:lastRow="0" w:noHBand="0" w:noVBand="1" w:val="04A0"/>
      </w:tblPr>
      <w:tblGrid>
        <w:gridCol w:w="4703"/>
        <w:gridCol w:w="4703"/>
      </w:tblGrid>
      <w:tr>
        <w:tc>
          <w:tcPr>
            <w:tcW w:type="dxa" w:w="4703"/>
            <w:shd w:fill="F8F8F8" w:val="clear"/>
          </w:tcPr>
          <w:p>
            <w:pPr>
              <w:spacing w:before="60" w:after="60"/>
            </w:pPr>
            <w:r/>
            <w:r>
              <w:rPr>
                <w:rFonts w:ascii="Inter" w:hAnsi="Inter"/>
                <w:b/>
                <w:sz w:val="20"/>
              </w:rPr>
              <w:t>Timeline</w:t>
            </w:r>
          </w:p>
        </w:tc>
        <w:tc>
          <w:tcPr>
            <w:tcW w:type="dxa" w:w="4703"/>
          </w:tcPr>
          <w:p>
            <w:pPr>
              <w:spacing w:before="60" w:after="60"/>
            </w:pPr>
            <w:r/>
            <w:r>
              <w:rPr>
                <w:rFonts w:ascii="Inter" w:hAnsi="Inter"/>
                <w:sz w:val="20"/>
              </w:rPr>
              <w:t>May–September 2026</w:t>
            </w:r>
          </w:p>
        </w:tc>
      </w:tr>
      <w:tr>
        <w:tc>
          <w:tcPr>
            <w:tcW w:type="dxa" w:w="4703"/>
            <w:shd w:fill="F8F8F8" w:val="clear"/>
          </w:tcPr>
          <w:p>
            <w:pPr>
              <w:spacing w:before="60" w:after="60"/>
            </w:pPr>
            <w:r/>
            <w:r>
              <w:rPr>
                <w:rFonts w:ascii="Inter" w:hAnsi="Inter"/>
                <w:b/>
                <w:sz w:val="20"/>
              </w:rPr>
              <w:t>Market rate</w:t>
            </w:r>
          </w:p>
        </w:tc>
        <w:tc>
          <w:tcPr>
            <w:tcW w:type="dxa" w:w="4703"/>
          </w:tcPr>
          <w:p>
            <w:pPr>
              <w:spacing w:before="60" w:after="60"/>
            </w:pPr>
            <w:r/>
            <w:r>
              <w:rPr>
                <w:rFonts w:ascii="Inter" w:hAnsi="Inter"/>
                <w:sz w:val="20"/>
              </w:rPr>
              <w:t>$55K–$120K</w:t>
            </w:r>
          </w:p>
        </w:tc>
      </w:tr>
      <w:tr>
        <w:tc>
          <w:tcPr>
            <w:tcW w:type="dxa" w:w="4703"/>
            <w:shd w:fill="F8F8F8" w:val="clear"/>
          </w:tcPr>
          <w:p>
            <w:pPr>
              <w:spacing w:before="60" w:after="60"/>
            </w:pPr>
            <w:r/>
            <w:r>
              <w:rPr>
                <w:rFonts w:ascii="Inter" w:hAnsi="Inter"/>
                <w:b/>
                <w:sz w:val="20"/>
              </w:rPr>
              <w:t>Redstamp investment</w:t>
            </w:r>
          </w:p>
        </w:tc>
        <w:tc>
          <w:tcPr>
            <w:tcW w:type="dxa" w:w="4703"/>
          </w:tcPr>
          <w:p>
            <w:pPr>
              <w:spacing w:before="60" w:after="60"/>
            </w:pPr>
            <w:r/>
            <w:r>
              <w:rPr>
                <w:rFonts w:ascii="Inter" w:hAnsi="Inter"/>
                <w:sz w:val="20"/>
              </w:rPr>
              <w:t>[To be confirmed with team]</w:t>
            </w:r>
          </w:p>
        </w:tc>
      </w:tr>
    </w:tbl>
    <w:p/>
    <w:p>
      <w:pPr/>
      <w:r/>
      <w:r>
        <w:rPr>
          <w:b/>
        </w:rPr>
        <w:t>Phase 2 is designed to ship before the holiday busy season</w:t>
      </w:r>
      <w:r>
        <w:t xml:space="preserve"> — the card generation tool needs to be live and stable before order volume ramps up in Q4, which means complete and in your team’s hands no later than early October.</w:t>
      </w:r>
    </w:p>
    <w:p>
      <w:pPr>
        <w:pStyle w:val="Heading3"/>
      </w:pPr>
      <w:r>
        <w:t>Phase 3 — Rebuild the order platform</w:t>
      </w:r>
    </w:p>
    <w:p>
      <w:pPr/>
      <w:r>
        <w:t>The Formidable Forms setup has served its purpose. It proved the model works, and hundreds of thousands of dollars in orders have moved through it. But you’re processing six-figure gift card orders through a form plugin with no customer accounts, no order history, and no direct connection to your back-office systems. As order volume grows and the business matures, the platform needs to reflect that.</w:t>
      </w:r>
    </w:p>
    <w:p>
      <w:pPr/>
      <w:r>
        <w:t>Your marketing site stays exactly where it is — WordPress continues to serve that purpose well, and there’s no reason to disrupt it. The order platform is a separate application, purpose-built for commerce, that lives alongside the marketing site rather than being bolted onto it.</w:t>
      </w:r>
    </w:p>
    <w:tbl>
      <w:tblPr>
        <w:tblStyle w:val="TableGrid"/>
        <w:tblW w:type="auto" w:w="0"/>
        <w:jc w:val="left"/>
        <w:tblLook w:firstColumn="1" w:firstRow="1" w:lastColumn="0" w:lastRow="0" w:noHBand="0" w:noVBand="1" w:val="04A0"/>
      </w:tblPr>
      <w:tblGrid>
        <w:gridCol w:w="4703"/>
        <w:gridCol w:w="4703"/>
      </w:tblGrid>
      <w:tr>
        <w:tc>
          <w:tcPr>
            <w:tcW w:type="dxa" w:w="4703"/>
            <w:shd w:fill="F2F2F2" w:val="clear"/>
          </w:tcPr>
          <w:p>
            <w:pPr>
              <w:spacing w:before="80" w:after="80"/>
            </w:pPr>
            <w:r>
              <w:rPr>
                <w:b/>
              </w:rPr>
            </w:r>
            <w:r>
              <w:rPr>
                <w:rFonts w:ascii="Inter" w:hAnsi="Inter"/>
                <w:b/>
                <w:sz w:val="20"/>
              </w:rPr>
              <w:t>Capability</w:t>
            </w:r>
          </w:p>
        </w:tc>
        <w:tc>
          <w:tcPr>
            <w:tcW w:type="dxa" w:w="4703"/>
            <w:shd w:fill="F2F2F2" w:val="clear"/>
          </w:tcPr>
          <w:p>
            <w:pPr>
              <w:spacing w:before="80" w:after="80"/>
            </w:pPr>
            <w:r>
              <w:rPr>
                <w:b/>
              </w:rPr>
            </w:r>
            <w:r>
              <w:rPr>
                <w:rFonts w:ascii="Inter" w:hAnsi="Inter"/>
                <w:b/>
                <w:sz w:val="20"/>
              </w:rPr>
              <w:t>What it replaces</w:t>
            </w:r>
          </w:p>
        </w:tc>
      </w:tr>
      <w:tr>
        <w:tc>
          <w:tcPr>
            <w:tcW w:type="dxa" w:w="4703"/>
          </w:tcPr>
          <w:p>
            <w:pPr>
              <w:spacing w:before="80" w:after="80"/>
            </w:pPr>
            <w:r/>
            <w:r>
              <w:rPr>
                <w:rFonts w:ascii="Inter" w:hAnsi="Inter"/>
                <w:sz w:val="20"/>
              </w:rPr>
              <w:t>Customer accounts with 2FA</w:t>
            </w:r>
          </w:p>
        </w:tc>
        <w:tc>
          <w:tcPr>
            <w:tcW w:type="dxa" w:w="4703"/>
          </w:tcPr>
          <w:p>
            <w:pPr>
              <w:spacing w:before="80" w:after="80"/>
            </w:pPr>
            <w:r/>
            <w:r>
              <w:rPr>
                <w:rFonts w:ascii="Inter" w:hAnsi="Inter"/>
                <w:sz w:val="20"/>
              </w:rPr>
              <w:t>No accounts — orders placed through an anonymous form</w:t>
            </w:r>
          </w:p>
        </w:tc>
      </w:tr>
      <w:tr>
        <w:tc>
          <w:tcPr>
            <w:tcW w:type="dxa" w:w="4703"/>
          </w:tcPr>
          <w:p>
            <w:pPr>
              <w:spacing w:before="80" w:after="80"/>
            </w:pPr>
            <w:r/>
            <w:r>
              <w:rPr>
                <w:rFonts w:ascii="Inter" w:hAnsi="Inter"/>
                <w:sz w:val="20"/>
              </w:rPr>
              <w:t>Streamlined order submission</w:t>
            </w:r>
          </w:p>
        </w:tc>
        <w:tc>
          <w:tcPr>
            <w:tcW w:type="dxa" w:w="4703"/>
          </w:tcPr>
          <w:p>
            <w:pPr>
              <w:spacing w:before="80" w:after="80"/>
            </w:pPr>
            <w:r/>
            <w:r>
              <w:rPr>
                <w:rFonts w:ascii="Inter" w:hAnsi="Inter"/>
                <w:sz w:val="20"/>
              </w:rPr>
              <w:t>Formidable Forms plugin handling six-figure transactions</w:t>
            </w:r>
          </w:p>
        </w:tc>
      </w:tr>
      <w:tr>
        <w:tc>
          <w:tcPr>
            <w:tcW w:type="dxa" w:w="4703"/>
          </w:tcPr>
          <w:p>
            <w:pPr>
              <w:spacing w:before="80" w:after="80"/>
            </w:pPr>
            <w:r/>
            <w:r>
              <w:rPr>
                <w:rFonts w:ascii="Inter" w:hAnsi="Inter"/>
                <w:sz w:val="20"/>
              </w:rPr>
              <w:t>Order history and status tracking</w:t>
            </w:r>
          </w:p>
        </w:tc>
        <w:tc>
          <w:tcPr>
            <w:tcW w:type="dxa" w:w="4703"/>
          </w:tcPr>
          <w:p>
            <w:pPr>
              <w:spacing w:before="80" w:after="80"/>
            </w:pPr>
            <w:r/>
            <w:r>
              <w:rPr>
                <w:rFonts w:ascii="Inter" w:hAnsi="Inter"/>
                <w:sz w:val="20"/>
              </w:rPr>
              <w:t>Email threads and manual follow-ups</w:t>
            </w:r>
          </w:p>
        </w:tc>
      </w:tr>
      <w:tr>
        <w:tc>
          <w:tcPr>
            <w:tcW w:type="dxa" w:w="4703"/>
          </w:tcPr>
          <w:p>
            <w:pPr>
              <w:spacing w:before="80" w:after="80"/>
            </w:pPr>
            <w:r/>
            <w:r>
              <w:rPr>
                <w:rFonts w:ascii="Inter" w:hAnsi="Inter"/>
                <w:sz w:val="20"/>
              </w:rPr>
              <w:t>Admin backend</w:t>
            </w:r>
          </w:p>
        </w:tc>
        <w:tc>
          <w:tcPr>
            <w:tcW w:type="dxa" w:w="4703"/>
          </w:tcPr>
          <w:p>
            <w:pPr>
              <w:spacing w:before="80" w:after="80"/>
            </w:pPr>
            <w:r/>
            <w:r>
              <w:rPr>
                <w:rFonts w:ascii="Inter" w:hAnsi="Inter"/>
                <w:sz w:val="20"/>
              </w:rPr>
              <w:t>Scattered spreadsheets and email notifications</w:t>
            </w:r>
          </w:p>
        </w:tc>
      </w:tr>
      <w:tr>
        <w:tc>
          <w:tcPr>
            <w:tcW w:type="dxa" w:w="4703"/>
          </w:tcPr>
          <w:p>
            <w:pPr>
              <w:spacing w:before="80" w:after="80"/>
            </w:pPr>
            <w:r/>
            <w:r>
              <w:rPr>
                <w:rFonts w:ascii="Inter" w:hAnsi="Inter"/>
                <w:sz w:val="20"/>
              </w:rPr>
              <w:t>Direct QuickBooks integration</w:t>
            </w:r>
          </w:p>
        </w:tc>
        <w:tc>
          <w:tcPr>
            <w:tcW w:type="dxa" w:w="4703"/>
          </w:tcPr>
          <w:p>
            <w:pPr>
              <w:spacing w:before="80" w:after="80"/>
            </w:pPr>
            <w:r/>
            <w:r>
              <w:rPr>
                <w:rFonts w:ascii="Inter" w:hAnsi="Inter"/>
                <w:sz w:val="20"/>
              </w:rPr>
              <w:t>Manual invoice creation from form submission emails</w:t>
            </w:r>
          </w:p>
        </w:tc>
      </w:tr>
    </w:tbl>
    <w:p/>
    <w:p>
      <w:pPr/>
      <w:r>
        <w:t>Benji Pays stays in place for payment capture — the platform handles everything around the payment without taking on credit card processing or the margin compression that comes with it.</w:t>
      </w:r>
    </w:p>
    <w:p>
      <w:pPr/>
      <w:r>
        <w:t>This phase is the largest investment, and we’d approach it in stages:</w:t>
      </w:r>
    </w:p>
    <w:p>
      <w:r>
        <w:rPr>
          <w:b/>
        </w:rPr>
        <w:t>Stage 1 — MVP</w:t>
      </w:r>
      <w:r>
        <w:t xml:space="preserve">  |  Customer accounts, 2FA, order submission, status tracking, admin view, and QuickBooks integration. This replaces Formidable Forms, eliminates the manual invoice creation bottleneck, and establishes the new foundation.</w:t>
      </w:r>
    </w:p>
    <w:p>
      <w:r>
        <w:rPr>
          <w:b/>
        </w:rPr>
        <w:t>Stage 2 — Digital delivery</w:t>
      </w:r>
      <w:r>
        <w:t xml:space="preserve">  |  Digital card retrieval connected to the generation tool, direct-to-recipient distribution. This is where the card generation tool and the order platform come together — customers retrieve cards through the platform instead of encrypted email.</w:t>
      </w:r>
    </w:p>
    <w:p>
      <w:r>
        <w:rPr>
          <w:b/>
        </w:rPr>
        <w:t>Stage 3 — White-label</w:t>
      </w:r>
      <w:r>
        <w:t xml:space="preserve">  |  Branded vendor portals. Standing up a Save-on-Foods or Sequoia instance becomes a configuration exercise, not a rebuild. We’ll architect for this from day one, but won’t build it until the contracts justify it.</w:t>
      </w:r>
    </w:p>
    <w:p/>
    <w:p>
      <w:pPr/>
      <w:r>
        <w:t>A traditional firm would scope a custom B2B platform of this complexity at $90K-$210K. The same advantages apply here — our existing knowledge of your operations, the shared infrastructure with the card generation tool, and efficient development workflows mean this investment will be significantly below market rate.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F2F2F2" w:val="clear"/>
          </w:tcPr>
          <w:p>
            <w:pPr>
              <w:spacing w:before="80" w:after="80"/>
            </w:pPr>
            <w:r>
              <w:rPr>
                <w:b/>
              </w:rPr>
            </w:r>
            <w:r>
              <w:rPr>
                <w:rFonts w:ascii="Inter" w:hAnsi="Inter"/>
                <w:b/>
                <w:sz w:val="20"/>
              </w:rPr>
              <w:t>Stage</w:t>
            </w:r>
          </w:p>
        </w:tc>
        <w:tc>
          <w:tcPr>
            <w:tcW w:type="dxa" w:w="2351"/>
            <w:shd w:fill="F2F2F2" w:val="clear"/>
          </w:tcPr>
          <w:p>
            <w:pPr>
              <w:spacing w:before="80" w:after="80"/>
            </w:pPr>
            <w:r>
              <w:rPr>
                <w:b/>
              </w:rPr>
            </w:r>
            <w:r>
              <w:rPr>
                <w:rFonts w:ascii="Inter" w:hAnsi="Inter"/>
                <w:b/>
                <w:sz w:val="20"/>
              </w:rPr>
              <w:t>Timeline</w:t>
            </w:r>
          </w:p>
        </w:tc>
        <w:tc>
          <w:tcPr>
            <w:tcW w:type="dxa" w:w="2351"/>
            <w:shd w:fill="F2F2F2" w:val="clear"/>
          </w:tcPr>
          <w:p>
            <w:pPr>
              <w:spacing w:before="80" w:after="80"/>
            </w:pPr>
            <w:r>
              <w:rPr>
                <w:b/>
              </w:rPr>
            </w:r>
            <w:r>
              <w:rPr>
                <w:rFonts w:ascii="Inter" w:hAnsi="Inter"/>
                <w:b/>
                <w:sz w:val="20"/>
              </w:rPr>
              <w:t>Market rate</w:t>
            </w:r>
          </w:p>
        </w:tc>
        <w:tc>
          <w:tcPr>
            <w:tcW w:type="dxa" w:w="2351"/>
            <w:shd w:fill="F2F2F2" w:val="clear"/>
          </w:tcPr>
          <w:p>
            <w:pPr>
              <w:spacing w:before="80" w:after="80"/>
            </w:pPr>
            <w:r>
              <w:rPr>
                <w:b/>
              </w:rPr>
            </w:r>
            <w:r>
              <w:rPr>
                <w:rFonts w:ascii="Inter" w:hAnsi="Inter"/>
                <w:b/>
                <w:sz w:val="20"/>
              </w:rPr>
              <w:t>Redstamp investment</w:t>
            </w:r>
          </w:p>
        </w:tc>
      </w:tr>
      <w:tr>
        <w:tc>
          <w:tcPr>
            <w:tcW w:type="dxa" w:w="2351"/>
          </w:tcPr>
          <w:p>
            <w:pPr>
              <w:spacing w:before="80" w:after="80"/>
            </w:pPr>
            <w:r/>
            <w:r>
              <w:rPr>
                <w:rFonts w:ascii="Inter" w:hAnsi="Inter"/>
                <w:sz w:val="20"/>
              </w:rPr>
            </w:r>
            <w:r>
              <w:rPr>
                <w:rFonts w:ascii="Inter" w:hAnsi="Inter"/>
                <w:b/>
                <w:sz w:val="20"/>
              </w:rPr>
              <w:t>Stage 1</w:t>
            </w:r>
            <w:r>
              <w:rPr>
                <w:rFonts w:ascii="Inter" w:hAnsi="Inter"/>
                <w:sz w:val="20"/>
              </w:rPr>
              <w:t xml:space="preserve"> — MVP</w:t>
            </w:r>
          </w:p>
        </w:tc>
        <w:tc>
          <w:tcPr>
            <w:tcW w:type="dxa" w:w="2351"/>
          </w:tcPr>
          <w:p>
            <w:pPr>
              <w:spacing w:before="80" w:after="80"/>
            </w:pPr>
            <w:r/>
            <w:r>
              <w:rPr>
                <w:rFonts w:ascii="Inter" w:hAnsi="Inter"/>
                <w:sz w:val="20"/>
              </w:rPr>
              <w:t>Q4 2026–Q1 2027</w:t>
            </w:r>
          </w:p>
        </w:tc>
        <w:tc>
          <w:tcPr>
            <w:tcW w:type="dxa" w:w="2351"/>
          </w:tcPr>
          <w:p>
            <w:pPr>
              <w:spacing w:before="80" w:after="80"/>
            </w:pPr>
            <w:r/>
            <w:r>
              <w:rPr>
                <w:rFonts w:ascii="Inter" w:hAnsi="Inter"/>
                <w:sz w:val="20"/>
              </w:rPr>
              <w:t>$90K–$210K (full platform)</w:t>
            </w:r>
          </w:p>
        </w:tc>
        <w:tc>
          <w:tcPr>
            <w:tcW w:type="dxa" w:w="2351"/>
          </w:tcPr>
          <w:p>
            <w:pPr>
              <w:spacing w:before="80" w:after="80"/>
            </w:pPr>
            <w:r/>
            <w:r>
              <w:rPr>
                <w:rFonts w:ascii="Inter" w:hAnsi="Inter"/>
                <w:sz w:val="20"/>
              </w:rPr>
              <w:t>[To be confirmed with team]</w:t>
            </w:r>
          </w:p>
        </w:tc>
      </w:tr>
      <w:tr>
        <w:tc>
          <w:tcPr>
            <w:tcW w:type="dxa" w:w="2351"/>
          </w:tcPr>
          <w:p>
            <w:pPr>
              <w:spacing w:before="80" w:after="80"/>
            </w:pPr>
            <w:r/>
            <w:r>
              <w:rPr>
                <w:rFonts w:ascii="Inter" w:hAnsi="Inter"/>
                <w:sz w:val="20"/>
              </w:rPr>
            </w:r>
            <w:r>
              <w:rPr>
                <w:rFonts w:ascii="Inter" w:hAnsi="Inter"/>
                <w:b/>
                <w:sz w:val="20"/>
              </w:rPr>
              <w:t>Stage 2</w:t>
            </w:r>
            <w:r>
              <w:rPr>
                <w:rFonts w:ascii="Inter" w:hAnsi="Inter"/>
                <w:sz w:val="20"/>
              </w:rPr>
              <w:t xml:space="preserve"> — Digital delivery</w:t>
            </w:r>
          </w:p>
        </w:tc>
        <w:tc>
          <w:tcPr>
            <w:tcW w:type="dxa" w:w="2351"/>
          </w:tcPr>
          <w:p>
            <w:pPr>
              <w:spacing w:before="80" w:after="80"/>
            </w:pPr>
            <w:r/>
            <w:r>
              <w:rPr>
                <w:rFonts w:ascii="Inter" w:hAnsi="Inter"/>
                <w:sz w:val="20"/>
              </w:rPr>
              <w:t>Q1–Q2 2027</w:t>
            </w:r>
          </w:p>
        </w:tc>
        <w:tc>
          <w:tcPr>
            <w:tcW w:type="dxa" w:w="2351"/>
          </w:tcPr>
          <w:p>
            <w:pPr>
              <w:spacing w:before="80" w:after="80"/>
            </w:pPr>
            <w:r/>
            <w:r>
              <w:rPr>
                <w:rFonts w:ascii="Inter" w:hAnsi="Inter"/>
                <w:sz w:val="20"/>
              </w:rPr>
              <w:t>(included above)</w:t>
            </w:r>
          </w:p>
        </w:tc>
        <w:tc>
          <w:tcPr>
            <w:tcW w:type="dxa" w:w="2351"/>
          </w:tcPr>
          <w:p>
            <w:pPr>
              <w:spacing w:before="80" w:after="80"/>
            </w:pPr>
            <w:r/>
            <w:r>
              <w:rPr>
                <w:rFonts w:ascii="Inter" w:hAnsi="Inter"/>
                <w:sz w:val="20"/>
              </w:rPr>
              <w:t>[Scoped once MVP is live]</w:t>
            </w:r>
          </w:p>
        </w:tc>
      </w:tr>
      <w:tr>
        <w:tc>
          <w:tcPr>
            <w:tcW w:type="dxa" w:w="2351"/>
          </w:tcPr>
          <w:p>
            <w:pPr>
              <w:spacing w:before="80" w:after="80"/>
            </w:pPr>
            <w:r/>
            <w:r>
              <w:rPr>
                <w:rFonts w:ascii="Inter" w:hAnsi="Inter"/>
                <w:sz w:val="20"/>
              </w:rPr>
            </w:r>
            <w:r>
              <w:rPr>
                <w:rFonts w:ascii="Inter" w:hAnsi="Inter"/>
                <w:b/>
                <w:sz w:val="20"/>
              </w:rPr>
              <w:t>Stage 3</w:t>
            </w:r>
            <w:r>
              <w:rPr>
                <w:rFonts w:ascii="Inter" w:hAnsi="Inter"/>
                <w:sz w:val="20"/>
              </w:rPr>
              <w:t xml:space="preserve"> — White-label</w:t>
            </w:r>
          </w:p>
        </w:tc>
        <w:tc>
          <w:tcPr>
            <w:tcW w:type="dxa" w:w="2351"/>
          </w:tcPr>
          <w:p>
            <w:pPr>
              <w:spacing w:before="80" w:after="80"/>
            </w:pPr>
            <w:r/>
            <w:r>
              <w:rPr>
                <w:rFonts w:ascii="Inter" w:hAnsi="Inter"/>
                <w:sz w:val="20"/>
              </w:rPr>
              <w:t>2027, when contracts justify it</w:t>
            </w:r>
          </w:p>
        </w:tc>
        <w:tc>
          <w:tcPr>
            <w:tcW w:type="dxa" w:w="2351"/>
          </w:tcPr>
          <w:p>
            <w:pPr>
              <w:spacing w:before="80" w:after="80"/>
            </w:pPr>
            <w:r/>
            <w:r>
              <w:rPr>
                <w:rFonts w:ascii="Inter" w:hAnsi="Inter"/>
                <w:sz w:val="20"/>
              </w:rPr>
              <w:t>(included above)</w:t>
            </w:r>
          </w:p>
        </w:tc>
        <w:tc>
          <w:tcPr>
            <w:tcW w:type="dxa" w:w="2351"/>
          </w:tcPr>
          <w:p>
            <w:pPr>
              <w:spacing w:before="80" w:after="80"/>
            </w:pPr>
            <w:r/>
            <w:r>
              <w:rPr>
                <w:rFonts w:ascii="Inter" w:hAnsi="Inter"/>
                <w:sz w:val="20"/>
              </w:rPr>
              <w:t>[Scoped when contracts justify it]</w:t>
            </w:r>
          </w:p>
        </w:tc>
      </w:tr>
    </w:tbl>
    <w:p/>
    <w:p>
      <w:pPr>
        <w:spacing w:before="240" w:after="240"/>
        <w:pBdr>
          <w:bottom w:val="single" w:sz="4" w:space="1" w:color="CCCCCC"/>
        </w:pBdr>
      </w:pPr>
    </w:p>
    <w:p>
      <w:pPr>
        <w:pStyle w:val="Heading2"/>
      </w:pPr>
      <w:r>
        <w:t>What This Requires</w:t>
      </w:r>
    </w:p>
    <w:p>
      <w:pPr/>
      <w:r>
        <w:t>We want to be straightforward about what this engagement looks like — both the build and what comes after.</w:t>
      </w:r>
    </w:p>
    <w:p>
      <w:pPr>
        <w:pStyle w:val="Heading3"/>
      </w:pPr>
      <w:r>
        <w:t>The build</w:t>
      </w:r>
    </w:p>
    <w:p>
      <w:pPr/>
      <w:r>
        <w:t>Each phase represents a discrete investment. You don’t commit to everything upfront — you see the results of one phase before deciding on the next. Timelines assume an early April start and will sharpen as each phase completes. We’ll firm up Phase 2 pricing after the Phase 1 session gives us full visibility into the vendor-specific complexity. Phase 3 stages are priced individually as we reach them. We don’t want to guess at numbers — we want to give you ones we can stand behind.</w:t>
      </w:r>
    </w:p>
    <w:p>
      <w:pPr>
        <w:pStyle w:val="Heading3"/>
      </w:pPr>
      <w:r>
        <w:t>Ongoing support</w:t>
      </w:r>
    </w:p>
    <w:p>
      <w:pPr/>
      <w:r>
        <w:t>This is the part that’s easy to overlook and important to get right.</w:t>
      </w:r>
    </w:p>
    <w:p>
      <w:pPr/>
      <w:r>
        <w:t>Your team does exceptional work running the business. But the reality is that a custom software solution — no matter how well built — requires ongoing technical support. Security patches, vendor format changes, bug fixes, feature requests, and day-to-day questions from staff who are learning a new process.</w:t>
      </w:r>
    </w:p>
    <w:p>
      <w:pPr/>
      <w:r>
        <w:t>The support commitment will grow as the system does. After Phase 2 launches, we anticipate [X–X hours/month] for the card generation tool. Once the order platform is live, that increases to [X–X hours/month] to cover a larger surface area — customer-facing systems, QuickBooks integration, security monitoring, and day-to-day staff support. The first quarter after each launch will require heavier involvement as your team builds comfort.</w:t>
      </w:r>
    </w:p>
    <w:p>
      <w:pPr/>
      <w:r>
        <w:t>This is a restructuring of our existing support arrangement, not an entirely new cost — but it will be more than what the current retainer covers, and we want that to be clear upfront.</w:t>
      </w:r>
    </w:p>
    <w:p>
      <w:pPr/>
      <w:r/>
      <w:r>
        <w:rPr>
          <w:b/>
        </w:rPr>
        <w:t>The alternative — building something and walking away — doesn’t work for a team at your current technical capacity.</w:t>
      </w:r>
      <w:r>
        <w:t xml:space="preserve"> Every hour we spend supporting your operations is an hour your team isn’t stuck, and that’s the point.</w:t>
      </w:r>
    </w:p>
    <w:p>
      <w:pPr>
        <w:pStyle w:val="Heading3"/>
      </w:pPr>
      <w:r>
        <w:t>The growth case</w:t>
      </w:r>
    </w:p>
    <w:p>
      <w:pPr/>
      <w:r>
        <w:t>[Revenue/volume numbers to be confirmed]</w:t>
      </w:r>
    </w:p>
    <w:p>
      <w:pPr/>
      <w:r>
        <w:t>Your digital card business currently represents approximately [X%] of total revenue. If digital order volume doubles over the next [X] years — which the industry trend suggests is conservative — the current process can’t handle it. The investment in Phases 1–3 isn’t just about fixing what’s broken today. It’s about building the infrastructure that lets the digital side of your business grow without hitting a wall.</w:t>
      </w:r>
    </w:p>
    <w:p>
      <w:pPr>
        <w:spacing w:before="240" w:after="240"/>
        <w:pBdr>
          <w:bottom w:val="single" w:sz="4" w:space="1" w:color="CCCCCC"/>
        </w:pBdr>
      </w:pPr>
    </w:p>
    <w:p>
      <w:pPr>
        <w:pStyle w:val="Heading2"/>
      </w:pPr>
      <w:r>
        <w:t>Next Steps</w:t>
      </w:r>
    </w:p>
    <w:p>
      <w:pPr/>
      <w:r>
        <w:t>Two things need to happen to get this moving.</w:t>
      </w:r>
    </w:p>
    <w:p>
      <w:pPr>
        <w:pStyle w:val="ListNumber"/>
      </w:pPr>
      <w:r>
        <w:rPr>
          <w:b/>
        </w:rPr>
        <w:t>Walk through this document together.</w:t>
      </w:r>
      <w:r>
        <w:t xml:space="preserve"> We’ll schedule a call to align on priorities, answer questions, and get a quick update on the Save-on-Foods and Sequoia conversations — not because it changes Phase 1, but because it helps us architect for what’s ahead.</w:t>
      </w:r>
    </w:p>
    <w:p>
      <w:pPr>
        <w:pStyle w:val="ListNumber"/>
      </w:pPr>
      <w:r>
        <w:rPr>
          <w:b/>
        </w:rPr>
        <w:t>Schedule the Lloyd hand-off session.</w:t>
      </w:r>
      <w:r>
        <w:t xml:space="preserve"> Redstamp sends an engineer to your office in April. This is the single action that unblocks everything else — and Phase 1 is the smallest commitment with the highest information value.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Inter" w:hAnsi="Inter"/>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Inter" w:hAnsi="Inter"/>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Inter" w:hAnsi="Inter"/>
      <w:b/>
      <w:bCs/>
      <w:color w:val="1A1A1A"/>
      <w:sz w:val="3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Inter" w:hAnsi="Inter"/>
      <w:b/>
      <w:bCs/>
      <w:color w:val="1A1A1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